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Override PartName="/customXml/item1.xml" ContentType="application/xml"/>
  <Override PartName="/customXml/itemProps1.xml" ContentType="application/vnd.openxmlformats-officedocument.customXmlProperties+xml"/>
  <Override PartName="/customXml/item2.xml" ContentType="application/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before="57" w:after="57"/>
        <w:rPr>
          <w:rFonts w:ascii="Liberation Sans" w:hAnsi="Liberation Sans"/>
          <w:lang w:val="en-GB"/>
        </w:rPr>
      </w:pPr>
      <w:r>
        <w:rPr>
          <w:lang w:val="en-GB"/>
        </w:rPr>
        <w:drawing>
          <wp:anchor behindDoc="0" distT="0" distB="0" distL="0" distR="0" simplePos="0" locked="0" layoutInCell="1" allowOverlap="1" relativeHeight="2">
            <wp:simplePos x="0" y="0"/>
            <wp:positionH relativeFrom="column">
              <wp:posOffset>3843020</wp:posOffset>
            </wp:positionH>
            <wp:positionV relativeFrom="paragraph">
              <wp:posOffset>-523240</wp:posOffset>
            </wp:positionV>
            <wp:extent cx="2418715" cy="1228090"/>
            <wp:effectExtent l="0" t="0" r="0" b="0"/>
            <wp:wrapNone/>
            <wp:docPr id="1"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black logo&#10;&#10;AI-generated content may be incorrect."/>
                    <pic:cNvPicPr>
                      <a:picLocks noChangeAspect="1" noChangeArrowheads="1"/>
                    </pic:cNvPicPr>
                  </pic:nvPicPr>
                  <pic:blipFill>
                    <a:blip r:embed="rId2"/>
                    <a:stretch>
                      <a:fillRect/>
                    </a:stretch>
                  </pic:blipFill>
                  <pic:spPr bwMode="auto">
                    <a:xfrm>
                      <a:off x="0" y="0"/>
                      <a:ext cx="2418715" cy="1228090"/>
                    </a:xfrm>
                    <a:prstGeom prst="rect">
                      <a:avLst/>
                    </a:prstGeom>
                  </pic:spPr>
                </pic:pic>
              </a:graphicData>
            </a:graphic>
          </wp:anchor>
        </w:drawing>
      </w:r>
    </w:p>
    <w:p>
      <w:pPr>
        <w:pStyle w:val="Normal"/>
        <w:spacing w:lineRule="auto" w:line="259" w:before="0" w:after="160"/>
        <w:rPr>
          <w:rFonts w:ascii="Liberation Sans" w:hAnsi="Liberation Sans" w:eastAsia="Calibri" w:cs="Calibri"/>
          <w:b/>
          <w:sz w:val="28"/>
          <w:szCs w:val="28"/>
          <w:lang w:val="en-GB"/>
        </w:rPr>
      </w:pPr>
      <w:r>
        <w:rPr>
          <w:rFonts w:eastAsia="Calibri" w:cs="Calibri"/>
          <w:b/>
          <w:sz w:val="28"/>
          <w:szCs w:val="28"/>
          <w:lang w:val="en-GB"/>
        </w:rPr>
      </w:r>
    </w:p>
    <w:p>
      <w:pPr>
        <w:pStyle w:val="Normal"/>
        <w:spacing w:lineRule="auto" w:line="259" w:before="0" w:after="160"/>
        <w:rPr>
          <w:rFonts w:ascii="Liberation Sans" w:hAnsi="Liberation Sans" w:eastAsia="Calibri" w:cs="Calibri"/>
          <w:b/>
          <w:sz w:val="28"/>
          <w:szCs w:val="28"/>
          <w:lang w:val="en-GB"/>
        </w:rPr>
      </w:pPr>
      <w:r>
        <w:rPr>
          <w:rFonts w:eastAsia="Calibri" w:cs="Calibri"/>
          <w:b/>
          <w:sz w:val="28"/>
          <w:szCs w:val="28"/>
          <w:lang w:val="en-GB"/>
        </w:rPr>
      </w:r>
      <w:bookmarkStart w:id="0" w:name="_85f1tf4z0kjr"/>
      <w:bookmarkStart w:id="1" w:name="_85f1tf4z0kjr"/>
      <w:bookmarkEnd w:id="1"/>
    </w:p>
    <w:p>
      <w:pPr>
        <w:pStyle w:val="Title"/>
        <w:rPr/>
      </w:pPr>
      <w:r>
        <w:rPr/>
        <w:t>Child Protection Policy</w:t>
      </w:r>
    </w:p>
    <w:p>
      <w:pPr>
        <w:pStyle w:val="Heading1"/>
        <w:numPr>
          <w:ilvl w:val="0"/>
          <w:numId w:val="1"/>
        </w:numPr>
        <w:rPr/>
      </w:pPr>
      <w:r>
        <w:rPr/>
        <w:t>Context</w:t>
      </w:r>
    </w:p>
    <w:p>
      <w:pPr>
        <w:pStyle w:val="Normal"/>
        <w:rPr/>
      </w:pPr>
      <w:r>
        <w:rPr/>
        <w:t>The Arawa Canoe Club has a Member Protection Policy (MPP) that aims to safeguard the welfare of all club members while participating in training and events at the Club.  This Child Protection Policy (CPP) duplicates the MPP, and includes additional specific requirements to safeguard the welfare of children and young people.</w:t>
      </w:r>
    </w:p>
    <w:p>
      <w:pPr>
        <w:pStyle w:val="Normal"/>
        <w:rPr/>
      </w:pPr>
      <w:r>
        <w:rPr/>
        <w:t>For the purposes of this policy and associated procedures, a child is recognised as someone under the age of 18 years.</w:t>
      </w:r>
    </w:p>
    <w:p>
      <w:pPr>
        <w:pStyle w:val="Heading1"/>
        <w:keepNext w:val="true"/>
        <w:keepLines/>
        <w:numPr>
          <w:ilvl w:val="0"/>
          <w:numId w:val="1"/>
        </w:numPr>
        <w:spacing w:lineRule="auto" w:line="240" w:before="567" w:after="119"/>
        <w:ind w:hanging="0" w:left="0"/>
        <w:rPr/>
      </w:pPr>
      <w:bookmarkStart w:id="2" w:name="__RefHeading___Toc1699_361558945"/>
      <w:bookmarkEnd w:id="2"/>
      <w:r>
        <w:rPr/>
        <w:t>Policy Scope</w:t>
      </w:r>
    </w:p>
    <w:p>
      <w:pPr>
        <w:pStyle w:val="Normal"/>
        <w:rPr/>
      </w:pPr>
      <w:r>
        <w:rPr/>
        <w:t>This Policy shall apply to Arawa Canoe Club staff (including employees and contractors), coaches and volunteers who interact and engage with children participating in club activities.</w:t>
      </w:r>
    </w:p>
    <w:p>
      <w:pPr>
        <w:pStyle w:val="Heading1"/>
        <w:keepNext w:val="true"/>
        <w:keepLines/>
        <w:numPr>
          <w:ilvl w:val="0"/>
          <w:numId w:val="1"/>
        </w:numPr>
        <w:spacing w:lineRule="auto" w:line="240" w:before="567" w:after="119"/>
        <w:ind w:hanging="0" w:left="0"/>
        <w:rPr/>
      </w:pPr>
      <w:r>
        <w:rPr/>
        <w:t>Definitions of Abuse and Neglect</w:t>
      </w:r>
    </w:p>
    <w:p>
      <w:pPr>
        <w:pStyle w:val="Normal"/>
        <w:rPr/>
      </w:pPr>
      <w:r>
        <w:rPr/>
        <w:t xml:space="preserve">Club employees, coaches and volunteers </w:t>
      </w:r>
      <w:r>
        <w:rPr/>
        <w:t>should</w:t>
      </w:r>
      <w:r>
        <w:rPr/>
        <w:t xml:space="preserve"> be able to clearly identify the signs and symptoms of abuse and have the confidence to take appropriate action should abuse be suspected or disclosed.</w:t>
      </w:r>
    </w:p>
    <w:p>
      <w:pPr>
        <w:pStyle w:val="Normal"/>
        <w:rPr/>
      </w:pPr>
      <w:r>
        <w:rPr/>
        <w:t>The Children, Young Persons and Their Families Act, 1989, defines child abuse as “…the harming (whether physically, emotionally, sexually), ill-treatment, abuse, neglect, or deprivation of any child or young person.”</w:t>
      </w:r>
    </w:p>
    <w:p>
      <w:pPr>
        <w:pStyle w:val="Normal"/>
        <w:rPr/>
      </w:pPr>
      <w:r>
        <w:rPr>
          <w:b/>
          <w:bCs/>
        </w:rPr>
        <w:t>Physical abuse</w:t>
      </w:r>
      <w:r>
        <w:rPr/>
        <w:t xml:space="preserve"> is a non-accidental act on a child that results in physical harm. This includes, but is not limited to, beating, hitting, shaking, burning, drowning, suffocating, biting, poisoning or otherwise causing physical harm to a child. Physical abuse also involves the fabrication or inducing of illness.</w:t>
      </w:r>
    </w:p>
    <w:p>
      <w:pPr>
        <w:pStyle w:val="Normal"/>
        <w:rPr/>
      </w:pPr>
      <w:r>
        <w:rPr>
          <w:b/>
          <w:bCs/>
        </w:rPr>
        <w:t>Emotional Abuse</w:t>
      </w:r>
      <w:r>
        <w:rPr/>
        <w:t xml:space="preserve"> is the persistent emotional ill treatment of a child such as to cause severe and persistent adverse effect on the child’s emotional development. This can include a pattern of rejecting, degrading, ignoring, isolating, corrupting, exploiting or terrorising a child. It may also include age or developmentally inappropriate expectations being imposed on children. It also includes seeing or hearing the ill treatment of others.</w:t>
      </w:r>
    </w:p>
    <w:p>
      <w:pPr>
        <w:pStyle w:val="Normal"/>
        <w:rPr/>
      </w:pPr>
      <w:r>
        <w:rPr>
          <w:b/>
          <w:bCs/>
        </w:rPr>
        <w:t>Sexual Abuse</w:t>
      </w:r>
      <w:r>
        <w:rPr/>
        <w:t xml:space="preserve"> involves forcing or enticing a child or young person to take part in sexual activities as well as non-contact acts such as involving children in the looking at or production of sexual images, sexual activities and sexual behaviours. Staff, coaches and volunteers should be aware of their ‘duty of care’ which precludes developing a sexual relationship with or grooming a child. A sexual relationship between an adult and child will always be wrong, unequal and unacceptable.</w:t>
      </w:r>
    </w:p>
    <w:p>
      <w:pPr>
        <w:pStyle w:val="Normal"/>
        <w:rPr/>
      </w:pPr>
      <w:r>
        <w:rPr>
          <w:b/>
          <w:bCs/>
        </w:rPr>
        <w:t>Neglect</w:t>
      </w:r>
      <w:r>
        <w:rPr/>
        <w:t xml:space="preserve"> is the persistent failure to meet a child’s basic physical and/or psychological needs, causing long term serious harm to the child’s development. It may also include neglect of child’s basic or emotional needs. </w:t>
      </w:r>
    </w:p>
    <w:p>
      <w:pPr>
        <w:pStyle w:val="Heading1"/>
        <w:numPr>
          <w:ilvl w:val="0"/>
          <w:numId w:val="1"/>
        </w:numPr>
        <w:rPr/>
      </w:pPr>
      <w:r>
        <w:rPr/>
        <w:t>Policy statements</w:t>
      </w:r>
    </w:p>
    <w:p>
      <w:pPr>
        <w:pStyle w:val="Normal"/>
        <w:numPr>
          <w:ilvl w:val="0"/>
          <w:numId w:val="12"/>
        </w:numPr>
        <w:rPr/>
      </w:pPr>
      <w:r>
        <w:rPr/>
        <w:t>The Arawa Canoe Club is committed to safeguarding the welfare of all children participating in training and events run or supported by the Club. We recognise the responsibility to promote safe practice and to protect children from harm, abuse and exploitation while participating in our activities.</w:t>
      </w:r>
    </w:p>
    <w:p>
      <w:pPr>
        <w:pStyle w:val="Normal"/>
        <w:numPr>
          <w:ilvl w:val="0"/>
          <w:numId w:val="12"/>
        </w:numPr>
        <w:rPr/>
      </w:pPr>
      <w:r>
        <w:rPr/>
        <w:t xml:space="preserve">We recognise our responsibility to promote safe practices that protect children from harm and/or exploitation while participating in our activities. </w:t>
      </w:r>
    </w:p>
    <w:p>
      <w:pPr>
        <w:pStyle w:val="Normal"/>
        <w:numPr>
          <w:ilvl w:val="0"/>
          <w:numId w:val="12"/>
        </w:numPr>
        <w:rPr/>
      </w:pPr>
      <w:r>
        <w:rPr/>
        <w:t>Coaches, staff, volunteers and members will work together to embrace difference and diversity and respect the rights of children and young people.</w:t>
      </w:r>
    </w:p>
    <w:p>
      <w:pPr>
        <w:pStyle w:val="Heading1"/>
        <w:numPr>
          <w:ilvl w:val="0"/>
          <w:numId w:val="1"/>
        </w:numPr>
        <w:rPr/>
      </w:pPr>
      <w:r>
        <w:rPr/>
        <w:t>Policy principles</w:t>
      </w:r>
    </w:p>
    <w:p>
      <w:pPr>
        <w:pStyle w:val="Normal"/>
        <w:rPr/>
      </w:pPr>
      <w:r>
        <w:rPr/>
        <w:t>This policy is based on the following principles:</w:t>
      </w:r>
    </w:p>
    <w:p>
      <w:pPr>
        <w:pStyle w:val="Normal"/>
        <w:numPr>
          <w:ilvl w:val="0"/>
          <w:numId w:val="11"/>
        </w:numPr>
        <w:rPr/>
      </w:pPr>
      <w:r>
        <w:rPr/>
        <w:t>The welfare of children is the primary concern, and forms the basis for this policy.</w:t>
      </w:r>
    </w:p>
    <w:p>
      <w:pPr>
        <w:pStyle w:val="Normal"/>
        <w:numPr>
          <w:ilvl w:val="0"/>
          <w:numId w:val="11"/>
        </w:numPr>
        <w:rPr/>
      </w:pPr>
      <w:r>
        <w:rPr/>
        <w:t>Child safeguarding and protection is everyone's responsibility.</w:t>
      </w:r>
    </w:p>
    <w:p>
      <w:pPr>
        <w:pStyle w:val="Normal"/>
        <w:numPr>
          <w:ilvl w:val="0"/>
          <w:numId w:val="11"/>
        </w:numPr>
        <w:rPr/>
      </w:pPr>
      <w:r>
        <w:rPr/>
        <w:t xml:space="preserve">All children, regardless of age, culture, disability, gender, language, racial origin, socio-economic status, religious belief and/or sexual identity have the right to protection from all forms of harm and abuse. </w:t>
      </w:r>
    </w:p>
    <w:p>
      <w:pPr>
        <w:pStyle w:val="Normal"/>
        <w:numPr>
          <w:ilvl w:val="0"/>
          <w:numId w:val="11"/>
        </w:numPr>
        <w:rPr/>
      </w:pPr>
      <w:r>
        <w:rPr/>
        <w:t xml:space="preserve">Children have the right to express views on all matters which affect them, should they wish to do so. </w:t>
      </w:r>
    </w:p>
    <w:p>
      <w:pPr>
        <w:pStyle w:val="Normal"/>
        <w:numPr>
          <w:ilvl w:val="0"/>
          <w:numId w:val="11"/>
        </w:numPr>
        <w:rPr/>
      </w:pPr>
      <w:r>
        <w:rPr/>
        <w:t>The club will work in partnership with children and parents/caregivers to promote the welfare, health and development of children.</w:t>
      </w:r>
    </w:p>
    <w:p>
      <w:pPr>
        <w:pStyle w:val="Heading1"/>
        <w:numPr>
          <w:ilvl w:val="0"/>
          <w:numId w:val="1"/>
        </w:numPr>
        <w:rPr/>
      </w:pPr>
      <w:r>
        <w:rPr/>
        <w:t>Policy aims</w:t>
      </w:r>
    </w:p>
    <w:p>
      <w:pPr>
        <w:pStyle w:val="Normal"/>
        <w:rPr/>
      </w:pPr>
      <w:r>
        <w:rPr/>
        <w:t>The aim of this policy is to promote good practice, by:</w:t>
      </w:r>
    </w:p>
    <w:p>
      <w:pPr>
        <w:pStyle w:val="Normal"/>
        <w:numPr>
          <w:ilvl w:val="0"/>
          <w:numId w:val="10"/>
        </w:numPr>
        <w:rPr/>
      </w:pPr>
      <w:r>
        <w:rPr/>
        <w:t>Promoting the health and welfare of children by providing opportunities for them to take part in paddling activities safely,</w:t>
      </w:r>
    </w:p>
    <w:p>
      <w:pPr>
        <w:pStyle w:val="Normal"/>
        <w:numPr>
          <w:ilvl w:val="0"/>
          <w:numId w:val="10"/>
        </w:numPr>
        <w:rPr/>
      </w:pPr>
      <w:r>
        <w:rPr/>
        <w:t>Respecting and promoting the rights, wishes and feelings of children,</w:t>
      </w:r>
    </w:p>
    <w:p>
      <w:pPr>
        <w:pStyle w:val="Normal"/>
        <w:numPr>
          <w:ilvl w:val="0"/>
          <w:numId w:val="10"/>
        </w:numPr>
        <w:rPr/>
      </w:pPr>
      <w:r>
        <w:rPr/>
        <w:t>Promoting and implementing appropriate procedures to safeguard the well-being of children and protect them from harm or abuse,</w:t>
      </w:r>
    </w:p>
    <w:p>
      <w:pPr>
        <w:pStyle w:val="Normal"/>
        <w:numPr>
          <w:ilvl w:val="0"/>
          <w:numId w:val="10"/>
        </w:numPr>
        <w:rPr/>
      </w:pPr>
      <w:r>
        <w:rPr/>
        <w:t>Recruiting, training, supporting, encouraging and supervising coaches, members and volunteers to adopt best practice to safeguard and protect children from abuse and to reduce the risk of allegations or complaints against themselves,</w:t>
      </w:r>
    </w:p>
    <w:p>
      <w:pPr>
        <w:pStyle w:val="Normal"/>
        <w:numPr>
          <w:ilvl w:val="0"/>
          <w:numId w:val="10"/>
        </w:numPr>
        <w:rPr/>
      </w:pPr>
      <w:r>
        <w:rPr/>
        <w:t xml:space="preserve">Requiring members, coaches, support staff and volunteers to adopt and abide by this Policy and the Arawa Code of Conduct, </w:t>
      </w:r>
    </w:p>
    <w:p>
      <w:pPr>
        <w:pStyle w:val="Normal"/>
        <w:numPr>
          <w:ilvl w:val="0"/>
          <w:numId w:val="10"/>
        </w:numPr>
        <w:rPr/>
      </w:pPr>
      <w:r>
        <w:rPr/>
        <w:t>Responding to any allegations of misconduct or abuse of children in line with this Policy and these procedures, as well as implementing, where appropriate, the relevant investigative, disciplinary and appeals procedures,</w:t>
      </w:r>
    </w:p>
    <w:p>
      <w:pPr>
        <w:pStyle w:val="Normal"/>
        <w:numPr>
          <w:ilvl w:val="0"/>
          <w:numId w:val="10"/>
        </w:numPr>
        <w:rPr/>
      </w:pPr>
      <w:r>
        <w:rPr/>
        <w:t>Regularly monitoring and evaluating the implementation of this Policy and its procedures.</w:t>
      </w:r>
    </w:p>
    <w:p>
      <w:pPr>
        <w:pStyle w:val="Heading1"/>
        <w:numPr>
          <w:ilvl w:val="0"/>
          <w:numId w:val="1"/>
        </w:numPr>
        <w:rPr/>
      </w:pPr>
      <w:r>
        <w:rPr/>
        <w:t>Protocols</w:t>
      </w:r>
    </w:p>
    <w:p>
      <w:pPr>
        <w:pStyle w:val="Normal"/>
        <w:rPr/>
      </w:pPr>
      <w:r>
        <w:rPr/>
        <w:t xml:space="preserve">The following protocols are designed to ensure the utmost is done to provide a safe environment for all Club children. They provide guidance to those working with children by outlining good practice and establishing boundaries in a range of situations. The intention of these protocols is to reduce the likelihood of harm to a children as well as minimising the risk of an allegation or complaint being made. </w:t>
      </w:r>
    </w:p>
    <w:p>
      <w:pPr>
        <w:pStyle w:val="Heading4"/>
        <w:rPr/>
      </w:pPr>
      <w:r>
        <w:rPr/>
        <w:t xml:space="preserve">Applying an child-centred approach where all children are treated equally and with dignity </w:t>
      </w:r>
    </w:p>
    <w:p>
      <w:pPr>
        <w:pStyle w:val="Normal"/>
        <w:numPr>
          <w:ilvl w:val="0"/>
          <w:numId w:val="9"/>
        </w:numPr>
        <w:rPr/>
      </w:pPr>
      <w:r>
        <w:rPr/>
        <w:t>Activities should be appropriate for the age and stage of development of the children in your care.  </w:t>
      </w:r>
    </w:p>
    <w:p>
      <w:pPr>
        <w:pStyle w:val="Normal"/>
        <w:numPr>
          <w:ilvl w:val="0"/>
          <w:numId w:val="9"/>
        </w:numPr>
        <w:rPr/>
      </w:pPr>
      <w:r>
        <w:rPr/>
        <w:t>Ensure feedback to children is about their behaviour/performance and not of a personal nature.</w:t>
      </w:r>
    </w:p>
    <w:p>
      <w:pPr>
        <w:pStyle w:val="Normal"/>
        <w:numPr>
          <w:ilvl w:val="0"/>
          <w:numId w:val="9"/>
        </w:numPr>
        <w:rPr/>
      </w:pPr>
      <w:r>
        <w:rPr/>
        <w:t>Use positive and age-appropriate language when talking to children and in their presence.</w:t>
      </w:r>
    </w:p>
    <w:p>
      <w:pPr>
        <w:pStyle w:val="Normal"/>
        <w:numPr>
          <w:ilvl w:val="0"/>
          <w:numId w:val="9"/>
        </w:numPr>
        <w:rPr/>
      </w:pPr>
      <w:r>
        <w:rPr/>
        <w:t>Respect a child’s right to personal privacy.</w:t>
      </w:r>
    </w:p>
    <w:p>
      <w:pPr>
        <w:pStyle w:val="Normal"/>
        <w:numPr>
          <w:ilvl w:val="0"/>
          <w:numId w:val="9"/>
        </w:numPr>
        <w:rPr/>
      </w:pPr>
      <w:r>
        <w:rPr/>
        <w:t>Treat everyone with respect.</w:t>
      </w:r>
    </w:p>
    <w:p>
      <w:pPr>
        <w:pStyle w:val="Normal"/>
        <w:numPr>
          <w:ilvl w:val="0"/>
          <w:numId w:val="9"/>
        </w:numPr>
        <w:rPr/>
      </w:pPr>
      <w:r>
        <w:rPr/>
        <w:t>Set an expectation of behaviours for everyone and encourage children to respect and be courteous to others.</w:t>
      </w:r>
    </w:p>
    <w:p>
      <w:pPr>
        <w:pStyle w:val="Normal"/>
        <w:numPr>
          <w:ilvl w:val="0"/>
          <w:numId w:val="9"/>
        </w:numPr>
        <w:rPr/>
      </w:pPr>
      <w:r>
        <w:rPr/>
        <w:t>Intervene to stop any inappropriate verbal or physical behaviour.</w:t>
      </w:r>
    </w:p>
    <w:p>
      <w:pPr>
        <w:pStyle w:val="Heading4"/>
        <w:rPr/>
      </w:pPr>
      <w:r>
        <w:rPr/>
        <w:t xml:space="preserve">Creating a safe and open working environment that also reduces risk to staff and volunteers </w:t>
      </w:r>
    </w:p>
    <w:p>
      <w:pPr>
        <w:pStyle w:val="Normal"/>
        <w:numPr>
          <w:ilvl w:val="0"/>
          <w:numId w:val="3"/>
        </w:numPr>
        <w:rPr/>
      </w:pPr>
      <w:r>
        <w:rPr/>
        <w:t>Exercise common sense.  </w:t>
      </w:r>
    </w:p>
    <w:p>
      <w:pPr>
        <w:pStyle w:val="Normal"/>
        <w:numPr>
          <w:ilvl w:val="0"/>
          <w:numId w:val="3"/>
        </w:numPr>
        <w:rPr/>
      </w:pPr>
      <w:r>
        <w:rPr/>
        <w:t>Ensure all club Health and Safety procedures and protocols are followed, as per Duty of Care requirements under the Health and Safety at Work Act 2015.</w:t>
      </w:r>
    </w:p>
    <w:p>
      <w:pPr>
        <w:pStyle w:val="Normal"/>
        <w:numPr>
          <w:ilvl w:val="0"/>
          <w:numId w:val="3"/>
        </w:numPr>
        <w:rPr/>
      </w:pPr>
      <w:r>
        <w:rPr/>
        <w:t>Ensure that children use appropriate protective gear and have appropriate safety protocols in place and that all equipment being used is in good working order.  </w:t>
      </w:r>
    </w:p>
    <w:p>
      <w:pPr>
        <w:pStyle w:val="Normal"/>
        <w:numPr>
          <w:ilvl w:val="0"/>
          <w:numId w:val="3"/>
        </w:numPr>
        <w:rPr/>
      </w:pPr>
      <w:r>
        <w:rPr/>
        <w:t xml:space="preserve">Ensure that any filming or photography of children is appropriate. </w:t>
      </w:r>
    </w:p>
    <w:p>
      <w:pPr>
        <w:pStyle w:val="Normal"/>
        <w:numPr>
          <w:ilvl w:val="0"/>
          <w:numId w:val="3"/>
        </w:numPr>
        <w:rPr/>
      </w:pPr>
      <w:r>
        <w:rPr/>
        <w:t>Explain the purpose and obtain consent (from parents/caregivers) prior to filming or photographing children.  </w:t>
      </w:r>
    </w:p>
    <w:p>
      <w:pPr>
        <w:pStyle w:val="Normal"/>
        <w:numPr>
          <w:ilvl w:val="0"/>
          <w:numId w:val="3"/>
        </w:numPr>
        <w:rPr/>
      </w:pPr>
      <w:r>
        <w:rPr/>
        <w:t>Obtain parental consent to publish photographs of children involved in any Arawa programmes.</w:t>
      </w:r>
    </w:p>
    <w:p>
      <w:pPr>
        <w:pStyle w:val="Normal"/>
        <w:numPr>
          <w:ilvl w:val="0"/>
          <w:numId w:val="3"/>
        </w:numPr>
        <w:rPr/>
      </w:pPr>
      <w:r>
        <w:rPr/>
        <w:t>Ensure that all physical contact with children is relevant and appropriate to the activity and done in the presence of others.</w:t>
      </w:r>
    </w:p>
    <w:p>
      <w:pPr>
        <w:pStyle w:val="Normal"/>
        <w:numPr>
          <w:ilvl w:val="0"/>
          <w:numId w:val="3"/>
        </w:numPr>
        <w:rPr/>
      </w:pPr>
      <w:r>
        <w:rPr/>
        <w:t>Do not engage in any bullying activity.  </w:t>
      </w:r>
    </w:p>
    <w:p>
      <w:pPr>
        <w:pStyle w:val="Normal"/>
        <w:numPr>
          <w:ilvl w:val="0"/>
          <w:numId w:val="3"/>
        </w:numPr>
        <w:rPr/>
      </w:pPr>
      <w:r>
        <w:rPr/>
        <w:t>Do not send children off to paddle/perform activities alone and out of sight and supervision.  </w:t>
      </w:r>
    </w:p>
    <w:p>
      <w:pPr>
        <w:pStyle w:val="Normal"/>
        <w:numPr>
          <w:ilvl w:val="0"/>
          <w:numId w:val="3"/>
        </w:numPr>
        <w:rPr/>
      </w:pPr>
      <w:r>
        <w:rPr/>
        <w:t>Ensure, and agree with caregivers, that children have appropriate means of returning home after activities and are handed over to their caregiver or other authorised person at the conclusion of the activities.  </w:t>
      </w:r>
    </w:p>
    <w:p>
      <w:pPr>
        <w:pStyle w:val="Normal"/>
        <w:numPr>
          <w:ilvl w:val="0"/>
          <w:numId w:val="3"/>
        </w:numPr>
        <w:rPr/>
      </w:pPr>
      <w:r>
        <w:rPr/>
        <w:t>Request parental consent before transporting children in a vehicle. Ensure that the vehicle is insured, has a current Warrant of Fitness and registration.  </w:t>
      </w:r>
    </w:p>
    <w:p>
      <w:pPr>
        <w:pStyle w:val="Normal"/>
        <w:numPr>
          <w:ilvl w:val="0"/>
          <w:numId w:val="3"/>
        </w:numPr>
        <w:rPr/>
      </w:pPr>
      <w:r>
        <w:rPr/>
        <w:t>Except in an emergency where it is unsafe to delay, ensure you have parental consent to administer first aid if required.  </w:t>
      </w:r>
    </w:p>
    <w:p>
      <w:pPr>
        <w:pStyle w:val="Normal"/>
        <w:numPr>
          <w:ilvl w:val="0"/>
          <w:numId w:val="3"/>
        </w:numPr>
        <w:rPr/>
      </w:pPr>
      <w:r>
        <w:rPr/>
        <w:t>Do not use alcohol, cigarettes or electronic cigarettes in the presence of an athlete/child and do not offer any of these to children under any circumstances.  </w:t>
      </w:r>
    </w:p>
    <w:p>
      <w:pPr>
        <w:pStyle w:val="Normal"/>
        <w:numPr>
          <w:ilvl w:val="0"/>
          <w:numId w:val="3"/>
        </w:numPr>
        <w:rPr/>
      </w:pPr>
      <w:r>
        <w:rPr/>
        <w:t>Do not engage in communication with an athlete/child, on a one-on-one basis, through social media, texting or email, other than for relevant coach/athlete feedback or administration.  </w:t>
      </w:r>
    </w:p>
    <w:p>
      <w:pPr>
        <w:pStyle w:val="Normal"/>
        <w:numPr>
          <w:ilvl w:val="0"/>
          <w:numId w:val="3"/>
        </w:numPr>
        <w:rPr/>
      </w:pPr>
      <w:r>
        <w:rPr/>
        <w:t>Do not engage in any intimate, over-familiar or sexual relationships with people under the age of 18 years.  </w:t>
      </w:r>
    </w:p>
    <w:p>
      <w:pPr>
        <w:pStyle w:val="Normal"/>
        <w:numPr>
          <w:ilvl w:val="0"/>
          <w:numId w:val="3"/>
        </w:numPr>
        <w:rPr/>
      </w:pPr>
      <w:r>
        <w:rPr/>
        <w:t>Do not allow parents, coaches, other children, or spectators to engage in any type of bullying behaviour (this includes cyber/text bullying)  </w:t>
      </w:r>
    </w:p>
    <w:p>
      <w:pPr>
        <w:pStyle w:val="Normal"/>
        <w:numPr>
          <w:ilvl w:val="0"/>
          <w:numId w:val="3"/>
        </w:numPr>
        <w:rPr/>
      </w:pPr>
      <w:r>
        <w:rPr/>
        <w:t xml:space="preserve">Do not encourage, engage in or condone any watching of pornographic or age-inappropriate images or literature at any time with any children under the age of 18.  Those 18 or older should be discouraged from this in the context of the Club environment and this should not be allowed at any Club-sanctioned training or event.  </w:t>
      </w:r>
    </w:p>
    <w:p>
      <w:pPr>
        <w:pStyle w:val="Heading4"/>
        <w:rPr/>
      </w:pPr>
      <w:r>
        <w:rPr>
          <w:b/>
          <w:bCs/>
          <w:color w:val="000000"/>
          <w:sz w:val="22"/>
          <w:szCs w:val="22"/>
        </w:rPr>
        <w:t xml:space="preserve">Avoiding situations where you are alone with an athlete/child </w:t>
      </w:r>
      <w:r>
        <w:rPr/>
        <w:t> </w:t>
      </w:r>
    </w:p>
    <w:p>
      <w:pPr>
        <w:pStyle w:val="Normal"/>
        <w:numPr>
          <w:ilvl w:val="0"/>
          <w:numId w:val="4"/>
        </w:numPr>
        <w:rPr/>
      </w:pPr>
      <w:r>
        <w:rPr/>
        <w:t>Where possible consider activities that involve more than one adult being present or within sight and hearing of others.</w:t>
      </w:r>
    </w:p>
    <w:p>
      <w:pPr>
        <w:pStyle w:val="Normal"/>
        <w:numPr>
          <w:ilvl w:val="0"/>
          <w:numId w:val="4"/>
        </w:numPr>
        <w:rPr/>
      </w:pPr>
      <w:r>
        <w:rPr/>
        <w:t>Avoid private or unobserved situations, including being alone with a child in the changing rooms.  </w:t>
      </w:r>
    </w:p>
    <w:p>
      <w:pPr>
        <w:pStyle w:val="Normal"/>
        <w:numPr>
          <w:ilvl w:val="0"/>
          <w:numId w:val="4"/>
        </w:numPr>
        <w:rPr/>
      </w:pPr>
      <w:r>
        <w:rPr/>
        <w:t>Avoid entering changing rooms - if you must enter, knock and announce yourself and try to have at least one other adult with you.</w:t>
      </w:r>
    </w:p>
    <w:p>
      <w:pPr>
        <w:pStyle w:val="Normal"/>
        <w:numPr>
          <w:ilvl w:val="0"/>
          <w:numId w:val="4"/>
        </w:numPr>
        <w:rPr/>
      </w:pPr>
      <w:r>
        <w:rPr/>
        <w:t>Avoid driving a child unaccompanied.  </w:t>
      </w:r>
    </w:p>
    <w:p>
      <w:pPr>
        <w:pStyle w:val="Normal"/>
        <w:numPr>
          <w:ilvl w:val="0"/>
          <w:numId w:val="4"/>
        </w:numPr>
        <w:rPr/>
      </w:pPr>
      <w:r>
        <w:rPr/>
        <w:t>Do not invite or encourage children to your home without their caregiver.  </w:t>
      </w:r>
    </w:p>
    <w:p>
      <w:pPr>
        <w:pStyle w:val="Normal"/>
        <w:numPr>
          <w:ilvl w:val="0"/>
          <w:numId w:val="4"/>
        </w:numPr>
        <w:rPr/>
      </w:pPr>
      <w:r>
        <w:rPr/>
        <w:t>Always have another adult present when staying overnight anywhere with children, ideally a same-sex chaperone.  </w:t>
      </w:r>
    </w:p>
    <w:p>
      <w:pPr>
        <w:pStyle w:val="Normal"/>
        <w:numPr>
          <w:ilvl w:val="0"/>
          <w:numId w:val="4"/>
        </w:numPr>
        <w:rPr/>
      </w:pPr>
      <w:r>
        <w:rPr/>
        <w:t>Do not share a room with a child, other than your own in the absence of their caregiver.  </w:t>
      </w:r>
    </w:p>
    <w:p>
      <w:pPr>
        <w:pStyle w:val="Heading1"/>
        <w:numPr>
          <w:ilvl w:val="0"/>
          <w:numId w:val="1"/>
        </w:numPr>
        <w:rPr/>
      </w:pPr>
      <w:r>
        <w:rPr/>
        <w:t xml:space="preserve">Recruitment and Training Processes for Staff and Volunteers </w:t>
      </w:r>
    </w:p>
    <w:p>
      <w:pPr>
        <w:pStyle w:val="Normal"/>
        <w:rPr/>
      </w:pPr>
      <w:r>
        <w:rPr/>
        <w:t xml:space="preserve">To ensure that suitable and appropriate staff and volunteers (including parents) are working with children in kayaking, a robust recruitment and screening process should be followed for all roles. Screening is also required for staff and volunteers currently engaged in existing roles. </w:t>
      </w:r>
    </w:p>
    <w:p>
      <w:pPr>
        <w:pStyle w:val="Heading2"/>
        <w:ind w:hanging="0" w:left="0"/>
        <w:rPr/>
      </w:pPr>
      <w:r>
        <w:rPr/>
        <w:t xml:space="preserve">Screening </w:t>
      </w:r>
    </w:p>
    <w:p>
      <w:pPr>
        <w:pStyle w:val="Normal"/>
        <w:rPr/>
      </w:pPr>
      <w:r>
        <w:rPr/>
        <w:t xml:space="preserve">The Vulnerable Children’s Act requires all persons who have direct contact with any person(s) under the age of 18 years to be screened. </w:t>
      </w:r>
    </w:p>
    <w:p>
      <w:pPr>
        <w:pStyle w:val="Normal"/>
        <w:rPr/>
      </w:pPr>
      <w:r>
        <w:rPr/>
        <w:t xml:space="preserve">It is the responsibility of the Club to undertake the screening process of all current and future coaches and volunteers involved in training and/or events and record and review processes involved with the screening. </w:t>
      </w:r>
    </w:p>
    <w:p>
      <w:pPr>
        <w:pStyle w:val="Normal"/>
        <w:numPr>
          <w:ilvl w:val="0"/>
          <w:numId w:val="7"/>
        </w:numPr>
        <w:rPr/>
      </w:pPr>
      <w:r>
        <w:rPr/>
        <w:t>Screening is mandatory for all persons currently engaged in the following types of roles:</w:t>
      </w:r>
    </w:p>
    <w:p>
      <w:pPr>
        <w:pStyle w:val="Normal"/>
        <w:numPr>
          <w:ilvl w:val="3"/>
          <w:numId w:val="7"/>
        </w:numPr>
        <w:ind w:hanging="174" w:left="1134"/>
        <w:rPr/>
      </w:pPr>
      <w:r>
        <w:rPr/>
        <w:t xml:space="preserve"> </w:t>
      </w:r>
      <w:r>
        <w:rPr/>
        <w:t>Coaches who are employed or contracted by the Club or on a voluntary basis.  </w:t>
      </w:r>
    </w:p>
    <w:p>
      <w:pPr>
        <w:pStyle w:val="Normal"/>
        <w:numPr>
          <w:ilvl w:val="3"/>
          <w:numId w:val="7"/>
        </w:numPr>
        <w:ind w:hanging="174" w:left="1134"/>
        <w:rPr/>
      </w:pPr>
      <w:r>
        <w:rPr/>
        <w:t>Persons appointed by the Club to a role in which the person is likely to have individual and unsupervised contact with participants under 18 years of age.</w:t>
      </w:r>
    </w:p>
    <w:p>
      <w:pPr>
        <w:pStyle w:val="Normal"/>
        <w:numPr>
          <w:ilvl w:val="3"/>
          <w:numId w:val="7"/>
        </w:numPr>
        <w:ind w:hanging="174" w:left="1134"/>
        <w:rPr/>
      </w:pPr>
      <w:r>
        <w:rPr/>
        <w:t>Any person appointed by the Club to a role or any contractor or volunteer working in the Club where that person has been the subject of rumour, suspicion or complaints regarding harassment or abuse.  </w:t>
      </w:r>
    </w:p>
    <w:p>
      <w:pPr>
        <w:pStyle w:val="Normal"/>
        <w:numPr>
          <w:ilvl w:val="0"/>
          <w:numId w:val="7"/>
        </w:numPr>
        <w:rPr/>
      </w:pPr>
      <w:r>
        <w:rPr/>
        <w:t xml:space="preserve">As set out under the Vulnerable Children’s Act screening shall include: </w:t>
      </w:r>
    </w:p>
    <w:p>
      <w:pPr>
        <w:pStyle w:val="Normal"/>
        <w:numPr>
          <w:ilvl w:val="3"/>
          <w:numId w:val="7"/>
        </w:numPr>
        <w:ind w:hanging="174" w:left="1134"/>
        <w:rPr/>
      </w:pPr>
      <w:r>
        <w:rPr/>
        <w:t xml:space="preserve">An application process. </w:t>
      </w:r>
    </w:p>
    <w:p>
      <w:pPr>
        <w:pStyle w:val="Normal"/>
        <w:numPr>
          <w:ilvl w:val="3"/>
          <w:numId w:val="7"/>
        </w:numPr>
        <w:ind w:hanging="174" w:left="1134"/>
        <w:rPr/>
      </w:pPr>
      <w:r>
        <w:rPr/>
        <w:t>Interviewing the applicant. </w:t>
      </w:r>
    </w:p>
    <w:p>
      <w:pPr>
        <w:pStyle w:val="Normal"/>
        <w:numPr>
          <w:ilvl w:val="3"/>
          <w:numId w:val="7"/>
        </w:numPr>
        <w:ind w:hanging="174" w:left="1134"/>
        <w:rPr/>
      </w:pPr>
      <w:r>
        <w:rPr/>
        <w:t xml:space="preserve"> </w:t>
      </w:r>
      <w:r>
        <w:rPr/>
        <w:t>Verifying the applicant’s application form and referees. </w:t>
      </w:r>
    </w:p>
    <w:p>
      <w:pPr>
        <w:pStyle w:val="Normal"/>
        <w:numPr>
          <w:ilvl w:val="3"/>
          <w:numId w:val="7"/>
        </w:numPr>
        <w:ind w:hanging="174" w:left="1134"/>
        <w:rPr/>
      </w:pPr>
      <w:r>
        <w:rPr/>
        <w:t xml:space="preserve"> </w:t>
      </w:r>
      <w:r>
        <w:rPr/>
        <w:t>Obtaining a Police Check for the preferred applicant. </w:t>
      </w:r>
    </w:p>
    <w:p>
      <w:pPr>
        <w:pStyle w:val="Normal"/>
        <w:numPr>
          <w:ilvl w:val="0"/>
          <w:numId w:val="7"/>
        </w:numPr>
        <w:rPr/>
      </w:pPr>
      <w:r>
        <w:rPr/>
        <w:t>The purpose of the Police Check is to see whether the person has any previous criminal convictions and/or had any contact with the NZ Police. Subject to the Criminal Records (Clean Slate) Act 2004, if the person has had contact with the NZ Police, then the following requirements apply:</w:t>
      </w:r>
    </w:p>
    <w:p>
      <w:pPr>
        <w:pStyle w:val="Normal"/>
        <w:numPr>
          <w:ilvl w:val="3"/>
          <w:numId w:val="7"/>
        </w:numPr>
        <w:ind w:hanging="174" w:left="1134"/>
        <w:rPr/>
      </w:pPr>
      <w:r>
        <w:rPr/>
        <w:t xml:space="preserve">If there is no conviction but the contact with the NZ Police (whenever it occurred) involved dishonesty, drugs, threatening behaviour, harassment, violence, or other crimes against a person (e.g. sex offences, assault) then the Member Protection Officer will provide the person with the opportunity to respond. The response will be provided to the Club President for a final decision on whether an appointment can be made or a person can continue working in the programme. </w:t>
      </w:r>
    </w:p>
    <w:p>
      <w:pPr>
        <w:pStyle w:val="Normal"/>
        <w:numPr>
          <w:ilvl w:val="3"/>
          <w:numId w:val="7"/>
        </w:numPr>
        <w:ind w:hanging="174" w:left="1134"/>
        <w:rPr/>
      </w:pPr>
      <w:r>
        <w:rPr/>
        <w:t xml:space="preserve"> </w:t>
      </w:r>
      <w:r>
        <w:rPr/>
        <w:t xml:space="preserve">If the person has a conviction involving dishonesty, drugs, threatening behaviour, harassment, violence, or other crimes against a person (e.g. sex offences, assault) then they must not be appointed to the role. </w:t>
      </w:r>
    </w:p>
    <w:p>
      <w:pPr>
        <w:pStyle w:val="Normal"/>
        <w:numPr>
          <w:ilvl w:val="3"/>
          <w:numId w:val="7"/>
        </w:numPr>
        <w:ind w:hanging="174" w:left="1134"/>
        <w:rPr/>
      </w:pPr>
      <w:r>
        <w:rPr/>
        <w:t xml:space="preserve">If the conviction is other than those in C (ii), and is a matter that does not suggest that the person is a potential risk to children and staff, then the person may be appointed, subject to satisfaction of other criteria for the role. </w:t>
      </w:r>
    </w:p>
    <w:p>
      <w:pPr>
        <w:pStyle w:val="Normal"/>
        <w:numPr>
          <w:ilvl w:val="3"/>
          <w:numId w:val="7"/>
        </w:numPr>
        <w:ind w:hanging="174" w:left="1134"/>
        <w:rPr/>
      </w:pPr>
      <w:r>
        <w:rPr/>
        <w:t xml:space="preserve">If the preferred applicant is not willing to agree to the Police Check or Ministry of Justice Criminal Check, then the Club shall not appoint that person to such a role. </w:t>
      </w:r>
    </w:p>
    <w:p>
      <w:pPr>
        <w:pStyle w:val="Normal"/>
        <w:numPr>
          <w:ilvl w:val="0"/>
          <w:numId w:val="7"/>
        </w:numPr>
        <w:rPr/>
      </w:pPr>
      <w:r>
        <w:rPr/>
        <w:t xml:space="preserve">All information obtained during the course of screening (including any Police or Criminal Checks) is personal information and shall comply with the Privacy Act. It must be kept confidential to the persons or committee within the Club who has been delegated the task of investigating and/or making the appointment for the role. Information collected during the screening about a person who is not appointed to the role, other than a record of the result of any check, must be destroyed within twelve months and not retained by the Club, unless the applicant agrees for them to do so. </w:t>
      </w:r>
    </w:p>
    <w:p>
      <w:pPr>
        <w:pStyle w:val="Normal"/>
        <w:rPr/>
      </w:pPr>
      <w:r>
        <w:rPr/>
        <w:t>In addition, the Club is required, under the Vulnerable Children Act, to conduct police vetting for existing staff or volunteers in the roles of the type set out in Section</w:t>
      </w:r>
      <w:r>
        <w:rPr>
          <w:i/>
          <w:iCs/>
        </w:rPr>
        <w:fldChar w:fldCharType="begin"/>
      </w:r>
      <w:r>
        <w:rPr>
          <w:i/>
          <w:iCs/>
        </w:rPr>
        <w:instrText xml:space="preserve"> REF __RefHeading___Toc1699_361558945 \r \r \h </w:instrText>
      </w:r>
      <w:r>
        <w:rPr>
          <w:i/>
          <w:iCs/>
        </w:rPr>
        <w:fldChar w:fldCharType="separate"/>
      </w:r>
      <w:r>
        <w:rPr>
          <w:i/>
          <w:iCs/>
        </w:rPr>
        <w:t xml:space="preserve"> 2 </w:t>
      </w:r>
      <w:r>
        <w:rPr>
          <w:i/>
          <w:iCs/>
        </w:rPr>
        <w:fldChar w:fldCharType="end"/>
      </w:r>
      <w:r>
        <w:rPr>
          <w:i/>
          <w:iCs/>
        </w:rPr>
        <w:fldChar w:fldCharType="begin"/>
      </w:r>
      <w:r>
        <w:rPr>
          <w:i/>
          <w:iCs/>
        </w:rPr>
        <w:instrText xml:space="preserve"> REF __RefHeading___Toc1699_361558945 \h </w:instrText>
      </w:r>
      <w:r>
        <w:rPr>
          <w:i/>
          <w:iCs/>
        </w:rPr>
        <w:fldChar w:fldCharType="separate"/>
      </w:r>
      <w:r>
        <w:rPr>
          <w:i/>
          <w:iCs/>
        </w:rPr>
        <w:t>Policy Scope</w:t>
      </w:r>
      <w:r>
        <w:rPr>
          <w:i/>
          <w:iCs/>
        </w:rPr>
        <w:fldChar w:fldCharType="end"/>
      </w:r>
      <w:r>
        <w:rPr/>
        <w:t xml:space="preserve"> of this policy. </w:t>
      </w:r>
    </w:p>
    <w:p>
      <w:pPr>
        <w:pStyle w:val="Normal"/>
        <w:rPr/>
      </w:pPr>
      <w:r>
        <w:rPr/>
        <w:t>All information obtained during the course of screening (including any Police or Criminal Checks) is personal information and shall comply with the Privacy Act. It must be kept confidential to the persons or committee within Arawa Canoe Club, who has been delegated the task of investigating and/or making the appointment for the role and, where relevant, the Child Protection Officer. Information collected during the screening about a person who is not appointed to the role must be destroyed within twelve months and not retained by Arawa Canoe Club unless the applicant agrees for them to do so.</w:t>
      </w:r>
    </w:p>
    <w:p>
      <w:pPr>
        <w:pStyle w:val="Heading2"/>
        <w:ind w:hanging="0" w:left="0"/>
        <w:rPr/>
      </w:pPr>
      <w:r>
        <w:rPr/>
        <w:t>Education and training of staff and volunteers</w:t>
      </w:r>
    </w:p>
    <w:p>
      <w:pPr>
        <w:pStyle w:val="Normal"/>
        <w:rPr/>
      </w:pPr>
      <w:r>
        <w:rPr/>
        <w:t xml:space="preserve">In addition to the pre-selection checks, the child protection process should include subsequent monitoring and training of staff and volunteers in order to ensure that they are working safely and effectively with children. </w:t>
      </w:r>
    </w:p>
    <w:p>
      <w:pPr>
        <w:pStyle w:val="Normal"/>
        <w:numPr>
          <w:ilvl w:val="0"/>
          <w:numId w:val="8"/>
        </w:numPr>
        <w:rPr/>
      </w:pPr>
      <w:r>
        <w:rPr/>
        <w:t>Staff/volunteer induction is an ideal time to introduce child protection training and the procedures set out in this policy.</w:t>
      </w:r>
    </w:p>
    <w:p>
      <w:pPr>
        <w:pStyle w:val="Normal"/>
        <w:numPr>
          <w:ilvl w:val="0"/>
          <w:numId w:val="8"/>
        </w:numPr>
        <w:rPr/>
      </w:pPr>
      <w:r>
        <w:rPr/>
        <w:t>Staff/volunteers should be clear what constitutes inappropriate or unacceptable behaviour.  </w:t>
      </w:r>
    </w:p>
    <w:p>
      <w:pPr>
        <w:pStyle w:val="Normal"/>
        <w:numPr>
          <w:ilvl w:val="0"/>
          <w:numId w:val="8"/>
        </w:numPr>
        <w:rPr/>
      </w:pPr>
      <w:r>
        <w:rPr/>
        <w:t>Identify any potential risk situations and provide staff/volunteers with guidelines to ensure every step is taken to remove them from situations where potential for abuse or allegations of abuse could occur.  </w:t>
      </w:r>
    </w:p>
    <w:p>
      <w:pPr>
        <w:pStyle w:val="Normal"/>
        <w:numPr>
          <w:ilvl w:val="0"/>
          <w:numId w:val="8"/>
        </w:numPr>
        <w:rPr/>
      </w:pPr>
      <w:r>
        <w:rPr/>
        <w:t xml:space="preserve">Identify and respond to any unacceptable behaviour or practices of staff and volunteers and respond in a positive manner i.e. via training to improve practices. </w:t>
      </w:r>
    </w:p>
    <w:p>
      <w:pPr>
        <w:pStyle w:val="ListParagraph"/>
        <w:numPr>
          <w:ilvl w:val="0"/>
          <w:numId w:val="8"/>
        </w:numPr>
        <w:rPr/>
      </w:pPr>
      <w:r>
        <w:rPr/>
        <w:t xml:space="preserve">All staff and volunteers must complete the Sport Integrity Commission’s </w:t>
      </w:r>
      <w:hyperlink r:id="rId3">
        <w:r>
          <w:rPr>
            <w:rStyle w:val="Hyperlink"/>
          </w:rPr>
          <w:t>Child protection and safeguarding education</w:t>
        </w:r>
      </w:hyperlink>
      <w:r>
        <w:rPr/>
        <w:t xml:space="preserve"> e-learning module as part of their induction. Their certificate of completion must be provided to Arawa Canoe Club and stored by the club. This must be kept up to date and repeated upon expiration.</w:t>
      </w:r>
    </w:p>
    <w:p>
      <w:pPr>
        <w:pStyle w:val="Normal"/>
        <w:numPr>
          <w:ilvl w:val="0"/>
          <w:numId w:val="8"/>
        </w:numPr>
        <w:rPr/>
      </w:pPr>
      <w:r>
        <w:rPr/>
        <w:t>Staff and volunteers shall be observed and monitored in their roles on a regular basis to ensure their practices and behaviors align with all club policies and procedures. </w:t>
      </w:r>
    </w:p>
    <w:p>
      <w:pPr>
        <w:pStyle w:val="Heading1"/>
        <w:numPr>
          <w:ilvl w:val="0"/>
          <w:numId w:val="1"/>
        </w:numPr>
        <w:rPr/>
      </w:pPr>
      <w:r>
        <w:rPr/>
        <w:t>Member Protection Officer</w:t>
      </w:r>
    </w:p>
    <w:p>
      <w:pPr>
        <w:pStyle w:val="Normal"/>
        <w:rPr/>
      </w:pPr>
      <w:r>
        <w:rPr/>
        <w:t xml:space="preserve">A Member Protection Officer (MPO) includes the role of Child Protection Officer, is appointed for the Club.  Contact details are communicated via newsletter updates and on the club website.  The primary role of the MPO is to be available as an independent, objective and confidential channel to manage child and member protection issues. </w:t>
      </w:r>
    </w:p>
    <w:p>
      <w:pPr>
        <w:pStyle w:val="Normal"/>
        <w:rPr/>
      </w:pPr>
      <w:r>
        <w:rPr/>
        <w:t>Main duties/responsibilities include:</w:t>
      </w:r>
    </w:p>
    <w:p>
      <w:pPr>
        <w:pStyle w:val="Normal"/>
        <w:numPr>
          <w:ilvl w:val="0"/>
          <w:numId w:val="5"/>
        </w:numPr>
        <w:rPr/>
      </w:pPr>
      <w:r>
        <w:rPr/>
        <w:t xml:space="preserve">Acting as the main contact and support for child protection matters, </w:t>
      </w:r>
    </w:p>
    <w:p>
      <w:pPr>
        <w:pStyle w:val="Normal"/>
        <w:numPr>
          <w:ilvl w:val="0"/>
          <w:numId w:val="5"/>
        </w:numPr>
        <w:rPr/>
      </w:pPr>
      <w:r>
        <w:rPr/>
        <w:t>Ensuring that child protection procedures are understood and adhered to by all members and staff via the Club Committee,</w:t>
      </w:r>
    </w:p>
    <w:p>
      <w:pPr>
        <w:pStyle w:val="Normal"/>
        <w:numPr>
          <w:ilvl w:val="0"/>
          <w:numId w:val="5"/>
        </w:numPr>
        <w:rPr/>
      </w:pPr>
      <w:r>
        <w:rPr/>
        <w:t>Organising promotional activities, training and raising awareness within the Club via the Committee,</w:t>
      </w:r>
    </w:p>
    <w:p>
      <w:pPr>
        <w:pStyle w:val="Normal"/>
        <w:numPr>
          <w:ilvl w:val="0"/>
          <w:numId w:val="5"/>
        </w:numPr>
        <w:rPr/>
      </w:pPr>
      <w:r>
        <w:rPr/>
        <w:t xml:space="preserve">Establishing and maintaining the complaints procedure, </w:t>
      </w:r>
    </w:p>
    <w:p>
      <w:pPr>
        <w:pStyle w:val="Normal"/>
        <w:numPr>
          <w:ilvl w:val="0"/>
          <w:numId w:val="5"/>
        </w:numPr>
        <w:rPr/>
      </w:pPr>
      <w:r>
        <w:rPr/>
        <w:t>Reporting to the Committee (if appropriate),</w:t>
      </w:r>
    </w:p>
    <w:p>
      <w:pPr>
        <w:pStyle w:val="Normal"/>
        <w:numPr>
          <w:ilvl w:val="0"/>
          <w:numId w:val="5"/>
        </w:numPr>
        <w:rPr/>
      </w:pPr>
      <w:r>
        <w:rPr/>
        <w:t xml:space="preserve">Maintaining confidential records of reported cases and any action taken, </w:t>
      </w:r>
    </w:p>
    <w:p>
      <w:pPr>
        <w:pStyle w:val="Normal"/>
        <w:numPr>
          <w:ilvl w:val="0"/>
          <w:numId w:val="5"/>
        </w:numPr>
        <w:rPr/>
      </w:pPr>
      <w:r>
        <w:rPr/>
        <w:t>Regularly monitoring and reviewing existing policies and procedures.</w:t>
      </w:r>
    </w:p>
    <w:p>
      <w:pPr>
        <w:pStyle w:val="Normal"/>
        <w:rPr/>
      </w:pPr>
      <w:r>
        <w:rPr/>
        <w:t>The MPO’s only obligation to the Club Committee is to report that there has been an issued raised.  It is important that children understand that their issues will remain confidential unless they agree that the details can be released to the committee.</w:t>
      </w:r>
    </w:p>
    <w:p>
      <w:pPr>
        <w:pStyle w:val="Heading1"/>
        <w:numPr>
          <w:ilvl w:val="0"/>
          <w:numId w:val="1"/>
        </w:numPr>
        <w:rPr/>
      </w:pPr>
      <w:r>
        <w:rPr/>
        <w:t>Issues or complaints</w:t>
      </w:r>
    </w:p>
    <w:p>
      <w:pPr>
        <w:pStyle w:val="Normal"/>
        <w:rPr/>
      </w:pPr>
      <w:r>
        <w:rPr/>
        <w:t>If a child has an issue or a grievance with another member, a member of their squad, a coach, a committee member or the committee, or the club, they are to raise it with the person closest to the issue.  If the child is not comfortable with that or doesn’t feel the issue has been addressed or resolved effectively then they are to escalate it progressively to:</w:t>
      </w:r>
    </w:p>
    <w:p>
      <w:pPr>
        <w:pStyle w:val="Normal"/>
        <w:numPr>
          <w:ilvl w:val="0"/>
          <w:numId w:val="2"/>
        </w:numPr>
        <w:rPr/>
      </w:pPr>
      <w:r>
        <w:rPr/>
        <w:t>Their coach or another coach</w:t>
      </w:r>
    </w:p>
    <w:p>
      <w:pPr>
        <w:pStyle w:val="Normal"/>
        <w:numPr>
          <w:ilvl w:val="0"/>
          <w:numId w:val="2"/>
        </w:numPr>
        <w:rPr/>
      </w:pPr>
      <w:r>
        <w:rPr/>
        <w:t>A senior club member or a committee member</w:t>
      </w:r>
    </w:p>
    <w:p>
      <w:pPr>
        <w:pStyle w:val="Normal"/>
        <w:numPr>
          <w:ilvl w:val="0"/>
          <w:numId w:val="2"/>
        </w:numPr>
        <w:rPr/>
      </w:pPr>
      <w:r>
        <w:rPr/>
        <w:t>The committee or president (either via the Administrator admin@arawa.org.nz or president@arawa.org.nz)</w:t>
      </w:r>
    </w:p>
    <w:p>
      <w:pPr>
        <w:pStyle w:val="Normal"/>
        <w:numPr>
          <w:ilvl w:val="0"/>
          <w:numId w:val="2"/>
        </w:numPr>
        <w:rPr/>
      </w:pPr>
      <w:r>
        <w:rPr/>
        <w:t>The Member Protection Officer (</w:t>
      </w:r>
      <w:hyperlink r:id="rId4">
        <w:r>
          <w:rPr>
            <w:rStyle w:val="Hyperlink"/>
          </w:rPr>
          <w:t>mpo@arawa.org.nz</w:t>
        </w:r>
      </w:hyperlink>
      <w:r>
        <w:rPr/>
        <w:t xml:space="preserve"> or 021-801-604).</w:t>
      </w:r>
    </w:p>
    <w:p>
      <w:pPr>
        <w:pStyle w:val="Heading1"/>
        <w:numPr>
          <w:ilvl w:val="0"/>
          <w:numId w:val="1"/>
        </w:numPr>
        <w:rPr/>
      </w:pPr>
      <w:r>
        <w:rPr/>
        <w:t xml:space="preserve">Responding to suspected harm - specifically physical or sexual abuse </w:t>
      </w:r>
    </w:p>
    <w:p>
      <w:pPr>
        <w:pStyle w:val="Normal"/>
        <w:rPr/>
      </w:pPr>
      <w:r>
        <w:rPr/>
        <w:t>Physical or sexual abuse is at the most serious end of the harm spectrum and will require an immediate response. In responding to suspected child physical or sexual abuse there are a few key principles that should be applied immediately. These are:</w:t>
      </w:r>
    </w:p>
    <w:p>
      <w:pPr>
        <w:pStyle w:val="Normal"/>
        <w:numPr>
          <w:ilvl w:val="0"/>
          <w:numId w:val="15"/>
        </w:numPr>
        <w:rPr/>
      </w:pPr>
      <w:r>
        <w:rPr/>
        <w:t xml:space="preserve">The welfare and interests of the child are the first and paramount considerations. </w:t>
      </w:r>
    </w:p>
    <w:p>
      <w:pPr>
        <w:pStyle w:val="Normal"/>
        <w:numPr>
          <w:ilvl w:val="0"/>
          <w:numId w:val="15"/>
        </w:numPr>
        <w:rPr/>
      </w:pPr>
      <w:r>
        <w:rPr>
          <w:rFonts w:cs="Cambria" w:cstheme="minorHAnsi"/>
          <w:color w:val="000000"/>
        </w:rPr>
        <w:t xml:space="preserve">Suspected and actual incidences of reported harm should be responded to and </w:t>
      </w:r>
      <w:r>
        <w:rPr>
          <w:rFonts w:eastAsia="MS Gothic" w:cs="MS Gothic" w:ascii="MS Gothic" w:hAnsi="MS Gothic"/>
          <w:color w:val="000000"/>
        </w:rPr>
        <w:t> </w:t>
      </w:r>
      <w:r>
        <w:rPr>
          <w:rFonts w:cs="Cambria" w:cstheme="minorHAnsi"/>
          <w:color w:val="000000"/>
        </w:rPr>
        <w:t xml:space="preserve">recorded accurately and appropriately and as soon as possible. </w:t>
      </w:r>
    </w:p>
    <w:p>
      <w:pPr>
        <w:pStyle w:val="Normal"/>
        <w:numPr>
          <w:ilvl w:val="0"/>
          <w:numId w:val="15"/>
        </w:numPr>
        <w:rPr/>
      </w:pPr>
      <w:r>
        <w:rPr>
          <w:rFonts w:cs="Cambria" w:cstheme="minorHAnsi"/>
          <w:color w:val="000000"/>
        </w:rPr>
        <w:t xml:space="preserve">Notify The Ministry for Children, Oranga Tamariki, if you are worried about suspected physical or sexual abuse of a child. If you think the child is at immediate risk, the Police should be notified. (Police are the only people who can remove a child from a family. The Ministry for Vulnerable Children must first apply through the court.) </w:t>
      </w:r>
    </w:p>
    <w:p>
      <w:pPr>
        <w:pStyle w:val="Normal"/>
        <w:rPr/>
      </w:pPr>
      <w:r>
        <w:rPr/>
        <w:t>Responding to suspected or disclosed harm in the form of physical or sexual abuse:</w:t>
      </w:r>
    </w:p>
    <w:tbl>
      <w:tblPr>
        <w:tblW w:w="5000" w:type="pct"/>
        <w:jc w:val="left"/>
        <w:tblInd w:w="0" w:type="dxa"/>
        <w:tblLayout w:type="fixed"/>
        <w:tblCellMar>
          <w:top w:w="0" w:type="dxa"/>
          <w:left w:w="0" w:type="dxa"/>
          <w:bottom w:w="0" w:type="dxa"/>
          <w:right w:w="0" w:type="dxa"/>
        </w:tblCellMar>
      </w:tblPr>
      <w:tblGrid>
        <w:gridCol w:w="1753"/>
        <w:gridCol w:w="2222"/>
        <w:gridCol w:w="6011"/>
      </w:tblGrid>
      <w:tr>
        <w:trPr/>
        <w:tc>
          <w:tcPr>
            <w:tcW w:w="1753" w:type="dxa"/>
            <w:tcBorders/>
            <w:shd w:fill="DDDDDD" w:val="clear"/>
          </w:tcPr>
          <w:p>
            <w:pPr>
              <w:pStyle w:val="TableContents"/>
              <w:spacing w:before="57" w:after="57"/>
              <w:jc w:val="center"/>
              <w:rPr>
                <w:b/>
                <w:bCs/>
                <w:color w:val="000000"/>
                <w:sz w:val="20"/>
                <w:szCs w:val="20"/>
              </w:rPr>
            </w:pPr>
            <w:r>
              <w:rPr>
                <w:b/>
                <w:bCs/>
                <w:color w:val="000000"/>
                <w:sz w:val="20"/>
                <w:szCs w:val="20"/>
              </w:rPr>
              <w:t>Situation</w:t>
            </w:r>
          </w:p>
        </w:tc>
        <w:tc>
          <w:tcPr>
            <w:tcW w:w="2222" w:type="dxa"/>
            <w:tcBorders/>
            <w:shd w:fill="DDDDDD" w:val="clear"/>
          </w:tcPr>
          <w:p>
            <w:pPr>
              <w:pStyle w:val="TableContents"/>
              <w:spacing w:before="57" w:after="57"/>
              <w:jc w:val="center"/>
              <w:rPr>
                <w:b/>
                <w:bCs/>
                <w:color w:val="000000"/>
                <w:sz w:val="20"/>
                <w:szCs w:val="20"/>
              </w:rPr>
            </w:pPr>
            <w:r>
              <w:rPr>
                <w:b/>
                <w:bCs/>
                <w:color w:val="000000"/>
                <w:sz w:val="20"/>
                <w:szCs w:val="20"/>
              </w:rPr>
              <w:t>Action</w:t>
            </w:r>
          </w:p>
        </w:tc>
        <w:tc>
          <w:tcPr>
            <w:tcW w:w="6011" w:type="dxa"/>
            <w:tcBorders/>
            <w:shd w:fill="DDDDDD" w:val="clear"/>
          </w:tcPr>
          <w:p>
            <w:pPr>
              <w:pStyle w:val="TableContents"/>
              <w:spacing w:before="57" w:after="57"/>
              <w:jc w:val="center"/>
              <w:rPr>
                <w:b/>
                <w:bCs/>
                <w:color w:val="000000"/>
                <w:sz w:val="20"/>
                <w:szCs w:val="20"/>
              </w:rPr>
            </w:pPr>
            <w:r>
              <w:rPr>
                <w:b/>
                <w:bCs/>
                <w:color w:val="000000"/>
                <w:sz w:val="20"/>
                <w:szCs w:val="20"/>
              </w:rPr>
              <w:t>Considerations</w:t>
            </w:r>
          </w:p>
        </w:tc>
      </w:tr>
      <w:tr>
        <w:trPr/>
        <w:tc>
          <w:tcPr>
            <w:tcW w:w="1753" w:type="dxa"/>
            <w:tcBorders/>
          </w:tcPr>
          <w:p>
            <w:pPr>
              <w:pStyle w:val="TableContents"/>
              <w:spacing w:before="57" w:after="57"/>
              <w:rPr/>
            </w:pPr>
            <w:r>
              <w:rPr/>
              <w:t>Harm suspected, witnessed, reported or disclosed</w:t>
            </w:r>
          </w:p>
        </w:tc>
        <w:tc>
          <w:tcPr>
            <w:tcW w:w="2222" w:type="dxa"/>
            <w:tcBorders/>
          </w:tcPr>
          <w:p>
            <w:pPr>
              <w:pStyle w:val="TableContents"/>
              <w:spacing w:before="57" w:after="57"/>
              <w:rPr/>
            </w:pPr>
            <w:r>
              <w:rPr/>
              <w:t>Ensure the child is safe from immediate harm.</w:t>
            </w:r>
          </w:p>
        </w:tc>
        <w:tc>
          <w:tcPr>
            <w:tcW w:w="6011" w:type="dxa"/>
            <w:tcBorders/>
          </w:tcPr>
          <w:p>
            <w:pPr>
              <w:pStyle w:val="TableContents"/>
              <w:spacing w:before="57" w:after="57"/>
              <w:rPr/>
            </w:pPr>
            <w:r>
              <w:rPr/>
              <w:t>Do not formally interview the child or make any judgements or commitments you cannot keep. Confidentiality is important. Avoid questioning the child beyond what they have already disclosed. Record facts concisely following: type of harm, signs and symptoms noted, any particular incidents with dates, times and place and any action taken.</w:t>
            </w:r>
          </w:p>
        </w:tc>
      </w:tr>
      <w:tr>
        <w:trPr/>
        <w:tc>
          <w:tcPr>
            <w:tcW w:w="1753" w:type="dxa"/>
            <w:tcBorders/>
          </w:tcPr>
          <w:p>
            <w:pPr>
              <w:pStyle w:val="TableContents"/>
              <w:spacing w:before="57" w:after="57"/>
              <w:rPr/>
            </w:pPr>
            <w:r>
              <w:rPr/>
              <w:t>If alleged harm is by a staff member or volunteer</w:t>
            </w:r>
          </w:p>
        </w:tc>
        <w:tc>
          <w:tcPr>
            <w:tcW w:w="2222" w:type="dxa"/>
            <w:tcBorders/>
          </w:tcPr>
          <w:p>
            <w:pPr>
              <w:pStyle w:val="TableContents"/>
              <w:spacing w:before="57" w:after="57"/>
              <w:rPr/>
            </w:pPr>
            <w:r>
              <w:rPr/>
              <w:t>Listen to the child and reassure them.</w:t>
            </w:r>
          </w:p>
        </w:tc>
        <w:tc>
          <w:tcPr>
            <w:tcW w:w="6011" w:type="dxa"/>
            <w:tcBorders/>
          </w:tcPr>
          <w:p>
            <w:pPr>
              <w:pStyle w:val="TableContents"/>
              <w:spacing w:before="57" w:after="57"/>
              <w:rPr/>
            </w:pPr>
            <w:r>
              <w:rPr/>
              <w:t>A staff member or volunteer must be informed of any allegations against them. Be guided by the Police on this as each situation will be judged in its merits. Where there is a criminal offence the Police may want to notify the person. The employee or volunteer may be stood down while the matter is being investigated.</w:t>
            </w:r>
          </w:p>
        </w:tc>
      </w:tr>
      <w:tr>
        <w:trPr/>
        <w:tc>
          <w:tcPr>
            <w:tcW w:w="1753" w:type="dxa"/>
            <w:tcBorders/>
          </w:tcPr>
          <w:p>
            <w:pPr>
              <w:pStyle w:val="TableContents"/>
              <w:spacing w:before="57" w:after="57"/>
              <w:rPr/>
            </w:pPr>
            <w:r>
              <w:rPr/>
              <w:t>If alleged harm is by a non-staff member</w:t>
            </w:r>
          </w:p>
        </w:tc>
        <w:tc>
          <w:tcPr>
            <w:tcW w:w="2222" w:type="dxa"/>
            <w:tcBorders/>
          </w:tcPr>
          <w:p>
            <w:pPr>
              <w:pStyle w:val="TableContents"/>
              <w:spacing w:before="57" w:after="57"/>
              <w:rPr/>
            </w:pPr>
            <w:r>
              <w:rPr/>
              <w:t>Record accurately and appropriately any information received/observed.</w:t>
            </w:r>
          </w:p>
        </w:tc>
        <w:tc>
          <w:tcPr>
            <w:tcW w:w="6011" w:type="dxa"/>
            <w:tcBorders/>
          </w:tcPr>
          <w:p>
            <w:pPr>
              <w:pStyle w:val="TableContents"/>
              <w:spacing w:before="57" w:after="57"/>
              <w:rPr/>
            </w:pPr>
            <w:r>
              <w:rPr/>
              <w:t>Decide who will inform the parents and provide support to the family. Seek help from trained personnel in order to manage this process effectively.</w:t>
            </w:r>
          </w:p>
        </w:tc>
      </w:tr>
      <w:tr>
        <w:trPr/>
        <w:tc>
          <w:tcPr>
            <w:tcW w:w="1753" w:type="dxa"/>
            <w:tcBorders/>
          </w:tcPr>
          <w:p>
            <w:pPr>
              <w:pStyle w:val="TableContents"/>
              <w:spacing w:before="57" w:after="57"/>
              <w:rPr/>
            </w:pPr>
            <w:r>
              <w:rPr/>
              <w:t>Investigation by the Police</w:t>
            </w:r>
          </w:p>
        </w:tc>
        <w:tc>
          <w:tcPr>
            <w:tcW w:w="2222" w:type="dxa"/>
            <w:tcBorders/>
          </w:tcPr>
          <w:p>
            <w:pPr>
              <w:pStyle w:val="TableContents"/>
              <w:spacing w:before="57" w:after="57"/>
              <w:rPr/>
            </w:pPr>
            <w:r>
              <w:rPr/>
              <w:t>Consult immediately with MPO.</w:t>
            </w:r>
          </w:p>
        </w:tc>
        <w:tc>
          <w:tcPr>
            <w:tcW w:w="6011" w:type="dxa"/>
            <w:tcBorders/>
          </w:tcPr>
          <w:p>
            <w:pPr>
              <w:pStyle w:val="TableContents"/>
              <w:spacing w:before="57" w:after="57"/>
              <w:rPr/>
            </w:pPr>
            <w:r>
              <w:rPr/>
              <w:t>Note that there is a difference between a criminal investigation and an employment matter and that these must be kept separate.</w:t>
            </w:r>
          </w:p>
        </w:tc>
      </w:tr>
      <w:tr>
        <w:trPr/>
        <w:tc>
          <w:tcPr>
            <w:tcW w:w="1753" w:type="dxa"/>
            <w:tcBorders/>
          </w:tcPr>
          <w:p>
            <w:pPr>
              <w:pStyle w:val="TableContents"/>
              <w:spacing w:before="57" w:after="57"/>
              <w:rPr/>
            </w:pPr>
            <w:r>
              <w:rPr/>
              <w:t>The Club debrief</w:t>
            </w:r>
          </w:p>
        </w:tc>
        <w:tc>
          <w:tcPr>
            <w:tcW w:w="2222" w:type="dxa"/>
            <w:tcBorders/>
          </w:tcPr>
          <w:p>
            <w:pPr>
              <w:pStyle w:val="TableContents"/>
              <w:spacing w:before="57" w:after="57"/>
              <w:rPr/>
            </w:pPr>
            <w:r>
              <w:rPr/>
              <w:t>MPO to report the concern to CYF or the Police.</w:t>
            </w:r>
          </w:p>
        </w:tc>
        <w:tc>
          <w:tcPr>
            <w:tcW w:w="6011" w:type="dxa"/>
            <w:tcBorders/>
          </w:tcPr>
          <w:p>
            <w:pPr>
              <w:pStyle w:val="TableContents"/>
              <w:spacing w:before="57" w:after="57"/>
              <w:rPr/>
            </w:pPr>
            <w:r>
              <w:rPr/>
              <w:t>Debrief will include decisions about the person’s future involvement and a review of how the situation was managed and what changes to policy or safeguards need to be made.</w:t>
            </w:r>
          </w:p>
        </w:tc>
      </w:tr>
      <w:tr>
        <w:trPr/>
        <w:tc>
          <w:tcPr>
            <w:tcW w:w="1753" w:type="dxa"/>
            <w:tcBorders/>
          </w:tcPr>
          <w:p>
            <w:pPr>
              <w:pStyle w:val="TableContents"/>
              <w:spacing w:before="57" w:after="57"/>
              <w:rPr/>
            </w:pPr>
            <w:r>
              <w:rPr/>
            </w:r>
          </w:p>
        </w:tc>
        <w:tc>
          <w:tcPr>
            <w:tcW w:w="2222" w:type="dxa"/>
            <w:tcBorders/>
          </w:tcPr>
          <w:p>
            <w:pPr>
              <w:pStyle w:val="TableContents"/>
              <w:spacing w:before="57" w:after="57"/>
              <w:rPr/>
            </w:pPr>
            <w:r>
              <w:rPr/>
              <w:t>Follow the advice of CYF or the Police. Ensure the child is in a safe place.</w:t>
            </w:r>
          </w:p>
        </w:tc>
        <w:tc>
          <w:tcPr>
            <w:tcW w:w="6011" w:type="dxa"/>
            <w:tcBorders/>
          </w:tcPr>
          <w:p>
            <w:pPr>
              <w:pStyle w:val="TableContents"/>
              <w:spacing w:before="57" w:after="57"/>
              <w:rPr/>
            </w:pPr>
            <w:r>
              <w:rPr/>
            </w:r>
          </w:p>
        </w:tc>
      </w:tr>
    </w:tbl>
    <w:p>
      <w:pPr>
        <w:pStyle w:val="Normal"/>
        <w:rPr/>
      </w:pPr>
      <w:r>
        <w:rPr/>
      </w:r>
    </w:p>
    <w:p>
      <w:pPr>
        <w:pStyle w:val="Normal"/>
        <w:rPr/>
      </w:pPr>
      <w:r>
        <w:rPr/>
        <w:t>Managing the rights of the alleged offender:</w:t>
      </w:r>
    </w:p>
    <w:p>
      <w:pPr>
        <w:pStyle w:val="Normal"/>
        <w:numPr>
          <w:ilvl w:val="0"/>
          <w:numId w:val="6"/>
        </w:numPr>
        <w:rPr/>
      </w:pPr>
      <w:r>
        <w:rPr/>
        <w:t xml:space="preserve">People who have allegedly acted improperly also have rights e.g. privacy. They also have a reputation and families of their own and it is important to carefully investigate any complaints and follow a robust and fair process. </w:t>
      </w:r>
    </w:p>
    <w:p>
      <w:pPr>
        <w:pStyle w:val="Heading1"/>
        <w:numPr>
          <w:ilvl w:val="0"/>
          <w:numId w:val="1"/>
        </w:numPr>
        <w:rPr/>
      </w:pPr>
      <w:r>
        <w:rPr/>
        <w:t>Dealing with allegations, responding to concerns</w:t>
      </w:r>
    </w:p>
    <w:p>
      <w:pPr>
        <w:pStyle w:val="Normal"/>
        <w:rPr/>
      </w:pPr>
      <w:r>
        <w:rPr/>
        <w:t>In accordance with Arawa Canoe Club’s responsibility to act on any serious concerns, the following should be brought to the attention of the MPO and the Committee:</w:t>
      </w:r>
    </w:p>
    <w:p>
      <w:pPr>
        <w:pStyle w:val="Normal"/>
        <w:numPr>
          <w:ilvl w:val="0"/>
          <w:numId w:val="13"/>
        </w:numPr>
        <w:rPr/>
      </w:pPr>
      <w:r>
        <w:rPr/>
        <w:t>Any instance where this policy is breached, or good practice guidelines are not followed.</w:t>
      </w:r>
    </w:p>
    <w:p>
      <w:pPr>
        <w:pStyle w:val="Normal"/>
        <w:numPr>
          <w:ilvl w:val="0"/>
          <w:numId w:val="13"/>
        </w:numPr>
        <w:rPr/>
      </w:pPr>
      <w:r>
        <w:rPr/>
        <w:t>Any disclosure by a child that abuse, or harm is occurring or has occurred.</w:t>
      </w:r>
    </w:p>
    <w:p>
      <w:pPr>
        <w:pStyle w:val="Normal"/>
        <w:numPr>
          <w:ilvl w:val="0"/>
          <w:numId w:val="13"/>
        </w:numPr>
        <w:rPr/>
      </w:pPr>
      <w:r>
        <w:rPr/>
        <w:t>Any suspicions or concerns about a child being subject to abuse.</w:t>
      </w:r>
    </w:p>
    <w:p>
      <w:pPr>
        <w:pStyle w:val="Normal"/>
        <w:rPr/>
      </w:pPr>
      <w:r>
        <w:rPr/>
        <w:t>Any person may report suspicions or concerns about a child being subject to harm or abuse, or make a complaint about a person to whom this Child Protection Policy applies if they consider that a person has, or may have, breached any part of this policy.</w:t>
      </w:r>
    </w:p>
    <w:p>
      <w:pPr>
        <w:pStyle w:val="Normal"/>
        <w:rPr>
          <w:b/>
          <w:bCs/>
        </w:rPr>
      </w:pPr>
      <w:r>
        <w:rPr>
          <w:b/>
          <w:bCs/>
        </w:rPr>
        <w:t>Where concerns about poor practice are reported</w:t>
      </w:r>
    </w:p>
    <w:p>
      <w:pPr>
        <w:pStyle w:val="Normal"/>
        <w:rPr/>
      </w:pPr>
      <w:r>
        <w:rPr/>
        <w:t>Poor practice involves actions that are contrary to the club policies and procedures and good practice guidelines provided by the club, and increase the risk of harm to children.</w:t>
      </w:r>
    </w:p>
    <w:p>
      <w:pPr>
        <w:pStyle w:val="Normal"/>
        <w:rPr/>
      </w:pPr>
      <w:r>
        <w:rPr/>
        <w:t>Initial concerns should be discussed with the MPO (in the absence of the MPO, the club committee or President should be notified). The MPO (or, where relevant, the committee or President) may:</w:t>
      </w:r>
    </w:p>
    <w:p>
      <w:pPr>
        <w:pStyle w:val="Normal"/>
        <w:numPr>
          <w:ilvl w:val="0"/>
          <w:numId w:val="14"/>
        </w:numPr>
        <w:rPr/>
      </w:pPr>
      <w:r>
        <w:rPr/>
        <w:t>Consider the allegation and where there is a legitimate concern provide a written notice to the individual(s) involved.</w:t>
      </w:r>
    </w:p>
    <w:p>
      <w:pPr>
        <w:pStyle w:val="Normal"/>
        <w:numPr>
          <w:ilvl w:val="0"/>
          <w:numId w:val="14"/>
        </w:numPr>
        <w:rPr/>
      </w:pPr>
      <w:r>
        <w:rPr/>
        <w:t>If the poor practice is continued or repeated poor practice following a written notice, then enact disciplinary procedures. This may include expulsion from the role and club.</w:t>
      </w:r>
    </w:p>
    <w:p>
      <w:pPr>
        <w:pStyle w:val="Normal"/>
        <w:numPr>
          <w:ilvl w:val="0"/>
          <w:numId w:val="14"/>
        </w:numPr>
        <w:rPr/>
      </w:pPr>
      <w:r>
        <w:rPr/>
        <w:t>Consider actions across all circumstances, for example – regular coaching and training situations, overnight stays.</w:t>
      </w:r>
    </w:p>
    <w:p>
      <w:pPr>
        <w:pStyle w:val="Heading1"/>
        <w:numPr>
          <w:ilvl w:val="0"/>
          <w:numId w:val="1"/>
        </w:numPr>
        <w:rPr/>
      </w:pPr>
      <w:r>
        <w:rPr>
          <w:b/>
        </w:rPr>
        <w:t>Code of Conduct</w:t>
      </w:r>
    </w:p>
    <w:p>
      <w:pPr>
        <w:pStyle w:val="Normal"/>
        <w:rPr/>
      </w:pPr>
      <w:r>
        <w:rPr/>
        <w:t>Arawa Canoe Club has a Code of Conduct which sets out expectations of its staff, coaches, instructors, volunteers and supporters.</w:t>
      </w:r>
    </w:p>
    <w:p>
      <w:pPr>
        <w:pStyle w:val="Normal"/>
        <w:rPr/>
      </w:pPr>
      <w:r>
        <w:rPr/>
        <w:t>The Code of Conduct has been developed to cover a variety of roles including coaches, instructors, officials, parents, and administrators. The code also reinforces the good practice protocols.</w:t>
      </w:r>
    </w:p>
    <w:p>
      <w:pPr>
        <w:pStyle w:val="Normal"/>
        <w:rPr/>
      </w:pPr>
      <w:r>
        <w:rPr/>
        <w:t>Complaint and internal discipline procedures for breaches of the code procedures have been developed in conjunction with the Code of Conduct.</w:t>
      </w:r>
    </w:p>
    <w:p>
      <w:pPr>
        <w:pStyle w:val="Heading1"/>
        <w:numPr>
          <w:ilvl w:val="0"/>
          <w:numId w:val="1"/>
        </w:numPr>
        <w:rPr/>
      </w:pPr>
      <w:r>
        <w:rPr/>
        <w:t>Integrity Code</w:t>
      </w:r>
    </w:p>
    <w:p>
      <w:pPr>
        <w:pStyle w:val="Normal"/>
        <w:rPr/>
      </w:pPr>
      <w:r>
        <w:rPr/>
        <w:t xml:space="preserve">Members agree to abide by the Integrity Code.  The code covers anti-doping, anti-corruption and participant protection, and gives avenues for complaints and resolutions.  </w:t>
      </w:r>
    </w:p>
    <w:p>
      <w:pPr>
        <w:pStyle w:val="Heading1"/>
        <w:numPr>
          <w:ilvl w:val="0"/>
          <w:numId w:val="1"/>
        </w:numPr>
        <w:rPr/>
      </w:pPr>
      <w:r>
        <w:rPr/>
        <w:t xml:space="preserve">Supporting links </w:t>
      </w:r>
    </w:p>
    <w:p>
      <w:pPr>
        <w:pStyle w:val="Normal"/>
        <w:rPr/>
      </w:pPr>
      <w:r>
        <w:rPr/>
        <w:t xml:space="preserve">Arawa Canoe Club Member Protection Officer:  Ruth  </w:t>
      </w:r>
      <w:hyperlink r:id="rId5">
        <w:r>
          <w:rPr>
            <w:rStyle w:val="Hyperlink"/>
          </w:rPr>
          <w:t>mpo@arawa.org.nz</w:t>
        </w:r>
      </w:hyperlink>
      <w:r>
        <w:rPr/>
        <w:t xml:space="preserve"> phone 021 801 604</w:t>
      </w:r>
    </w:p>
    <w:p>
      <w:pPr>
        <w:pStyle w:val="Normal"/>
        <w:rPr/>
      </w:pPr>
      <w:r>
        <w:fldChar w:fldCharType="begin"/>
      </w:r>
      <w:r>
        <w:rPr>
          <w:rStyle w:val="Hyperlink"/>
          <w:u w:val="single"/>
          <w:color w:val="000080"/>
        </w:rPr>
        <w:instrText xml:space="preserve"> HYPERLINK "https://www.legislation.govt.nz/act/public/2014/40/en/2018-05-01/" \l "DLM5501618"</w:instrText>
      </w:r>
      <w:r>
        <w:rPr>
          <w:rStyle w:val="Hyperlink"/>
          <w:u w:val="single"/>
          <w:color w:val="000080"/>
        </w:rPr>
        <w:fldChar w:fldCharType="separate"/>
      </w:r>
      <w:r>
        <w:rPr>
          <w:rStyle w:val="Hyperlink"/>
          <w:color w:val="000080"/>
          <w:u w:val="single"/>
        </w:rPr>
        <w:t>Vulnerable Children Act 2014</w:t>
      </w:r>
      <w:r>
        <w:rPr>
          <w:rStyle w:val="Hyperlink"/>
          <w:u w:val="single"/>
          <w:color w:val="000080"/>
        </w:rPr>
        <w:fldChar w:fldCharType="end"/>
      </w:r>
      <w:r>
        <w:rPr>
          <w:color w:val="000080"/>
          <w:u w:val="single"/>
        </w:rPr>
        <w:tab/>
      </w:r>
    </w:p>
    <w:p>
      <w:pPr>
        <w:pStyle w:val="Normal"/>
        <w:rPr/>
      </w:pPr>
      <w:hyperlink r:id="rId6">
        <w:r>
          <w:rPr>
            <w:rStyle w:val="Hyperlink"/>
            <w:color w:val="000080"/>
            <w:u w:val="single"/>
          </w:rPr>
          <w:t>Canoe Racing New Zealand Wellbeing &amp; Protection Regulation</w:t>
        </w:r>
      </w:hyperlink>
    </w:p>
    <w:p>
      <w:pPr>
        <w:pStyle w:val="Normal"/>
        <w:rPr/>
      </w:pPr>
      <w:hyperlink r:id="rId7">
        <w:r>
          <w:rPr>
            <w:rStyle w:val="Hyperlink"/>
            <w:color w:val="000080"/>
            <w:u w:val="single"/>
          </w:rPr>
          <w:t>New Zealand Police  Child Protection</w:t>
        </w:r>
      </w:hyperlink>
      <w:r>
        <w:rPr>
          <w:rStyle w:val="Hyperlink"/>
          <w:color w:val="000000"/>
          <w:u w:val="none"/>
        </w:rPr>
        <w:t xml:space="preserve"> – phone 105 (or 111 if it’s urgent)</w:t>
      </w:r>
    </w:p>
    <w:p>
      <w:pPr>
        <w:pStyle w:val="Normal"/>
        <w:rPr/>
      </w:pPr>
      <w:hyperlink r:id="rId8">
        <w:r>
          <w:rPr>
            <w:rStyle w:val="Hyperlink"/>
            <w:color w:val="000080"/>
            <w:u w:val="single"/>
          </w:rPr>
          <w:t>Oranga Tamariki</w:t>
        </w:r>
      </w:hyperlink>
      <w:r>
        <w:rPr>
          <w:color w:val="000080"/>
          <w:u w:val="single"/>
        </w:rPr>
        <w:t xml:space="preserve"> (aka CYF, Ministry for Children)</w:t>
      </w:r>
      <w:r>
        <w:rPr>
          <w:rStyle w:val="Hyperlink"/>
          <w:color w:val="000000"/>
          <w:u w:val="none"/>
        </w:rPr>
        <w:t xml:space="preserve"> – phone  0508 326 459</w:t>
      </w:r>
    </w:p>
    <w:p>
      <w:pPr>
        <w:pStyle w:val="Normal"/>
        <w:rPr>
          <w:rFonts w:ascii="Liberation Sans" w:hAnsi="Liberation Sans"/>
        </w:rPr>
      </w:pPr>
      <w:r>
        <w:rPr/>
      </w:r>
    </w:p>
    <w:p>
      <w:pPr>
        <w:pStyle w:val="Normal"/>
        <w:rPr/>
      </w:pPr>
      <w:r>
        <w:rPr/>
      </w:r>
    </w:p>
    <w:p>
      <w:pPr>
        <w:pStyle w:val="Normal"/>
        <w:rPr/>
      </w:pPr>
      <w:r>
        <w:rPr/>
      </w:r>
    </w:p>
    <w:p>
      <w:pPr>
        <w:pStyle w:val="Normal"/>
        <w:rPr/>
      </w:pPr>
      <w:r>
        <w:rPr/>
      </w:r>
    </w:p>
    <w:p>
      <w:pPr>
        <w:pStyle w:val="Heading1"/>
        <w:numPr>
          <w:ilvl w:val="0"/>
          <w:numId w:val="0"/>
        </w:numPr>
        <w:ind w:hanging="0" w:left="0"/>
        <w:rPr>
          <w:rFonts w:ascii="Liberation Sans" w:hAnsi="Liberation Sans"/>
          <w:lang w:val="en-GB"/>
        </w:rPr>
      </w:pPr>
      <w:r>
        <w:rPr>
          <w:lang w:val="en-GB"/>
        </w:rPr>
        <w:t>Change History</w:t>
      </w:r>
    </w:p>
    <w:tbl>
      <w:tblPr>
        <w:tblW w:w="10020" w:type="dxa"/>
        <w:jc w:val="left"/>
        <w:tblInd w:w="47" w:type="dxa"/>
        <w:tblLayout w:type="fixed"/>
        <w:tblCellMar>
          <w:top w:w="55" w:type="dxa"/>
          <w:left w:w="45" w:type="dxa"/>
          <w:bottom w:w="55" w:type="dxa"/>
          <w:right w:w="55" w:type="dxa"/>
        </w:tblCellMar>
        <w:tblLook w:val="0000" w:noHBand="0" w:noVBand="0" w:firstColumn="0" w:lastRow="0" w:lastColumn="0" w:firstRow="0"/>
      </w:tblPr>
      <w:tblGrid>
        <w:gridCol w:w="608"/>
        <w:gridCol w:w="4817"/>
        <w:gridCol w:w="2217"/>
        <w:gridCol w:w="2377"/>
      </w:tblGrid>
      <w:tr>
        <w:trPr/>
        <w:tc>
          <w:tcPr>
            <w:tcW w:w="608"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b/>
                <w:bCs/>
                <w:sz w:val="18"/>
                <w:szCs w:val="18"/>
                <w:lang w:val="en-GB"/>
              </w:rPr>
              <w:t>Ver.</w:t>
            </w:r>
          </w:p>
        </w:tc>
        <w:tc>
          <w:tcPr>
            <w:tcW w:w="4817"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b/>
                <w:bCs/>
                <w:sz w:val="18"/>
                <w:szCs w:val="18"/>
                <w:lang w:val="en-GB"/>
              </w:rPr>
              <w:t>Change</w:t>
            </w:r>
          </w:p>
        </w:tc>
        <w:tc>
          <w:tcPr>
            <w:tcW w:w="2217"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b/>
                <w:bCs/>
                <w:sz w:val="18"/>
                <w:szCs w:val="18"/>
                <w:lang w:val="en-GB"/>
              </w:rPr>
              <w:t>Who</w:t>
            </w:r>
          </w:p>
        </w:tc>
        <w:tc>
          <w:tcPr>
            <w:tcW w:w="2377" w:type="dxa"/>
            <w:tcBorders>
              <w:top w:val="single" w:sz="2" w:space="0" w:color="000001"/>
              <w:left w:val="single" w:sz="2" w:space="0" w:color="000001"/>
              <w:bottom w:val="single" w:sz="2" w:space="0" w:color="000001"/>
              <w:right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b/>
                <w:bCs/>
                <w:sz w:val="18"/>
                <w:szCs w:val="18"/>
                <w:lang w:val="en-GB"/>
              </w:rPr>
              <w:t>Released</w:t>
            </w:r>
          </w:p>
        </w:tc>
      </w:tr>
      <w:tr>
        <w:trPr/>
        <w:tc>
          <w:tcPr>
            <w:tcW w:w="608" w:type="dxa"/>
            <w:tcBorders>
              <w:left w:val="single" w:sz="2" w:space="0" w:color="000001"/>
              <w:bottom w:val="single" w:sz="2" w:space="0" w:color="000001"/>
            </w:tcBorders>
          </w:tcPr>
          <w:p>
            <w:pPr>
              <w:pStyle w:val="TextBody"/>
              <w:spacing w:before="57" w:after="57"/>
              <w:jc w:val="center"/>
              <w:rPr>
                <w:sz w:val="22"/>
                <w:szCs w:val="22"/>
              </w:rPr>
            </w:pPr>
            <w:r>
              <w:rPr>
                <w:sz w:val="22"/>
                <w:szCs w:val="22"/>
                <w:lang w:val="en-GB"/>
              </w:rPr>
              <w:t>0.1</w:t>
            </w:r>
          </w:p>
        </w:tc>
        <w:tc>
          <w:tcPr>
            <w:tcW w:w="4817" w:type="dxa"/>
            <w:tcBorders>
              <w:left w:val="single" w:sz="2" w:space="0" w:color="000001"/>
              <w:bottom w:val="single" w:sz="2" w:space="0" w:color="000001"/>
            </w:tcBorders>
          </w:tcPr>
          <w:p>
            <w:pPr>
              <w:pStyle w:val="TextBody"/>
              <w:spacing w:before="57" w:after="57"/>
              <w:rPr>
                <w:sz w:val="22"/>
                <w:szCs w:val="22"/>
              </w:rPr>
            </w:pPr>
            <w:r>
              <w:rPr>
                <w:sz w:val="22"/>
                <w:szCs w:val="22"/>
                <w:lang w:val="en-GB"/>
              </w:rPr>
              <w:t>Combined the Member Protection Policy with specific content for children</w:t>
            </w:r>
          </w:p>
        </w:tc>
        <w:tc>
          <w:tcPr>
            <w:tcW w:w="2217" w:type="dxa"/>
            <w:tcBorders>
              <w:left w:val="single" w:sz="2" w:space="0" w:color="000001"/>
              <w:bottom w:val="single" w:sz="2" w:space="0" w:color="000001"/>
            </w:tcBorders>
          </w:tcPr>
          <w:p>
            <w:pPr>
              <w:pStyle w:val="TextBody"/>
              <w:spacing w:before="57" w:after="57"/>
              <w:rPr>
                <w:sz w:val="22"/>
                <w:szCs w:val="22"/>
              </w:rPr>
            </w:pPr>
            <w:r>
              <w:rPr>
                <w:sz w:val="22"/>
                <w:szCs w:val="22"/>
                <w:lang w:val="en-GB"/>
              </w:rPr>
              <w:t>Ken</w:t>
            </w:r>
          </w:p>
        </w:tc>
        <w:tc>
          <w:tcPr>
            <w:tcW w:w="2377" w:type="dxa"/>
            <w:tcBorders>
              <w:left w:val="single" w:sz="2" w:space="0" w:color="000001"/>
              <w:bottom w:val="single" w:sz="2" w:space="0" w:color="000001"/>
              <w:right w:val="single" w:sz="2" w:space="0" w:color="000001"/>
            </w:tcBorders>
          </w:tcPr>
          <w:p>
            <w:pPr>
              <w:pStyle w:val="TextBody"/>
              <w:spacing w:before="57" w:after="57"/>
              <w:rPr>
                <w:sz w:val="22"/>
                <w:szCs w:val="22"/>
              </w:rPr>
            </w:pPr>
            <w:r>
              <w:rPr>
                <w:sz w:val="22"/>
                <w:szCs w:val="22"/>
                <w:lang w:val="en-GB"/>
              </w:rPr>
              <w:t>14 July 2026</w:t>
            </w:r>
          </w:p>
        </w:tc>
      </w:tr>
      <w:tr>
        <w:trPr/>
        <w:tc>
          <w:tcPr>
            <w:tcW w:w="608" w:type="dxa"/>
            <w:tcBorders>
              <w:left w:val="single" w:sz="2" w:space="0" w:color="000001"/>
              <w:bottom w:val="single" w:sz="2" w:space="0" w:color="000001"/>
            </w:tcBorders>
          </w:tcPr>
          <w:p>
            <w:pPr>
              <w:pStyle w:val="TextBody"/>
              <w:spacing w:before="57" w:after="57"/>
              <w:jc w:val="center"/>
              <w:rPr>
                <w:sz w:val="22"/>
                <w:szCs w:val="22"/>
              </w:rPr>
            </w:pPr>
            <w:r>
              <w:rPr>
                <w:sz w:val="22"/>
                <w:szCs w:val="22"/>
              </w:rPr>
              <w:t>0.2</w:t>
            </w:r>
          </w:p>
        </w:tc>
        <w:tc>
          <w:tcPr>
            <w:tcW w:w="4817" w:type="dxa"/>
            <w:tcBorders>
              <w:left w:val="single" w:sz="2" w:space="0" w:color="000001"/>
              <w:bottom w:val="single" w:sz="2" w:space="0" w:color="000001"/>
            </w:tcBorders>
          </w:tcPr>
          <w:p>
            <w:pPr>
              <w:pStyle w:val="TextBody"/>
              <w:spacing w:before="57" w:after="57"/>
              <w:rPr>
                <w:sz w:val="22"/>
                <w:szCs w:val="22"/>
              </w:rPr>
            </w:pPr>
            <w:r>
              <w:rPr>
                <w:sz w:val="22"/>
                <w:szCs w:val="22"/>
              </w:rPr>
              <w:t>Updated with content from Paul</w:t>
            </w:r>
          </w:p>
        </w:tc>
        <w:tc>
          <w:tcPr>
            <w:tcW w:w="2217" w:type="dxa"/>
            <w:tcBorders>
              <w:left w:val="single" w:sz="2" w:space="0" w:color="000001"/>
              <w:bottom w:val="single" w:sz="2" w:space="0" w:color="000001"/>
            </w:tcBorders>
          </w:tcPr>
          <w:p>
            <w:pPr>
              <w:pStyle w:val="TextBody"/>
              <w:spacing w:before="57" w:after="57"/>
              <w:rPr>
                <w:sz w:val="22"/>
                <w:szCs w:val="22"/>
              </w:rPr>
            </w:pPr>
            <w:r>
              <w:rPr>
                <w:sz w:val="22"/>
                <w:szCs w:val="22"/>
              </w:rPr>
              <w:t>Ken</w:t>
            </w:r>
          </w:p>
        </w:tc>
        <w:tc>
          <w:tcPr>
            <w:tcW w:w="2377" w:type="dxa"/>
            <w:tcBorders>
              <w:left w:val="single" w:sz="2" w:space="0" w:color="000001"/>
              <w:bottom w:val="single" w:sz="2" w:space="0" w:color="000001"/>
              <w:right w:val="single" w:sz="2" w:space="0" w:color="000001"/>
            </w:tcBorders>
          </w:tcPr>
          <w:p>
            <w:pPr>
              <w:pStyle w:val="TextBody"/>
              <w:spacing w:before="57" w:after="57"/>
              <w:rPr>
                <w:sz w:val="22"/>
                <w:szCs w:val="22"/>
              </w:rPr>
            </w:pPr>
            <w:r>
              <w:rPr>
                <w:sz w:val="22"/>
                <w:szCs w:val="22"/>
              </w:rPr>
              <w:t>16 July 2026</w:t>
            </w:r>
          </w:p>
        </w:tc>
      </w:tr>
      <w:tr>
        <w:trPr/>
        <w:tc>
          <w:tcPr>
            <w:tcW w:w="608" w:type="dxa"/>
            <w:tcBorders>
              <w:top w:val="single" w:sz="2" w:space="0" w:color="000001"/>
              <w:left w:val="single" w:sz="2" w:space="0" w:color="000001"/>
              <w:bottom w:val="single" w:sz="2" w:space="0" w:color="000001"/>
            </w:tcBorders>
          </w:tcPr>
          <w:p>
            <w:pPr>
              <w:pStyle w:val="TextBody"/>
              <w:spacing w:before="57" w:after="57"/>
              <w:jc w:val="center"/>
              <w:rPr>
                <w:sz w:val="22"/>
                <w:szCs w:val="22"/>
              </w:rPr>
            </w:pPr>
            <w:r>
              <w:rPr>
                <w:sz w:val="22"/>
                <w:szCs w:val="22"/>
                <w:lang w:val="en-GB"/>
              </w:rPr>
              <w:t>1.0</w:t>
            </w:r>
          </w:p>
        </w:tc>
        <w:tc>
          <w:tcPr>
            <w:tcW w:w="4817" w:type="dxa"/>
            <w:tcBorders>
              <w:top w:val="single" w:sz="2" w:space="0" w:color="000001"/>
              <w:left w:val="single" w:sz="2" w:space="0" w:color="000001"/>
              <w:bottom w:val="single" w:sz="2" w:space="0" w:color="000001"/>
            </w:tcBorders>
          </w:tcPr>
          <w:p>
            <w:pPr>
              <w:pStyle w:val="TextBody"/>
              <w:spacing w:before="57" w:after="57"/>
              <w:rPr>
                <w:sz w:val="22"/>
                <w:szCs w:val="22"/>
              </w:rPr>
            </w:pPr>
            <w:r>
              <w:rPr>
                <w:sz w:val="22"/>
                <w:szCs w:val="22"/>
                <w:lang w:val="en-GB"/>
              </w:rPr>
              <w:t>Adopted by the committee</w:t>
            </w:r>
          </w:p>
        </w:tc>
        <w:tc>
          <w:tcPr>
            <w:tcW w:w="2217" w:type="dxa"/>
            <w:tcBorders>
              <w:top w:val="single" w:sz="2" w:space="0" w:color="000001"/>
              <w:left w:val="single" w:sz="2" w:space="0" w:color="000001"/>
              <w:bottom w:val="single" w:sz="2" w:space="0" w:color="000001"/>
            </w:tcBorders>
          </w:tcPr>
          <w:p>
            <w:pPr>
              <w:pStyle w:val="TextBody"/>
              <w:spacing w:before="57" w:after="57"/>
              <w:rPr>
                <w:rFonts w:ascii="Liberation Sans" w:hAnsi="Liberation Sans"/>
                <w:sz w:val="22"/>
                <w:szCs w:val="22"/>
                <w:lang w:val="en-GB"/>
              </w:rPr>
            </w:pPr>
            <w:r>
              <w:rPr>
                <w:sz w:val="22"/>
                <w:szCs w:val="22"/>
                <w:lang w:val="en-GB"/>
              </w:rPr>
              <w:t>Arawa Committee</w:t>
            </w:r>
          </w:p>
        </w:tc>
        <w:tc>
          <w:tcPr>
            <w:tcW w:w="2377" w:type="dxa"/>
            <w:tcBorders>
              <w:top w:val="single" w:sz="2" w:space="0" w:color="000001"/>
              <w:left w:val="single" w:sz="2" w:space="0" w:color="000001"/>
              <w:bottom w:val="single" w:sz="2" w:space="0" w:color="000001"/>
              <w:right w:val="single" w:sz="2" w:space="0" w:color="000001"/>
            </w:tcBorders>
          </w:tcPr>
          <w:p>
            <w:pPr>
              <w:pStyle w:val="TextBody"/>
              <w:spacing w:before="57" w:after="57"/>
              <w:rPr>
                <w:sz w:val="22"/>
                <w:szCs w:val="22"/>
              </w:rPr>
            </w:pPr>
            <w:r>
              <w:rPr>
                <w:sz w:val="22"/>
                <w:szCs w:val="22"/>
                <w:lang w:val="en-GB"/>
              </w:rPr>
              <w:t>7 August 2026</w:t>
            </w:r>
          </w:p>
        </w:tc>
      </w:tr>
    </w:tbl>
    <w:p>
      <w:pPr>
        <w:pStyle w:val="TextBody"/>
        <w:spacing w:lineRule="auto" w:line="288" w:before="0" w:after="140"/>
        <w:rPr>
          <w:b/>
        </w:rPr>
      </w:pPr>
      <w:r>
        <w:rPr>
          <w:b/>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080" w:right="840" w:gutter="0" w:header="720" w:top="863" w:footer="431" w:bottom="863"/>
      <w:pgNumType w:start="0"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roman"/>
    <w:pitch w:val="variable"/>
  </w:font>
  <w:font w:name="Times New Roman">
    <w:charset w:val="01"/>
    <w:family w:val="roman"/>
    <w:pitch w:val="variable"/>
  </w:font>
  <w:font w:name="OpenSymbol">
    <w:altName w:val="Arial Unicode MS"/>
    <w:charset w:val="01"/>
    <w:family w:val="roman"/>
    <w:pitch w:val="variable"/>
  </w:font>
  <w:font w:name="MS Gothic">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13" w:after="57"/>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57" w:after="57"/>
      <w:ind w:firstLine="720"/>
      <w:rPr>
        <w:lang w:val="en-GB"/>
      </w:rPr>
    </w:pPr>
    <w:r>
      <w:rPr>
        <w:lang w:val="en-GB"/>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57" w:after="57"/>
      <w:ind w:firstLine="720"/>
      <w:jc w:val="center"/>
      <w:rPr>
        <w:lang w:val="en-GB"/>
      </w:rPr>
    </w:pPr>
    <w:r>
      <w:rPr>
        <w:lang w:val="en-GB"/>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13" w:after="57"/>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57"/>
      <w:rPr>
        <w:lang w:val="en-GB"/>
      </w:rPr>
    </w:pPr>
    <w:r>
      <w:rPr>
        <w:lang w:val="en-G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57"/>
      <w:rPr>
        <w:lang w:val="en-GB"/>
      </w:rPr>
    </w:pPr>
    <w:r>
      <w:rPr>
        <w:lang w:val="en-G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 %1 "/>
      <w:lvlJc w:val="left"/>
      <w:pPr>
        <w:tabs>
          <w:tab w:val="num" w:pos="283"/>
        </w:tabs>
        <w:ind w:left="794" w:hanging="794"/>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upperLetter"/>
      <w:lvlText w:val="%1."/>
      <w:lvlJc w:val="left"/>
      <w:pPr>
        <w:tabs>
          <w:tab w:val="num" w:pos="720"/>
        </w:tabs>
        <w:ind w:left="720" w:hanging="360"/>
      </w:pPr>
      <w:rPr/>
    </w:lvl>
    <w:lvl w:ilvl="1">
      <w:start w:val="1"/>
      <w:numFmt w:val="upperRoman"/>
      <w:lvlText w:val="%2."/>
      <w:lvlJc w:val="right"/>
      <w:pPr>
        <w:tabs>
          <w:tab w:val="num" w:pos="1080"/>
        </w:tabs>
        <w:ind w:left="1080" w:hanging="174"/>
      </w:pPr>
      <w:rPr/>
    </w:lvl>
    <w:lvl w:ilvl="2">
      <w:start w:val="1"/>
      <w:numFmt w:val="lowerLetter"/>
      <w:lvlText w:val="%3."/>
      <w:lvlJc w:val="left"/>
      <w:pPr>
        <w:tabs>
          <w:tab w:val="num" w:pos="1440"/>
        </w:tabs>
        <w:ind w:left="1440" w:hanging="360"/>
      </w:pPr>
      <w:rPr/>
    </w:lvl>
    <w:lvl w:ilvl="3">
      <w:start w:val="1"/>
      <w:numFmt w:val="lowerRoman"/>
      <w:lvlText w:val="%4."/>
      <w:lvlJc w:val="right"/>
      <w:pPr>
        <w:tabs>
          <w:tab w:val="num" w:pos="1800"/>
        </w:tabs>
        <w:ind w:left="1800" w:hanging="174"/>
      </w:pPr>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40" w:before="113" w:after="57"/>
      <w:jc w:val="left"/>
    </w:pPr>
    <w:rPr>
      <w:rFonts w:ascii="Liberation Sans" w:hAnsi="Liberation Sans" w:eastAsia="Arial" w:cs="Arial"/>
      <w:color w:val="auto"/>
      <w:kern w:val="0"/>
      <w:sz w:val="22"/>
      <w:szCs w:val="22"/>
      <w:lang w:val="en-GB" w:eastAsia="en-US" w:bidi="ar-SA"/>
    </w:rPr>
  </w:style>
  <w:style w:type="paragraph" w:styleId="Heading1">
    <w:name w:val="Heading 1"/>
    <w:basedOn w:val="Normal"/>
    <w:next w:val="Normal"/>
    <w:uiPriority w:val="9"/>
    <w:qFormat/>
    <w:pPr>
      <w:keepNext w:val="true"/>
      <w:keepLines/>
      <w:numPr>
        <w:ilvl w:val="0"/>
        <w:numId w:val="1"/>
      </w:numPr>
      <w:tabs>
        <w:tab w:val="clear" w:pos="720"/>
      </w:tabs>
      <w:spacing w:lineRule="auto" w:line="240" w:before="567" w:after="119"/>
      <w:ind w:hanging="0" w:left="0"/>
      <w:outlineLvl w:val="1"/>
    </w:pPr>
    <w:rPr>
      <w:b/>
      <w:sz w:val="36"/>
      <w:szCs w:val="36"/>
    </w:rPr>
  </w:style>
  <w:style w:type="paragraph" w:styleId="Heading2">
    <w:name w:val="Heading 2"/>
    <w:basedOn w:val="Normal"/>
    <w:next w:val="Normal"/>
    <w:uiPriority w:val="9"/>
    <w:unhideWhenUsed/>
    <w:qFormat/>
    <w:pPr>
      <w:keepNext w:val="true"/>
      <w:keepLines/>
      <w:numPr>
        <w:ilvl w:val="0"/>
        <w:numId w:val="0"/>
      </w:numPr>
      <w:spacing w:before="283" w:after="119"/>
      <w:ind w:hanging="0" w:left="0"/>
      <w:outlineLvl w:val="1"/>
    </w:pPr>
    <w:rPr>
      <w:b/>
      <w:sz w:val="28"/>
      <w:szCs w:val="28"/>
    </w:rPr>
  </w:style>
  <w:style w:type="paragraph" w:styleId="Heading3">
    <w:name w:val="Heading 3"/>
    <w:basedOn w:val="Normal"/>
    <w:next w:val="Normal"/>
    <w:uiPriority w:val="9"/>
    <w:unhideWhenUsed/>
    <w:qFormat/>
    <w:pPr>
      <w:keepNext w:val="true"/>
      <w:keepLines/>
      <w:numPr>
        <w:ilvl w:val="2"/>
        <w:numId w:val="1"/>
      </w:numPr>
      <w:tabs>
        <w:tab w:val="clear" w:pos="720"/>
      </w:tabs>
      <w:spacing w:before="57" w:after="57"/>
      <w:ind w:hanging="0" w:left="283"/>
      <w:outlineLvl w:val="2"/>
    </w:pPr>
    <w:rPr>
      <w:b w:val="false"/>
      <w:color w:val="000000"/>
      <w:sz w:val="22"/>
      <w:szCs w:val="28"/>
    </w:rPr>
  </w:style>
  <w:style w:type="paragraph" w:styleId="Heading4">
    <w:name w:val="Heading 4"/>
    <w:basedOn w:val="Normal"/>
    <w:next w:val="Normal"/>
    <w:uiPriority w:val="9"/>
    <w:semiHidden/>
    <w:unhideWhenUsed/>
    <w:qFormat/>
    <w:pPr>
      <w:keepNext w:val="true"/>
      <w:keepLines/>
      <w:spacing w:lineRule="auto" w:line="240" w:before="0" w:after="80"/>
      <w:outlineLvl w:val="3"/>
    </w:pPr>
    <w:rPr>
      <w:b/>
      <w:color w:val="000000"/>
      <w:sz w:val="22"/>
      <w:szCs w:val="24"/>
    </w:rPr>
  </w:style>
  <w:style w:type="paragraph" w:styleId="Heading5">
    <w:name w:val="Heading 5"/>
    <w:basedOn w:val="Normal"/>
    <w:next w:val="Normal"/>
    <w:uiPriority w:val="9"/>
    <w:semiHidden/>
    <w:unhideWhenUsed/>
    <w:qFormat/>
    <w:pPr>
      <w:keepNext w:val="true"/>
      <w:keepLines/>
      <w:spacing w:before="240" w:after="80"/>
      <w:outlineLvl w:val="4"/>
    </w:pPr>
    <w:rPr>
      <w:color w:val="666666"/>
    </w:rPr>
  </w:style>
  <w:style w:type="paragraph" w:styleId="Heading6">
    <w:name w:val="Heading 6"/>
    <w:basedOn w:val="Normal"/>
    <w:next w:val="Normal"/>
    <w:uiPriority w:val="9"/>
    <w:semiHidden/>
    <w:unhideWhenUsed/>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ab636a"/>
    <w:rPr/>
  </w:style>
  <w:style w:type="character" w:styleId="FooterChar" w:customStyle="1">
    <w:name w:val="Footer Char"/>
    <w:basedOn w:val="DefaultParagraphFont"/>
    <w:link w:val="Footer"/>
    <w:uiPriority w:val="99"/>
    <w:qFormat/>
    <w:rsid w:val="00ab636a"/>
    <w:rPr/>
  </w:style>
  <w:style w:type="character" w:styleId="BalloonTextChar" w:customStyle="1">
    <w:name w:val="Balloon Text Char"/>
    <w:basedOn w:val="DefaultParagraphFont"/>
    <w:link w:val="BalloonText"/>
    <w:uiPriority w:val="99"/>
    <w:semiHidden/>
    <w:qFormat/>
    <w:rsid w:val="00ab636a"/>
    <w:rPr>
      <w:rFonts w:ascii="Times New Roman" w:hAnsi="Times New Roman" w:cs="Times New Roman"/>
      <w:sz w:val="18"/>
      <w:szCs w:val="18"/>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uiPriority w:val="10"/>
    <w:qFormat/>
    <w:pPr>
      <w:keepNext w:val="true"/>
      <w:keepLines/>
      <w:spacing w:before="283" w:after="283"/>
      <w:jc w:val="center"/>
    </w:pPr>
    <w:rPr>
      <w:rFonts w:ascii="Liberation Sans" w:hAnsi="Liberation Sans"/>
      <w:b/>
      <w:bCs/>
      <w:sz w:val="44"/>
      <w:szCs w:val="44"/>
      <w:lang w:val="en-GB"/>
    </w:rPr>
  </w:style>
  <w:style w:type="paragraph" w:styleId="Subtitle">
    <w:name w:val="Subtitle"/>
    <w:basedOn w:val="Normal"/>
    <w:next w:val="Normal"/>
    <w:uiPriority w:val="11"/>
    <w:qFormat/>
    <w:pPr>
      <w:keepNext w:val="true"/>
      <w:keepLines/>
      <w:spacing w:before="0" w:after="320"/>
    </w:pPr>
    <w:rPr>
      <w:color w:val="666666"/>
      <w:sz w:val="30"/>
      <w:szCs w:val="30"/>
    </w:rPr>
  </w:style>
  <w:style w:type="paragraph" w:styleId="HeaderandFooter">
    <w:name w:val="Header and Footer"/>
    <w:basedOn w:val="Normal"/>
    <w:qFormat/>
    <w:pPr/>
    <w:rPr/>
  </w:style>
  <w:style w:type="paragraph" w:styleId="Header">
    <w:name w:val="Header"/>
    <w:basedOn w:val="Normal"/>
    <w:link w:val="HeaderChar"/>
    <w:uiPriority w:val="99"/>
    <w:unhideWhenUsed/>
    <w:rsid w:val="00ab636a"/>
    <w:pPr>
      <w:tabs>
        <w:tab w:val="clear" w:pos="720"/>
        <w:tab w:val="center" w:pos="4513" w:leader="none"/>
        <w:tab w:val="right" w:pos="9026" w:leader="none"/>
      </w:tabs>
      <w:spacing w:lineRule="auto" w:line="240"/>
    </w:pPr>
    <w:rPr/>
  </w:style>
  <w:style w:type="paragraph" w:styleId="Footer">
    <w:name w:val="Footer"/>
    <w:basedOn w:val="Normal"/>
    <w:link w:val="FooterChar"/>
    <w:uiPriority w:val="99"/>
    <w:unhideWhenUsed/>
    <w:rsid w:val="00ab636a"/>
    <w:pPr>
      <w:tabs>
        <w:tab w:val="clear" w:pos="720"/>
        <w:tab w:val="center" w:pos="4513" w:leader="none"/>
        <w:tab w:val="right" w:pos="9026" w:leader="none"/>
      </w:tabs>
      <w:spacing w:lineRule="auto" w:line="240"/>
    </w:pPr>
    <w:rPr/>
  </w:style>
  <w:style w:type="paragraph" w:styleId="BalloonText">
    <w:name w:val="Balloon Text"/>
    <w:basedOn w:val="Normal"/>
    <w:link w:val="BalloonTextChar"/>
    <w:uiPriority w:val="99"/>
    <w:semiHidden/>
    <w:unhideWhenUsed/>
    <w:qFormat/>
    <w:rsid w:val="00ab636a"/>
    <w:pPr>
      <w:spacing w:lineRule="auto" w:line="240"/>
    </w:pPr>
    <w:rPr>
      <w:rFonts w:ascii="Times New Roman" w:hAnsi="Times New Roman" w:cs="Times New Roman"/>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Comment">
    <w:name w:val="Comment"/>
    <w:basedOn w:val="Normal"/>
    <w:qFormat/>
    <w:pPr/>
    <w:rPr>
      <w:sz w:val="20"/>
      <w:szCs w:val="20"/>
    </w:rPr>
  </w:style>
  <w:style w:type="paragraph" w:styleId="TextBody">
    <w:name w:val="Text Body"/>
    <w:basedOn w:val="Normal"/>
    <w:qFormat/>
    <w:pPr/>
    <w:rPr>
      <w:sz w:val="22"/>
    </w:rPr>
  </w:style>
  <w:style w:type="paragraph" w:styleId="Footnote">
    <w:name w:val="Footnote"/>
    <w:basedOn w:val="Normal"/>
    <w:qFormat/>
    <w:pPr/>
    <w:rPr>
      <w:sz w:val="16"/>
    </w:rPr>
  </w:style>
  <w:style w:type="paragraph" w:styleId="ListParagraph">
    <w:name w:val="List Paragraph"/>
    <w:basedOn w:val="Normal"/>
    <w:qFormat/>
    <w:pPr>
      <w:spacing w:before="0" w:after="0"/>
      <w:ind w:left="720"/>
      <w:contextualSpacing/>
    </w:pPr>
    <w:rPr/>
  </w:style>
  <w:style w:type="numbering" w:styleId="NoList" w:default="1">
    <w:name w:val="No List"/>
    <w:uiPriority w:val="99"/>
    <w:semiHidden/>
    <w:unhideWhenUsed/>
    <w:qFormat/>
  </w:style>
  <w:style w:type="numbering" w:styleId="Numbering123">
    <w:name w:val="Numbering 123"/>
    <w:qFormat/>
  </w:style>
  <w:style w:type="numbering" w:styleId="Bullet">
    <w:name w:val="Bullet •"/>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sportintegrity.nz/integrity/safeguarding-and-protecting-children-and-young-people/protection-and-safeguarding-education" TargetMode="External"/><Relationship Id="rId4" Type="http://schemas.openxmlformats.org/officeDocument/2006/relationships/hyperlink" Target="mailto:mpo@arawa.org.nz" TargetMode="External"/><Relationship Id="rId5" Type="http://schemas.openxmlformats.org/officeDocument/2006/relationships/hyperlink" Target="mailto:mpo@arawa.org.nz" TargetMode="External"/><Relationship Id="rId6" Type="http://schemas.openxmlformats.org/officeDocument/2006/relationships/hyperlink" Target="https://www.google.com/url?sa=t&amp;rct=j&amp;q=&amp;esrc=s&amp;source=web&amp;cd=&amp;ved=2ahUKEwiL9eSe7dCVAxX4UGcHHUkZIc4QFnoECBkQAQ&amp;url=https%3A%2F%2Fcanoeracing.org.nz%2Fwp-content%2Fuploads%2F2025%2F11%2FCRNZ_Wellbeing_Protection_Regulation-Final-1.pdf&amp;usg=AOvVaw0rw-OkoAy_6q6IAN8civP3&amp;opi=89978449" TargetMode="External"/><Relationship Id="rId7" Type="http://schemas.openxmlformats.org/officeDocument/2006/relationships/hyperlink" Target="https://www.police.govt.nz/about-us/structure/teams-units/puawaitahi" TargetMode="External"/><Relationship Id="rId8" Type="http://schemas.openxmlformats.org/officeDocument/2006/relationships/hyperlink" Target="https://practice.orangatamariki.govt.nz/our-work/assessment-and-planning/assessments/intake-and-early-assessment/core-assessment-phase/child-protection-protocol-cpp"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A4E223568D254CA971C65E8C425786" ma:contentTypeVersion="17" ma:contentTypeDescription="Create a new document." ma:contentTypeScope="" ma:versionID="60151d7922b9449a66f52d787a54a0c2">
  <xsd:schema xmlns:xsd="http://www.w3.org/2001/XMLSchema" xmlns:xs="http://www.w3.org/2001/XMLSchema" xmlns:p="http://schemas.microsoft.com/office/2006/metadata/properties" xmlns:ns2="68cea58c-09d5-4ffc-9549-23d928adde12" xmlns:ns3="210d2e58-8fa6-4b7c-ae23-dcd9abfc4b92" targetNamespace="http://schemas.microsoft.com/office/2006/metadata/properties" ma:root="true" ma:fieldsID="ec89f4a646c5bba160dd3f0e7de6872e" ns2:_="" ns3:_="">
    <xsd:import namespace="68cea58c-09d5-4ffc-9549-23d928adde12"/>
    <xsd:import namespace="210d2e58-8fa6-4b7c-ae23-dcd9abfc4b92"/>
    <xsd:element name="properties">
      <xsd:complexType>
        <xsd:sequence>
          <xsd:element name="documentManagement">
            <xsd:complexType>
              <xsd:all>
                <xsd:element ref="ns2:Region" minOccurs="0"/>
                <xsd:element ref="ns2:MediaServiceMetadata" minOccurs="0"/>
                <xsd:element ref="ns2:MediaServiceFastMetadata" minOccurs="0"/>
                <xsd:element ref="ns2:Category"/>
                <xsd:element ref="ns2:Year"/>
                <xsd:element ref="ns2:Events"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ea58c-09d5-4ffc-9549-23d928adde12" elementFormDefault="qualified">
    <xsd:import namespace="http://schemas.microsoft.com/office/2006/documentManagement/types"/>
    <xsd:import namespace="http://schemas.microsoft.com/office/infopath/2007/PartnerControls"/>
    <xsd:element name="Region" ma:index="8" nillable="true" ma:displayName="Region" ma:format="Dropdown" ma:internalName="Region">
      <xsd:simpleType>
        <xsd:restriction base="dms:Choice">
          <xsd:enumeration value="Northland"/>
          <xsd:enumeration value="Auckland"/>
          <xsd:enumeration value="Bay of Plenty"/>
          <xsd:enumeration value="Waikato"/>
          <xsd:enumeration value="Taranaki"/>
          <xsd:enumeration value="Wellington"/>
          <xsd:enumeration value="Canterbury"/>
          <xsd:enumeration value="West Coast"/>
          <xsd:enumeration value="Otago"/>
          <xsd:enumeration value="Southlan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Category" ma:index="11" ma:displayName="Category" ma:format="Dropdown" ma:internalName="Category">
      <xsd:simpleType>
        <xsd:restriction base="dms:Choice">
          <xsd:enumeration value="Budget"/>
          <xsd:enumeration value="Coaching"/>
          <xsd:enumeration value="Clubs"/>
          <xsd:enumeration value="Debrief"/>
          <xsd:enumeration value="Logistics/Operations"/>
          <xsd:enumeration value="Officials"/>
          <xsd:enumeration value="Other"/>
          <xsd:enumeration value="Plan/Strategy"/>
          <xsd:enumeration value="Projects"/>
          <xsd:enumeration value="Template"/>
        </xsd:restriction>
      </xsd:simpleType>
    </xsd:element>
    <xsd:element name="Year" ma:index="12" ma:displayName="Year" ma:format="Dropdown" ma:internalName="Year">
      <xsd:simpleType>
        <xsd:restriction base="dms:Choice">
          <xsd:enumeration value="2018"/>
          <xsd:enumeration value="2019"/>
          <xsd:enumeration value="2020"/>
        </xsd:restriction>
      </xsd:simpleType>
    </xsd:element>
    <xsd:element name="Events" ma:index="13" nillable="true" ma:displayName="Events" ma:format="Dropdown" ma:internalName="Events">
      <xsd:simpleType>
        <xsd:restriction base="dms:Choice">
          <xsd:enumeration value="10km Championships"/>
          <xsd:enumeration value="AIMES Games"/>
          <xsd:enumeration value="Asia Pacific Cup"/>
          <xsd:enumeration value="Blue Lake 1"/>
          <xsd:enumeration value="Blue Lake 2"/>
          <xsd:enumeration value="Canoe Sprint New Zealand Nationals"/>
          <xsd:enumeration value="Marathon New Zealand Nationals"/>
          <xsd:enumeration value="South Island Championships"/>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0d2e58-8fa6-4b7c-ae23-dcd9abfc4b9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vents xmlns="68cea58c-09d5-4ffc-9549-23d928adde12" xsi:nil="true"/>
    <Category xmlns="68cea58c-09d5-4ffc-9549-23d928adde12"/>
    <Region xmlns="68cea58c-09d5-4ffc-9549-23d928adde12" xsi:nil="true"/>
    <Year xmlns="68cea58c-09d5-4ffc-9549-23d928adde12"/>
  </documentManagement>
</p:properties>
</file>

<file path=customXml/itemProps1.xml><?xml version="1.0" encoding="utf-8"?>
<ds:datastoreItem xmlns:ds="http://schemas.openxmlformats.org/officeDocument/2006/customXml" ds:itemID="{76CFD75C-DD0C-4162-9E16-1580C97BC403}">
  <ds:schemaRefs>
    <ds:schemaRef ds:uri="http://schemas.openxmlformats.org/officeDocument/2006/bibliography"/>
  </ds:schemaRefs>
</ds:datastoreItem>
</file>

<file path=customXml/itemProps2.xml><?xml version="1.0" encoding="utf-8"?>
<ds:datastoreItem xmlns:ds="http://schemas.openxmlformats.org/officeDocument/2006/customXml" ds:itemID="{9DD25561-D4BA-4CEC-838D-1F1CF55EC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ea58c-09d5-4ffc-9549-23d928adde12"/>
    <ds:schemaRef ds:uri="210d2e58-8fa6-4b7c-ae23-dcd9abfc4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D7AEB6-ACF6-4D2F-8838-4D640065D684}">
  <ds:schemaRefs>
    <ds:schemaRef ds:uri="http://schemas.microsoft.com/sharepoint/v3/contenttype/forms"/>
  </ds:schemaRefs>
</ds:datastoreItem>
</file>

<file path=customXml/itemProps4.xml><?xml version="1.0" encoding="utf-8"?>
<ds:datastoreItem xmlns:ds="http://schemas.openxmlformats.org/officeDocument/2006/customXml" ds:itemID="{55BE03CF-0F01-4BDA-AEDB-4EAD5DFC512F}">
  <ds:schemaRefs>
    <ds:schemaRef ds:uri="http://schemas.microsoft.com/office/2006/metadata/properties"/>
    <ds:schemaRef ds:uri="http://schemas.microsoft.com/office/infopath/2007/PartnerControls"/>
    <ds:schemaRef ds:uri="68cea58c-09d5-4ffc-9549-23d928adde12"/>
  </ds:schemaRefs>
</ds:datastoreItem>
</file>

<file path=docProps/app.xml><?xml version="1.0" encoding="utf-8"?>
<Properties xmlns="http://schemas.openxmlformats.org/officeDocument/2006/extended-properties" xmlns:vt="http://schemas.openxmlformats.org/officeDocument/2006/docPropsVTypes">
  <Template>Normal</Template>
  <TotalTime>495</TotalTime>
  <Application>LibreOffice/24.2.7.2$Linux_X86_64 LibreOffice_project/420$Build-2</Application>
  <AppVersion>15.0000</AppVersion>
  <Pages>8</Pages>
  <Words>3563</Words>
  <Characters>18727</Characters>
  <CharactersWithSpaces>22141</CharactersWithSpaces>
  <Paragraphs>184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2025-11-07T07:28:00Z</dcterms:created>
  <dc:creator>Paul Fidow</dc:creator>
  <dc:description/>
  <dc:language>en-GB</dc:language>
  <cp:lastModifiedBy/>
  <dcterms:modified xsi:type="dcterms:W3CDTF">2026-08-07T16:42:22Z</dcterms:modified>
  <cp:revision>48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0x0101000BA4E223568D254CA971C65E8C425786</vt:lpwstr>
  </property>
</Properties>
</file>