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57" w:after="57"/>
        <w:rPr>
          <w:rFonts w:ascii="Liberation Sans" w:hAnsi="Liberation Sans"/>
          <w:lang w:val="en-GB"/>
        </w:rPr>
      </w:pPr>
      <w:r>
        <w:rPr>
          <w:lang w:val="en-GB"/>
        </w:rPr>
        <w:drawing>
          <wp:anchor behindDoc="0" distT="0" distB="0" distL="0" distR="0" simplePos="0" locked="0" layoutInCell="1" allowOverlap="1" relativeHeight="2">
            <wp:simplePos x="0" y="0"/>
            <wp:positionH relativeFrom="column">
              <wp:posOffset>3843020</wp:posOffset>
            </wp:positionH>
            <wp:positionV relativeFrom="paragraph">
              <wp:posOffset>-523240</wp:posOffset>
            </wp:positionV>
            <wp:extent cx="2418715" cy="1228090"/>
            <wp:effectExtent l="0" t="0" r="0" b="0"/>
            <wp:wrapNone/>
            <wp:docPr id="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ack logo&#10;&#10;AI-generated content may be incorrect."/>
                    <pic:cNvPicPr>
                      <a:picLocks noChangeAspect="1" noChangeArrowheads="1"/>
                    </pic:cNvPicPr>
                  </pic:nvPicPr>
                  <pic:blipFill>
                    <a:blip r:embed="rId2"/>
                    <a:stretch>
                      <a:fillRect/>
                    </a:stretch>
                  </pic:blipFill>
                  <pic:spPr bwMode="auto">
                    <a:xfrm>
                      <a:off x="0" y="0"/>
                      <a:ext cx="2418715" cy="1228090"/>
                    </a:xfrm>
                    <a:prstGeom prst="rect">
                      <a:avLst/>
                    </a:prstGeom>
                  </pic:spPr>
                </pic:pic>
              </a:graphicData>
            </a:graphic>
          </wp:anchor>
        </w:drawing>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bookmarkStart w:id="0" w:name="_85f1tf4z0kjr"/>
      <w:bookmarkStart w:id="1" w:name="_85f1tf4z0kjr"/>
      <w:bookmarkEnd w:id="1"/>
    </w:p>
    <w:p>
      <w:pPr>
        <w:pStyle w:val="Title"/>
        <w:rPr/>
      </w:pPr>
      <w:r>
        <w:rPr/>
        <w:t>Member Protection Policy</w:t>
      </w:r>
    </w:p>
    <w:p>
      <w:pPr>
        <w:pStyle w:val="Heading1"/>
        <w:numPr>
          <w:ilvl w:val="0"/>
          <w:numId w:val="1"/>
        </w:numPr>
        <w:rPr/>
      </w:pPr>
      <w:r>
        <w:rPr/>
        <w:t>Context</w:t>
      </w:r>
    </w:p>
    <w:p>
      <w:pPr>
        <w:pStyle w:val="Normal"/>
        <w:rPr/>
      </w:pPr>
      <w:r>
        <w:rPr/>
        <w:t>The Member Protection Policy aims to safeguard the welfare of all club members while participating in training and events at the Club.  There is a Child Protection Policy that includes everything in this Policy plus the additional specific requirements to safeguard the welfare of children.</w:t>
      </w:r>
    </w:p>
    <w:p>
      <w:pPr>
        <w:pStyle w:val="Heading1"/>
        <w:numPr>
          <w:ilvl w:val="0"/>
          <w:numId w:val="1"/>
        </w:numPr>
        <w:rPr/>
      </w:pPr>
      <w:bookmarkStart w:id="2" w:name="__RefHeading___Toc1699_361558945"/>
      <w:bookmarkEnd w:id="2"/>
      <w:r>
        <w:rPr/>
        <w:t>Policy Scope</w:t>
      </w:r>
    </w:p>
    <w:p>
      <w:pPr>
        <w:pStyle w:val="Normal"/>
        <w:rPr/>
      </w:pPr>
      <w:r>
        <w:rPr/>
        <w:t>This Policy shall apply to Arawa Canoe Club staff (including employees and contractors), coaches and volunteers who carry out club activities.</w:t>
      </w:r>
    </w:p>
    <w:p>
      <w:pPr>
        <w:pStyle w:val="Heading1"/>
        <w:numPr>
          <w:ilvl w:val="0"/>
          <w:numId w:val="1"/>
        </w:numPr>
        <w:rPr/>
      </w:pPr>
      <w:r>
        <w:rPr/>
        <w:t>Policy statements</w:t>
      </w:r>
    </w:p>
    <w:p>
      <w:pPr>
        <w:pStyle w:val="Normal"/>
        <w:numPr>
          <w:ilvl w:val="0"/>
          <w:numId w:val="3"/>
        </w:numPr>
        <w:rPr/>
      </w:pPr>
      <w:r>
        <w:rPr/>
        <w:t xml:space="preserve">The Arawa Canoe Club is committed to safeguarding the welfare of all members participating in training and events run or supported by the Club. </w:t>
      </w:r>
    </w:p>
    <w:p>
      <w:pPr>
        <w:pStyle w:val="Normal"/>
        <w:numPr>
          <w:ilvl w:val="0"/>
          <w:numId w:val="3"/>
        </w:numPr>
        <w:rPr/>
      </w:pPr>
      <w:r>
        <w:rPr/>
        <w:t xml:space="preserve">We recognise our responsibility to promote safe practices that protect members from harm and/or exploitation while participating in our activities. </w:t>
      </w:r>
    </w:p>
    <w:p>
      <w:pPr>
        <w:pStyle w:val="Normal"/>
        <w:numPr>
          <w:ilvl w:val="0"/>
          <w:numId w:val="3"/>
        </w:numPr>
        <w:rPr/>
      </w:pPr>
      <w:r>
        <w:rPr/>
        <w:t>Coaches, volunteers and members will work together to embrace difference and diversity and respect the rights of each other.</w:t>
      </w:r>
    </w:p>
    <w:p>
      <w:pPr>
        <w:pStyle w:val="Heading1"/>
        <w:numPr>
          <w:ilvl w:val="0"/>
          <w:numId w:val="1"/>
        </w:numPr>
        <w:rPr/>
      </w:pPr>
      <w:r>
        <w:rPr/>
        <w:t>Policy principles</w:t>
      </w:r>
    </w:p>
    <w:p>
      <w:pPr>
        <w:pStyle w:val="Normal"/>
        <w:rPr/>
      </w:pPr>
      <w:r>
        <w:rPr/>
        <w:t>This policy is based on the following principles:</w:t>
      </w:r>
    </w:p>
    <w:p>
      <w:pPr>
        <w:pStyle w:val="Normal"/>
        <w:numPr>
          <w:ilvl w:val="0"/>
          <w:numId w:val="4"/>
        </w:numPr>
        <w:rPr/>
      </w:pPr>
      <w:r>
        <w:rPr/>
        <w:t>The welfare of members is the primary concern, and forms the basis for this policy.</w:t>
      </w:r>
    </w:p>
    <w:p>
      <w:pPr>
        <w:pStyle w:val="Normal"/>
        <w:numPr>
          <w:ilvl w:val="0"/>
          <w:numId w:val="4"/>
        </w:numPr>
        <w:rPr/>
      </w:pPr>
      <w:r>
        <w:rPr/>
        <w:t>Member protection is everyone's responsibility.</w:t>
      </w:r>
    </w:p>
    <w:p>
      <w:pPr>
        <w:pStyle w:val="Normal"/>
        <w:numPr>
          <w:ilvl w:val="0"/>
          <w:numId w:val="4"/>
        </w:numPr>
        <w:rPr/>
      </w:pPr>
      <w:r>
        <w:rPr/>
        <w:t xml:space="preserve">All members, regardless of age, culture, disability, gender, language racial origin, socio-economic status, religious belief and/or sexual identity have the right to protection from all forms of harm. </w:t>
      </w:r>
    </w:p>
    <w:p>
      <w:pPr>
        <w:pStyle w:val="Normal"/>
        <w:numPr>
          <w:ilvl w:val="0"/>
          <w:numId w:val="4"/>
        </w:numPr>
        <w:rPr/>
      </w:pPr>
      <w:r>
        <w:rPr/>
        <w:t xml:space="preserve">Members have the right to express views on all matters which affect them, should they wish to do so. </w:t>
      </w:r>
    </w:p>
    <w:p>
      <w:pPr>
        <w:pStyle w:val="Normal"/>
        <w:numPr>
          <w:ilvl w:val="0"/>
          <w:numId w:val="4"/>
        </w:numPr>
        <w:rPr/>
      </w:pPr>
      <w:r>
        <w:rPr/>
        <w:t>The club will work in partnership with athletes and coaches to promote the welfare, health and development of our members.</w:t>
      </w:r>
    </w:p>
    <w:p>
      <w:pPr>
        <w:pStyle w:val="Heading1"/>
        <w:numPr>
          <w:ilvl w:val="0"/>
          <w:numId w:val="1"/>
        </w:numPr>
        <w:rPr/>
      </w:pPr>
      <w:r>
        <w:rPr/>
        <w:t>Policy aims</w:t>
      </w:r>
    </w:p>
    <w:p>
      <w:pPr>
        <w:pStyle w:val="Normal"/>
        <w:rPr/>
      </w:pPr>
      <w:r>
        <w:rPr/>
        <w:t>The aim of this policy is to promote good practice, by:</w:t>
      </w:r>
    </w:p>
    <w:p>
      <w:pPr>
        <w:pStyle w:val="Normal"/>
        <w:numPr>
          <w:ilvl w:val="0"/>
          <w:numId w:val="5"/>
        </w:numPr>
        <w:rPr/>
      </w:pPr>
      <w:r>
        <w:rPr/>
        <w:t>Promoting the health and welfare of members by providing opportunities for them to take part in training and events safely,</w:t>
      </w:r>
    </w:p>
    <w:p>
      <w:pPr>
        <w:pStyle w:val="Normal"/>
        <w:numPr>
          <w:ilvl w:val="0"/>
          <w:numId w:val="5"/>
        </w:numPr>
        <w:rPr/>
      </w:pPr>
      <w:r>
        <w:rPr/>
        <w:t>Respecting and promoting the rights, wishes and feelings of members,</w:t>
      </w:r>
    </w:p>
    <w:p>
      <w:pPr>
        <w:pStyle w:val="Normal"/>
        <w:numPr>
          <w:ilvl w:val="0"/>
          <w:numId w:val="5"/>
        </w:numPr>
        <w:rPr/>
      </w:pPr>
      <w:r>
        <w:rPr/>
        <w:t>Promoting and implementing appropriate procedures to safeguard the well-being of members and protect them from harm,</w:t>
      </w:r>
    </w:p>
    <w:p>
      <w:pPr>
        <w:pStyle w:val="Normal"/>
        <w:numPr>
          <w:ilvl w:val="0"/>
          <w:numId w:val="5"/>
        </w:numPr>
        <w:rPr/>
      </w:pPr>
      <w:r>
        <w:rPr/>
        <w:t>Recruiting, training, supporting, encouraging, and supervising coaches, members and volunteers to adopt best practice to safeguard and protect members from harm and to reduce the risk of allegations or complaints against themselves,</w:t>
      </w:r>
    </w:p>
    <w:p>
      <w:pPr>
        <w:pStyle w:val="Normal"/>
        <w:numPr>
          <w:ilvl w:val="0"/>
          <w:numId w:val="5"/>
        </w:numPr>
        <w:rPr/>
      </w:pPr>
      <w:r>
        <w:rPr/>
        <w:t xml:space="preserve">Requiring members, coaches, support staff and volunteers to adopt and abide by this Policy and the Arawa Code of Conduct, </w:t>
      </w:r>
    </w:p>
    <w:p>
      <w:pPr>
        <w:pStyle w:val="Normal"/>
        <w:numPr>
          <w:ilvl w:val="0"/>
          <w:numId w:val="5"/>
        </w:numPr>
        <w:rPr/>
      </w:pPr>
      <w:r>
        <w:rPr/>
        <w:t>Responding to any allegations of misconduct or harm to members in line with this Policy and these procedures, as well as implementing, where appropriate, the relevant investigative, disciplinary and appeals procedures,</w:t>
      </w:r>
    </w:p>
    <w:p>
      <w:pPr>
        <w:pStyle w:val="Normal"/>
        <w:numPr>
          <w:ilvl w:val="0"/>
          <w:numId w:val="5"/>
        </w:numPr>
        <w:rPr/>
      </w:pPr>
      <w:r>
        <w:rPr/>
        <w:t>Regularly monitoring and evaluating the implementation of this Policy and its procedures.</w:t>
      </w:r>
    </w:p>
    <w:p>
      <w:pPr>
        <w:pStyle w:val="Heading1"/>
        <w:numPr>
          <w:ilvl w:val="0"/>
          <w:numId w:val="1"/>
        </w:numPr>
        <w:rPr/>
      </w:pPr>
      <w:r>
        <w:rPr/>
        <w:t>Protocols</w:t>
      </w:r>
    </w:p>
    <w:p>
      <w:pPr>
        <w:pStyle w:val="Normal"/>
        <w:rPr/>
      </w:pPr>
      <w:r>
        <w:rPr/>
        <w:t xml:space="preserve">The following protocols are designed to ensure the utmost is done to provide a safe environment for all Club members. They provide guidance to those working with members by outlining good practice and establishing boundaries in a range of situations. The intention of these protocols is to reduce the likelihood of harm to a member as well as minimising the risk of an allegation or complaint being made. </w:t>
      </w:r>
    </w:p>
    <w:p>
      <w:pPr>
        <w:pStyle w:val="Heading4"/>
        <w:rPr/>
      </w:pPr>
      <w:r>
        <w:rPr/>
        <w:t xml:space="preserve">Applying an athlete-centred approach where all members are treated equally and with dignity </w:t>
      </w:r>
    </w:p>
    <w:p>
      <w:pPr>
        <w:pStyle w:val="Normal"/>
        <w:numPr>
          <w:ilvl w:val="0"/>
          <w:numId w:val="7"/>
        </w:numPr>
        <w:rPr/>
      </w:pPr>
      <w:r>
        <w:rPr/>
        <w:t>Treat everyone with respect. Respect their right to personal privacy.</w:t>
      </w:r>
    </w:p>
    <w:p>
      <w:pPr>
        <w:pStyle w:val="Normal"/>
        <w:numPr>
          <w:ilvl w:val="0"/>
          <w:numId w:val="7"/>
        </w:numPr>
        <w:rPr/>
      </w:pPr>
      <w:r>
        <w:rPr/>
        <w:t>Activities should be appropriate for the age and stage of development of the members in your care.  </w:t>
      </w:r>
    </w:p>
    <w:p>
      <w:pPr>
        <w:pStyle w:val="Normal"/>
        <w:numPr>
          <w:ilvl w:val="0"/>
          <w:numId w:val="7"/>
        </w:numPr>
        <w:rPr/>
      </w:pPr>
      <w:r>
        <w:rPr/>
        <w:t>Ensure feedback to members is about their performance and not of a personal nature.  </w:t>
      </w:r>
    </w:p>
    <w:p>
      <w:pPr>
        <w:pStyle w:val="Normal"/>
        <w:numPr>
          <w:ilvl w:val="0"/>
          <w:numId w:val="7"/>
        </w:numPr>
        <w:rPr/>
      </w:pPr>
      <w:r>
        <w:rPr/>
        <w:t>Use positive and age-appropriate language when talking to members and in their presence.  </w:t>
      </w:r>
    </w:p>
    <w:p>
      <w:pPr>
        <w:pStyle w:val="Heading4"/>
        <w:rPr/>
      </w:pPr>
      <w:r>
        <w:rPr/>
        <w:t xml:space="preserve">Creating a safe and open working environment that also reduces risk to staff and volunteers </w:t>
      </w:r>
    </w:p>
    <w:p>
      <w:pPr>
        <w:pStyle w:val="Normal"/>
        <w:numPr>
          <w:ilvl w:val="0"/>
          <w:numId w:val="8"/>
        </w:numPr>
        <w:rPr/>
      </w:pPr>
      <w:r>
        <w:rPr/>
        <w:t>Exercise common sense.  </w:t>
      </w:r>
    </w:p>
    <w:p>
      <w:pPr>
        <w:pStyle w:val="Normal"/>
        <w:numPr>
          <w:ilvl w:val="0"/>
          <w:numId w:val="8"/>
        </w:numPr>
        <w:rPr/>
      </w:pPr>
      <w:r>
        <w:rPr/>
        <w:t>Ensure that members use appropriate protective gear and have appropriate safety protocols in place and that all equipment being used is in good working order.  </w:t>
      </w:r>
    </w:p>
    <w:p>
      <w:pPr>
        <w:pStyle w:val="Normal"/>
        <w:numPr>
          <w:ilvl w:val="0"/>
          <w:numId w:val="8"/>
        </w:numPr>
        <w:rPr/>
      </w:pPr>
      <w:r>
        <w:rPr/>
        <w:t>Ensure that any filming or photography of members is appropriate.</w:t>
      </w:r>
    </w:p>
    <w:p>
      <w:pPr>
        <w:pStyle w:val="Normal"/>
        <w:numPr>
          <w:ilvl w:val="0"/>
          <w:numId w:val="8"/>
        </w:numPr>
        <w:rPr/>
      </w:pPr>
      <w:r>
        <w:rPr/>
        <w:t>Explain the purpose and obtain consent (from parents/caregivers) prior to filming or photographing members.  </w:t>
      </w:r>
    </w:p>
    <w:p>
      <w:pPr>
        <w:pStyle w:val="Normal"/>
        <w:numPr>
          <w:ilvl w:val="0"/>
          <w:numId w:val="8"/>
        </w:numPr>
        <w:rPr/>
      </w:pPr>
      <w:r>
        <w:rPr/>
        <w:t>Ensure that all physical contact with members is relevant and appropriate to the activity and done in the presence of others.</w:t>
      </w:r>
    </w:p>
    <w:p>
      <w:pPr>
        <w:pStyle w:val="Normal"/>
        <w:numPr>
          <w:ilvl w:val="0"/>
          <w:numId w:val="8"/>
        </w:numPr>
        <w:rPr/>
      </w:pPr>
      <w:r>
        <w:rPr/>
        <w:t>Do not engage in any intimate, over-familiar or sexual relationships with people under the age of 18 years.  </w:t>
      </w:r>
    </w:p>
    <w:p>
      <w:pPr>
        <w:pStyle w:val="Normal"/>
        <w:numPr>
          <w:ilvl w:val="0"/>
          <w:numId w:val="8"/>
        </w:numPr>
        <w:rPr/>
      </w:pPr>
      <w:r>
        <w:rPr/>
        <w:t>Do not engage in any bullying activity.  </w:t>
      </w:r>
    </w:p>
    <w:p>
      <w:pPr>
        <w:pStyle w:val="Normal"/>
        <w:numPr>
          <w:ilvl w:val="0"/>
          <w:numId w:val="8"/>
        </w:numPr>
        <w:rPr/>
      </w:pPr>
      <w:r>
        <w:rPr/>
        <w:t>Do not allow parents, coaches, other children, or spectators to engage in any type of bullying behaviour (this includes cyber/text bullying)  </w:t>
      </w:r>
    </w:p>
    <w:p>
      <w:pPr>
        <w:pStyle w:val="Normal"/>
        <w:numPr>
          <w:ilvl w:val="0"/>
          <w:numId w:val="8"/>
        </w:numPr>
        <w:rPr/>
      </w:pPr>
      <w:r>
        <w:rPr/>
        <w:t xml:space="preserve">Do not encourage, engage in or condone any watching of pornographic or age-inappropriate images or literature at any time with any children under the age of 18.  Those 18 or older should be discouraged from this in the context of the Club environment and this should not be allowed at any Club-sanctioned training or event.  </w:t>
      </w:r>
    </w:p>
    <w:p>
      <w:pPr>
        <w:pStyle w:val="Heading1"/>
        <w:numPr>
          <w:ilvl w:val="0"/>
          <w:numId w:val="1"/>
        </w:numPr>
        <w:rPr/>
      </w:pPr>
      <w:r>
        <w:rPr/>
        <w:t>Member Protection Officer</w:t>
      </w:r>
    </w:p>
    <w:p>
      <w:pPr>
        <w:pStyle w:val="Normal"/>
        <w:rPr/>
      </w:pPr>
      <w:r>
        <w:rPr/>
        <w:t xml:space="preserve">A Member Protection Officer (MPO) is appointed for the Club and contact details are communicated via newsletter updates and on the club website.  The primary role of the MPO is to be available as an independent, objective and confidential channel to manage member protection issues. </w:t>
      </w:r>
    </w:p>
    <w:p>
      <w:pPr>
        <w:pStyle w:val="Normal"/>
        <w:rPr/>
      </w:pPr>
      <w:r>
        <w:rPr/>
        <w:t>Main duties/responsibilities include:</w:t>
      </w:r>
    </w:p>
    <w:p>
      <w:pPr>
        <w:pStyle w:val="Normal"/>
        <w:numPr>
          <w:ilvl w:val="0"/>
          <w:numId w:val="6"/>
        </w:numPr>
        <w:rPr/>
      </w:pPr>
      <w:r>
        <w:rPr/>
        <w:t xml:space="preserve">Acting as the main contact and support for member protection matters, </w:t>
      </w:r>
    </w:p>
    <w:p>
      <w:pPr>
        <w:pStyle w:val="Normal"/>
        <w:numPr>
          <w:ilvl w:val="0"/>
          <w:numId w:val="6"/>
        </w:numPr>
        <w:rPr/>
      </w:pPr>
      <w:r>
        <w:rPr/>
        <w:t>Ensuring that member protection procedures are understood and adhered to by all members and staff via the Club Committee,</w:t>
      </w:r>
    </w:p>
    <w:p>
      <w:pPr>
        <w:pStyle w:val="Normal"/>
        <w:numPr>
          <w:ilvl w:val="0"/>
          <w:numId w:val="6"/>
        </w:numPr>
        <w:rPr/>
      </w:pPr>
      <w:r>
        <w:rPr/>
        <w:t>Organising promotional activities, training and raising awareness within the organisation via the Club Committee,</w:t>
      </w:r>
    </w:p>
    <w:p>
      <w:pPr>
        <w:pStyle w:val="Normal"/>
        <w:numPr>
          <w:ilvl w:val="0"/>
          <w:numId w:val="6"/>
        </w:numPr>
        <w:rPr/>
      </w:pPr>
      <w:r>
        <w:rPr/>
        <w:t xml:space="preserve">Establishing and maintaining the complaints procedure, </w:t>
      </w:r>
    </w:p>
    <w:p>
      <w:pPr>
        <w:pStyle w:val="Normal"/>
        <w:numPr>
          <w:ilvl w:val="0"/>
          <w:numId w:val="6"/>
        </w:numPr>
        <w:rPr/>
      </w:pPr>
      <w:r>
        <w:rPr/>
        <w:t>Reporting to the Committee (if appropriate),</w:t>
      </w:r>
    </w:p>
    <w:p>
      <w:pPr>
        <w:pStyle w:val="Normal"/>
        <w:numPr>
          <w:ilvl w:val="0"/>
          <w:numId w:val="6"/>
        </w:numPr>
        <w:rPr/>
      </w:pPr>
      <w:r>
        <w:rPr/>
        <w:t xml:space="preserve">Maintaining confidential records of reported cases and any action taken, </w:t>
      </w:r>
    </w:p>
    <w:p>
      <w:pPr>
        <w:pStyle w:val="Normal"/>
        <w:numPr>
          <w:ilvl w:val="0"/>
          <w:numId w:val="6"/>
        </w:numPr>
        <w:rPr/>
      </w:pPr>
      <w:r>
        <w:rPr/>
        <w:t>Regularly monitoring and reviewing existing policies and procedures.</w:t>
      </w:r>
    </w:p>
    <w:p>
      <w:pPr>
        <w:pStyle w:val="Normal"/>
        <w:rPr/>
      </w:pPr>
      <w:r>
        <w:rPr/>
        <w:t>The MPO’s only obligation to the Club Committee is to report that there has been an issued raised.  It is important that members understand that their issues will remain confidential unless they agree that the details can be released to the committee.</w:t>
      </w:r>
    </w:p>
    <w:p>
      <w:pPr>
        <w:pStyle w:val="Heading1"/>
        <w:numPr>
          <w:ilvl w:val="0"/>
          <w:numId w:val="1"/>
        </w:numPr>
        <w:rPr/>
      </w:pPr>
      <w:r>
        <w:rPr/>
        <w:t>Issues or complaints</w:t>
      </w:r>
    </w:p>
    <w:p>
      <w:pPr>
        <w:pStyle w:val="Normal"/>
        <w:rPr/>
      </w:pPr>
      <w:r>
        <w:rPr/>
        <w:t>If members have an issue or a grievance with another member, a member or their squad, a coach, a committee member or the committee, or the club, they are to raise it with the person closest to the issue.  If the member is not comfortable with that or doesn’t feel the issue has been addressed or resolved effectively then they are to escalate it progressively to:</w:t>
      </w:r>
    </w:p>
    <w:p>
      <w:pPr>
        <w:pStyle w:val="Normal"/>
        <w:numPr>
          <w:ilvl w:val="0"/>
          <w:numId w:val="2"/>
        </w:numPr>
        <w:rPr/>
      </w:pPr>
      <w:r>
        <w:rPr/>
        <w:t>Their coach or another coach</w:t>
      </w:r>
    </w:p>
    <w:p>
      <w:pPr>
        <w:pStyle w:val="Normal"/>
        <w:numPr>
          <w:ilvl w:val="0"/>
          <w:numId w:val="2"/>
        </w:numPr>
        <w:rPr/>
      </w:pPr>
      <w:r>
        <w:rPr/>
        <w:t>A senior club member or a committee member</w:t>
      </w:r>
    </w:p>
    <w:p>
      <w:pPr>
        <w:pStyle w:val="Normal"/>
        <w:numPr>
          <w:ilvl w:val="0"/>
          <w:numId w:val="2"/>
        </w:numPr>
        <w:rPr/>
      </w:pPr>
      <w:r>
        <w:rPr/>
        <w:t>The committee or president (either via the Administrator admin@arawa.org.nz or president@arawa.org.nz)</w:t>
      </w:r>
    </w:p>
    <w:p>
      <w:pPr>
        <w:pStyle w:val="Normal"/>
        <w:numPr>
          <w:ilvl w:val="0"/>
          <w:numId w:val="2"/>
        </w:numPr>
        <w:rPr/>
      </w:pPr>
      <w:r>
        <w:rPr/>
        <w:t>The Member Protection Officer (</w:t>
      </w:r>
      <w:hyperlink r:id="rId3">
        <w:r>
          <w:rPr>
            <w:rStyle w:val="Hyperlink"/>
          </w:rPr>
          <w:t>mpo@arawa.org.nz</w:t>
        </w:r>
      </w:hyperlink>
      <w:r>
        <w:rPr/>
        <w:t xml:space="preserve"> or 021-801-604).</w:t>
      </w:r>
    </w:p>
    <w:p>
      <w:pPr>
        <w:pStyle w:val="Heading1"/>
        <w:numPr>
          <w:ilvl w:val="0"/>
          <w:numId w:val="1"/>
        </w:numPr>
        <w:rPr/>
      </w:pPr>
      <w:r>
        <w:rPr/>
        <w:t xml:space="preserve">Responding to suspected harm - specifically physical or sexual abuse </w:t>
      </w:r>
    </w:p>
    <w:p>
      <w:pPr>
        <w:pStyle w:val="Normal"/>
        <w:rPr/>
      </w:pPr>
      <w:r>
        <w:rPr/>
        <w:t>Physical or sexual abuse is at the most serious end of the harm spectrum and will require an immediate response. In responding to suspected member physical or sexual abuse there are a few key principles that should be applied immediately. These are:</w:t>
      </w:r>
    </w:p>
    <w:p>
      <w:pPr>
        <w:pStyle w:val="Normal"/>
        <w:numPr>
          <w:ilvl w:val="0"/>
          <w:numId w:val="9"/>
        </w:numPr>
        <w:rPr/>
      </w:pPr>
      <w:r>
        <w:rPr/>
        <w:t xml:space="preserve">The welfare and interests of the member are the first and paramount considerations. </w:t>
      </w:r>
    </w:p>
    <w:p>
      <w:pPr>
        <w:pStyle w:val="Normal"/>
        <w:numPr>
          <w:ilvl w:val="0"/>
          <w:numId w:val="9"/>
        </w:numPr>
        <w:rPr/>
      </w:pPr>
      <w:r>
        <w:rPr>
          <w:rFonts w:cs="Cambria" w:cstheme="minorHAnsi"/>
          <w:color w:val="000000"/>
        </w:rPr>
        <w:t xml:space="preserve">Suspected and actual incidences of reported harm should be responded to and </w:t>
      </w:r>
      <w:r>
        <w:rPr>
          <w:rFonts w:eastAsia="MS Gothic" w:cs="MS Gothic" w:ascii="MS Gothic" w:hAnsi="MS Gothic"/>
          <w:color w:val="000000"/>
        </w:rPr>
        <w:t> </w:t>
      </w:r>
      <w:r>
        <w:rPr>
          <w:rFonts w:cs="Cambria" w:cstheme="minorHAnsi"/>
          <w:color w:val="000000"/>
        </w:rPr>
        <w:t xml:space="preserve">recorded accurately and appropriately and as soon as possible. </w:t>
      </w:r>
    </w:p>
    <w:p>
      <w:pPr>
        <w:pStyle w:val="Normal"/>
        <w:numPr>
          <w:ilvl w:val="0"/>
          <w:numId w:val="9"/>
        </w:numPr>
        <w:rPr/>
      </w:pPr>
      <w:r>
        <w:rPr>
          <w:rFonts w:cs="Cambria" w:cstheme="minorHAnsi"/>
          <w:color w:val="000000"/>
        </w:rPr>
        <w:t xml:space="preserve">Notify The Ministry for Children, Oranga Tamariki, if you are worried about suspected physical or sexual abuse of a child. If you think the child is at immediate risk, the Police should be notified. (Police are the only people who can remove a child from a family. The Ministry for Vulnerable Children must first apply through the court.) </w:t>
      </w:r>
    </w:p>
    <w:p>
      <w:pPr>
        <w:pStyle w:val="Normal"/>
        <w:rPr/>
      </w:pPr>
      <w:r>
        <w:rPr/>
        <w:t>Responding to suspected or disclosed harm in the form of physical or sexual abuse:</w:t>
      </w:r>
    </w:p>
    <w:tbl>
      <w:tblPr>
        <w:tblW w:w="5000" w:type="pct"/>
        <w:jc w:val="left"/>
        <w:tblInd w:w="0" w:type="dxa"/>
        <w:tblLayout w:type="fixed"/>
        <w:tblCellMar>
          <w:top w:w="0" w:type="dxa"/>
          <w:left w:w="0" w:type="dxa"/>
          <w:bottom w:w="0" w:type="dxa"/>
          <w:right w:w="0" w:type="dxa"/>
        </w:tblCellMar>
      </w:tblPr>
      <w:tblGrid>
        <w:gridCol w:w="1815"/>
        <w:gridCol w:w="2205"/>
        <w:gridCol w:w="5966"/>
      </w:tblGrid>
      <w:tr>
        <w:trPr/>
        <w:tc>
          <w:tcPr>
            <w:tcW w:w="1815" w:type="dxa"/>
            <w:tcBorders/>
            <w:shd w:fill="DDDDDD" w:val="clear"/>
          </w:tcPr>
          <w:p>
            <w:pPr>
              <w:pStyle w:val="TableContents"/>
              <w:spacing w:before="57" w:after="57"/>
              <w:jc w:val="center"/>
              <w:rPr>
                <w:b/>
                <w:bCs/>
                <w:color w:val="000000"/>
                <w:sz w:val="20"/>
                <w:szCs w:val="20"/>
              </w:rPr>
            </w:pPr>
            <w:r>
              <w:rPr>
                <w:b/>
                <w:bCs/>
                <w:color w:val="000000"/>
                <w:sz w:val="20"/>
                <w:szCs w:val="20"/>
              </w:rPr>
              <w:t>Situation</w:t>
            </w:r>
          </w:p>
        </w:tc>
        <w:tc>
          <w:tcPr>
            <w:tcW w:w="2205" w:type="dxa"/>
            <w:tcBorders/>
            <w:shd w:fill="DDDDDD" w:val="clear"/>
          </w:tcPr>
          <w:p>
            <w:pPr>
              <w:pStyle w:val="TableContents"/>
              <w:spacing w:before="57" w:after="57"/>
              <w:jc w:val="center"/>
              <w:rPr>
                <w:b/>
                <w:bCs/>
                <w:color w:val="000000"/>
                <w:sz w:val="20"/>
                <w:szCs w:val="20"/>
              </w:rPr>
            </w:pPr>
            <w:r>
              <w:rPr>
                <w:b/>
                <w:bCs/>
                <w:color w:val="000000"/>
                <w:sz w:val="20"/>
                <w:szCs w:val="20"/>
              </w:rPr>
              <w:t>Action</w:t>
            </w:r>
          </w:p>
        </w:tc>
        <w:tc>
          <w:tcPr>
            <w:tcW w:w="5966" w:type="dxa"/>
            <w:tcBorders/>
            <w:shd w:fill="DDDDDD" w:val="clear"/>
          </w:tcPr>
          <w:p>
            <w:pPr>
              <w:pStyle w:val="TableContents"/>
              <w:spacing w:before="57" w:after="57"/>
              <w:jc w:val="center"/>
              <w:rPr>
                <w:b/>
                <w:bCs/>
                <w:color w:val="000000"/>
                <w:sz w:val="20"/>
                <w:szCs w:val="20"/>
              </w:rPr>
            </w:pPr>
            <w:r>
              <w:rPr>
                <w:b/>
                <w:bCs/>
                <w:color w:val="000000"/>
                <w:sz w:val="20"/>
                <w:szCs w:val="20"/>
              </w:rPr>
              <w:t>Considerations</w:t>
            </w:r>
          </w:p>
        </w:tc>
      </w:tr>
      <w:tr>
        <w:trPr/>
        <w:tc>
          <w:tcPr>
            <w:tcW w:w="1815" w:type="dxa"/>
            <w:tcBorders/>
          </w:tcPr>
          <w:p>
            <w:pPr>
              <w:pStyle w:val="TableContents"/>
              <w:widowControl w:val="false"/>
              <w:suppressLineNumbers/>
              <w:spacing w:before="57" w:after="57"/>
              <w:rPr/>
            </w:pPr>
            <w:r>
              <w:rPr/>
              <w:t>Harm suspected, witnessed, reported or disclosed.</w:t>
            </w:r>
          </w:p>
        </w:tc>
        <w:tc>
          <w:tcPr>
            <w:tcW w:w="2205" w:type="dxa"/>
            <w:tcBorders/>
          </w:tcPr>
          <w:p>
            <w:pPr>
              <w:pStyle w:val="TableContents"/>
              <w:widowControl w:val="false"/>
              <w:suppressLineNumbers/>
              <w:spacing w:before="57" w:after="57"/>
              <w:rPr/>
            </w:pPr>
            <w:r>
              <w:rPr/>
              <w:t>Ensure the member is safe from immediate harm.</w:t>
            </w:r>
          </w:p>
        </w:tc>
        <w:tc>
          <w:tcPr>
            <w:tcW w:w="5966" w:type="dxa"/>
            <w:tcBorders/>
          </w:tcPr>
          <w:p>
            <w:pPr>
              <w:pStyle w:val="TableContents"/>
              <w:widowControl w:val="false"/>
              <w:suppressLineNumbers/>
              <w:spacing w:before="57" w:after="57"/>
              <w:rPr/>
            </w:pPr>
            <w:r>
              <w:rPr/>
              <w:t>Do not formally interview the member or make any judgements or commitments you cannot keep. Confidentiality is important. Avoid questioning the member beyond what they have already disclosed. Record facts concisely following: type of harm, signs and symptoms noted, any particular incidents with dates, times and place and any action taken.</w:t>
            </w:r>
          </w:p>
        </w:tc>
      </w:tr>
      <w:tr>
        <w:trPr/>
        <w:tc>
          <w:tcPr>
            <w:tcW w:w="1815" w:type="dxa"/>
            <w:tcBorders/>
          </w:tcPr>
          <w:p>
            <w:pPr>
              <w:pStyle w:val="TableContents"/>
              <w:widowControl w:val="false"/>
              <w:suppressLineNumbers/>
              <w:spacing w:before="57" w:after="57"/>
              <w:rPr/>
            </w:pPr>
            <w:r>
              <w:rPr/>
              <w:t>If alleged harm is by a staff member or volunteer.</w:t>
            </w:r>
          </w:p>
        </w:tc>
        <w:tc>
          <w:tcPr>
            <w:tcW w:w="2205" w:type="dxa"/>
            <w:tcBorders/>
          </w:tcPr>
          <w:p>
            <w:pPr>
              <w:pStyle w:val="TableContents"/>
              <w:spacing w:before="57" w:after="57"/>
              <w:rPr/>
            </w:pPr>
            <w:r>
              <w:rPr/>
              <w:t>Listen to the member and reassure them.</w:t>
            </w:r>
          </w:p>
        </w:tc>
        <w:tc>
          <w:tcPr>
            <w:tcW w:w="5966" w:type="dxa"/>
            <w:tcBorders/>
          </w:tcPr>
          <w:p>
            <w:pPr>
              <w:pStyle w:val="TableContents"/>
              <w:widowControl w:val="false"/>
              <w:suppressLineNumbers/>
              <w:spacing w:before="57" w:after="57"/>
              <w:rPr/>
            </w:pPr>
            <w:r>
              <w:rPr/>
              <w:t>A staff member or volunteer must be informed of any allegations against them. Be guided by the Police on this as each situation will be judged in its merits. Where there is a criminal offence the Police may want to notify the person. The employee or volunteer may be stood down while the matter is being investigated.</w:t>
            </w:r>
          </w:p>
        </w:tc>
      </w:tr>
      <w:tr>
        <w:trPr/>
        <w:tc>
          <w:tcPr>
            <w:tcW w:w="1815" w:type="dxa"/>
            <w:tcBorders/>
          </w:tcPr>
          <w:p>
            <w:pPr>
              <w:pStyle w:val="TableContents"/>
              <w:widowControl w:val="false"/>
              <w:suppressLineNumbers/>
              <w:spacing w:before="57" w:after="57"/>
              <w:rPr/>
            </w:pPr>
            <w:r>
              <w:rPr/>
              <w:t>If alleged harm is by a non-staff member..</w:t>
            </w:r>
          </w:p>
        </w:tc>
        <w:tc>
          <w:tcPr>
            <w:tcW w:w="2205" w:type="dxa"/>
            <w:tcBorders/>
          </w:tcPr>
          <w:p>
            <w:pPr>
              <w:pStyle w:val="TableContents"/>
              <w:widowControl w:val="false"/>
              <w:suppressLineNumbers/>
              <w:spacing w:before="57" w:after="57"/>
              <w:rPr/>
            </w:pPr>
            <w:r>
              <w:rPr/>
              <w:t>Record accurately and appropriately any information received/observed.</w:t>
            </w:r>
          </w:p>
        </w:tc>
        <w:tc>
          <w:tcPr>
            <w:tcW w:w="5966" w:type="dxa"/>
            <w:tcBorders/>
          </w:tcPr>
          <w:p>
            <w:pPr>
              <w:pStyle w:val="TableContents"/>
              <w:widowControl w:val="false"/>
              <w:suppressLineNumbers/>
              <w:spacing w:before="57" w:after="57"/>
              <w:rPr/>
            </w:pPr>
            <w:r>
              <w:rPr/>
              <w:t>Decide who will inform the relevant people (parents, partners, family) and provide support to the family. Seek help from trained personnel in order to manage this process effectively.</w:t>
            </w:r>
          </w:p>
        </w:tc>
      </w:tr>
      <w:tr>
        <w:trPr>
          <w:trHeight w:val="518" w:hRule="atLeast"/>
        </w:trPr>
        <w:tc>
          <w:tcPr>
            <w:tcW w:w="1815" w:type="dxa"/>
            <w:tcBorders/>
          </w:tcPr>
          <w:p>
            <w:pPr>
              <w:pStyle w:val="TableContents"/>
              <w:widowControl w:val="false"/>
              <w:suppressLineNumbers/>
              <w:spacing w:before="57" w:after="57"/>
              <w:rPr/>
            </w:pPr>
            <w:r>
              <w:rPr/>
              <w:t>Investigation by the Police.</w:t>
            </w:r>
          </w:p>
        </w:tc>
        <w:tc>
          <w:tcPr>
            <w:tcW w:w="2205" w:type="dxa"/>
            <w:tcBorders/>
          </w:tcPr>
          <w:p>
            <w:pPr>
              <w:pStyle w:val="TableContents"/>
              <w:widowControl w:val="false"/>
              <w:suppressLineNumbers/>
              <w:spacing w:before="57" w:after="57"/>
              <w:rPr/>
            </w:pPr>
            <w:r>
              <w:rPr/>
              <w:t>Consult immediately with MPO.</w:t>
            </w:r>
          </w:p>
        </w:tc>
        <w:tc>
          <w:tcPr>
            <w:tcW w:w="5966" w:type="dxa"/>
            <w:tcBorders/>
          </w:tcPr>
          <w:p>
            <w:pPr>
              <w:pStyle w:val="TableContents"/>
              <w:widowControl w:val="false"/>
              <w:suppressLineNumbers/>
              <w:spacing w:before="57" w:after="57"/>
              <w:rPr/>
            </w:pPr>
            <w:r>
              <w:rPr/>
              <w:t>Note that there is a difference between a criminal investigation and an employment matter and that these must be kept separate.</w:t>
            </w:r>
          </w:p>
        </w:tc>
      </w:tr>
      <w:tr>
        <w:trPr/>
        <w:tc>
          <w:tcPr>
            <w:tcW w:w="1815" w:type="dxa"/>
            <w:tcBorders/>
          </w:tcPr>
          <w:p>
            <w:pPr>
              <w:pStyle w:val="TableContents"/>
              <w:widowControl w:val="false"/>
              <w:suppressLineNumbers/>
              <w:spacing w:before="57" w:after="57"/>
              <w:rPr/>
            </w:pPr>
            <w:r>
              <w:rPr/>
              <w:t>The Club debrief.</w:t>
            </w:r>
          </w:p>
        </w:tc>
        <w:tc>
          <w:tcPr>
            <w:tcW w:w="2205" w:type="dxa"/>
            <w:tcBorders/>
          </w:tcPr>
          <w:p>
            <w:pPr>
              <w:pStyle w:val="TableContents"/>
              <w:widowControl w:val="false"/>
              <w:suppressLineNumbers/>
              <w:spacing w:before="57" w:after="57"/>
              <w:rPr/>
            </w:pPr>
            <w:r>
              <w:rPr/>
              <w:t>MPO to report the concern to Committee and the Police.</w:t>
            </w:r>
          </w:p>
        </w:tc>
        <w:tc>
          <w:tcPr>
            <w:tcW w:w="5966" w:type="dxa"/>
            <w:tcBorders/>
          </w:tcPr>
          <w:p>
            <w:pPr>
              <w:pStyle w:val="TableContents"/>
              <w:widowControl w:val="false"/>
              <w:suppressLineNumbers/>
              <w:spacing w:before="57" w:after="57"/>
              <w:rPr/>
            </w:pPr>
            <w:r>
              <w:rPr/>
              <w:t>Debrief will include decisions about the person’s future involvement and a review of how the situation was managed and what changes to policy or safeguards need to be made.</w:t>
            </w:r>
          </w:p>
        </w:tc>
      </w:tr>
      <w:tr>
        <w:trPr/>
        <w:tc>
          <w:tcPr>
            <w:tcW w:w="1815" w:type="dxa"/>
            <w:tcBorders/>
          </w:tcPr>
          <w:p>
            <w:pPr>
              <w:pStyle w:val="TableContents"/>
              <w:widowControl w:val="false"/>
              <w:suppressLineNumbers/>
              <w:spacing w:before="57" w:after="57"/>
              <w:rPr/>
            </w:pPr>
            <w:r>
              <w:rPr/>
            </w:r>
          </w:p>
        </w:tc>
        <w:tc>
          <w:tcPr>
            <w:tcW w:w="2205" w:type="dxa"/>
            <w:tcBorders/>
          </w:tcPr>
          <w:p>
            <w:pPr>
              <w:pStyle w:val="TableContents"/>
              <w:spacing w:before="57" w:after="57"/>
              <w:rPr/>
            </w:pPr>
            <w:r>
              <w:rPr/>
              <w:t>Follow the advice of the Police. Ensure the member is in a safe place.</w:t>
            </w:r>
          </w:p>
        </w:tc>
        <w:tc>
          <w:tcPr>
            <w:tcW w:w="5966" w:type="dxa"/>
            <w:tcBorders/>
          </w:tcPr>
          <w:p>
            <w:pPr>
              <w:pStyle w:val="TableContents"/>
              <w:widowControl w:val="false"/>
              <w:suppressLineNumbers/>
              <w:spacing w:before="57" w:after="57"/>
              <w:rPr/>
            </w:pPr>
            <w:r>
              <w:rPr/>
            </w:r>
          </w:p>
        </w:tc>
      </w:tr>
    </w:tbl>
    <w:p>
      <w:pPr>
        <w:pStyle w:val="Normal"/>
        <w:rPr/>
      </w:pPr>
      <w:r>
        <w:rPr/>
      </w:r>
    </w:p>
    <w:p>
      <w:pPr>
        <w:pStyle w:val="Normal"/>
        <w:rPr/>
      </w:pPr>
      <w:r>
        <w:rPr/>
        <w:t>Managing the rights of the alleged offender:</w:t>
      </w:r>
    </w:p>
    <w:p>
      <w:pPr>
        <w:pStyle w:val="Normal"/>
        <w:numPr>
          <w:ilvl w:val="0"/>
          <w:numId w:val="10"/>
        </w:numPr>
        <w:rPr/>
      </w:pPr>
      <w:r>
        <w:rPr/>
        <w:t xml:space="preserve">People who have allegedly acted improperly also have rights e.g. privacy. They also have a reputation and families of their own and it is important to carefully investigate any complaints and follow a robust and fair process. </w:t>
      </w:r>
    </w:p>
    <w:p>
      <w:pPr>
        <w:pStyle w:val="Heading1"/>
        <w:numPr>
          <w:ilvl w:val="0"/>
          <w:numId w:val="1"/>
        </w:numPr>
        <w:rPr/>
      </w:pPr>
      <w:r>
        <w:rPr/>
        <w:t>Code of Conduct</w:t>
      </w:r>
    </w:p>
    <w:p>
      <w:pPr>
        <w:pStyle w:val="Normal"/>
        <w:rPr/>
      </w:pPr>
      <w:r>
        <w:rPr/>
        <w:t>Arawa Canoe Club has a Code of Conduct which sets out expectations of its staff, coaches, instructors, volunteers and supporters.</w:t>
      </w:r>
    </w:p>
    <w:p>
      <w:pPr>
        <w:pStyle w:val="Normal"/>
        <w:rPr/>
      </w:pPr>
      <w:r>
        <w:rPr/>
        <w:t>The Code of Conduct has been developed to cover a variety of roles including coaches, instructors, officials, parents, and administrators. The code also reinforces the good practice protocols.</w:t>
      </w:r>
    </w:p>
    <w:p>
      <w:pPr>
        <w:pStyle w:val="Normal"/>
        <w:rPr/>
      </w:pPr>
      <w:r>
        <w:rPr/>
        <w:t>Complaint and internal discipline procedures for breaches of the code procedures have been developed in conjunction with the Code of Conduct.</w:t>
      </w:r>
    </w:p>
    <w:p>
      <w:pPr>
        <w:pStyle w:val="Heading1"/>
        <w:numPr>
          <w:ilvl w:val="0"/>
          <w:numId w:val="1"/>
        </w:numPr>
        <w:rPr/>
      </w:pPr>
      <w:r>
        <w:rPr/>
        <w:t>Integrity Code</w:t>
      </w:r>
    </w:p>
    <w:p>
      <w:pPr>
        <w:pStyle w:val="Normal"/>
        <w:rPr/>
      </w:pPr>
      <w:r>
        <w:rPr/>
        <w:t xml:space="preserve">Members agree to abide by the Integrity Code.  The code covers anti-doping, anti-corruption and participant protection, and gives avenues for complaints and resolutions.  </w:t>
      </w:r>
    </w:p>
    <w:p>
      <w:pPr>
        <w:pStyle w:val="Heading1"/>
        <w:numPr>
          <w:ilvl w:val="0"/>
          <w:numId w:val="1"/>
        </w:numPr>
        <w:rPr/>
      </w:pPr>
      <w:r>
        <w:rPr/>
        <w:t xml:space="preserve">Supporting links </w:t>
      </w:r>
    </w:p>
    <w:p>
      <w:pPr>
        <w:pStyle w:val="Normal"/>
        <w:rPr/>
      </w:pPr>
      <w:r>
        <w:rPr/>
        <w:t xml:space="preserve">Arawa Canoe Club Member Protection Officer:  Ruth  </w:t>
      </w:r>
      <w:hyperlink r:id="rId4">
        <w:r>
          <w:rPr>
            <w:rStyle w:val="Hyperlink"/>
          </w:rPr>
          <w:t>mpo@arawa.org.nz</w:t>
        </w:r>
      </w:hyperlink>
      <w:r>
        <w:rPr/>
        <w:t xml:space="preserve"> phone 021 801 604</w:t>
      </w:r>
    </w:p>
    <w:p>
      <w:pPr>
        <w:pStyle w:val="Normal"/>
        <w:rPr/>
      </w:pPr>
      <w:r>
        <w:fldChar w:fldCharType="begin"/>
      </w:r>
      <w:r>
        <w:rPr>
          <w:rStyle w:val="Hyperlink"/>
          <w:u w:val="single"/>
          <w:color w:val="000080"/>
        </w:rPr>
        <w:instrText xml:space="preserve"> HYPERLINK "https://www.legislation.govt.nz/act/public/2014/40/en/2018-05-01/" \l "DLM5501618"</w:instrText>
      </w:r>
      <w:r>
        <w:rPr>
          <w:rStyle w:val="Hyperlink"/>
          <w:u w:val="single"/>
          <w:color w:val="000080"/>
        </w:rPr>
        <w:fldChar w:fldCharType="separate"/>
      </w:r>
      <w:r>
        <w:rPr>
          <w:rStyle w:val="Hyperlink"/>
          <w:color w:val="000080"/>
          <w:u w:val="single"/>
        </w:rPr>
        <w:t>Vulnerable Children Act 2014</w:t>
      </w:r>
      <w:r>
        <w:rPr>
          <w:rStyle w:val="Hyperlink"/>
          <w:u w:val="single"/>
          <w:color w:val="000080"/>
        </w:rPr>
        <w:fldChar w:fldCharType="end"/>
      </w:r>
      <w:r>
        <w:rPr>
          <w:color w:val="000080"/>
          <w:u w:val="single"/>
        </w:rPr>
        <w:tab/>
      </w:r>
    </w:p>
    <w:p>
      <w:pPr>
        <w:pStyle w:val="Normal"/>
        <w:rPr/>
      </w:pPr>
      <w:hyperlink r:id="rId5">
        <w:r>
          <w:rPr>
            <w:rStyle w:val="Hyperlink"/>
            <w:color w:val="000080"/>
            <w:u w:val="single"/>
          </w:rPr>
          <w:t>Canoe Racing New Zealand Wellbeing &amp; Protection Regulation</w:t>
        </w:r>
      </w:hyperlink>
    </w:p>
    <w:p>
      <w:pPr>
        <w:pStyle w:val="Normal"/>
        <w:rPr/>
      </w:pPr>
      <w:hyperlink r:id="rId6">
        <w:r>
          <w:rPr>
            <w:rStyle w:val="Hyperlink"/>
            <w:color w:val="000080"/>
            <w:u w:val="single"/>
          </w:rPr>
          <w:t>New Zealand Police  Child Protection</w:t>
        </w:r>
      </w:hyperlink>
      <w:r>
        <w:rPr>
          <w:rStyle w:val="Hyperlink"/>
          <w:color w:val="000000"/>
          <w:u w:val="none"/>
        </w:rPr>
        <w:t xml:space="preserve"> – phone 105 (or 111 if it’s urgent)</w:t>
      </w:r>
    </w:p>
    <w:p>
      <w:pPr>
        <w:pStyle w:val="Normal"/>
        <w:rPr/>
      </w:pPr>
      <w:hyperlink r:id="rId7">
        <w:r>
          <w:rPr>
            <w:rStyle w:val="Hyperlink"/>
            <w:color w:val="000080"/>
            <w:u w:val="single"/>
          </w:rPr>
          <w:t>Oranga Tamariki</w:t>
        </w:r>
      </w:hyperlink>
      <w:r>
        <w:rPr>
          <w:color w:val="000080"/>
          <w:u w:val="single"/>
        </w:rPr>
        <w:t xml:space="preserve"> (aka CYF, Ministry for Children)</w:t>
      </w:r>
      <w:r>
        <w:rPr>
          <w:rStyle w:val="Hyperlink"/>
          <w:color w:val="000000"/>
          <w:u w:val="none"/>
        </w:rPr>
        <w:t xml:space="preserve"> – phone  0508 326 459</w:t>
      </w:r>
    </w:p>
    <w:p>
      <w:pPr>
        <w:pStyle w:val="Normal"/>
        <w:rPr/>
      </w:pPr>
      <w:r>
        <w:rPr/>
      </w:r>
    </w:p>
    <w:p>
      <w:pPr>
        <w:pStyle w:val="Normal"/>
        <w:rPr/>
      </w:pPr>
      <w:r>
        <w:rPr/>
      </w:r>
    </w:p>
    <w:p>
      <w:pPr>
        <w:pStyle w:val="Heading1"/>
        <w:numPr>
          <w:ilvl w:val="0"/>
          <w:numId w:val="0"/>
        </w:numPr>
        <w:ind w:hanging="0" w:left="0"/>
        <w:rPr>
          <w:rFonts w:ascii="Liberation Sans" w:hAnsi="Liberation Sans"/>
          <w:lang w:val="en-GB"/>
        </w:rPr>
      </w:pPr>
      <w:r>
        <w:rPr>
          <w:lang w:val="en-GB"/>
        </w:rPr>
        <w:t>Change History</w:t>
      </w:r>
    </w:p>
    <w:tbl>
      <w:tblPr>
        <w:tblW w:w="10020" w:type="dxa"/>
        <w:jc w:val="left"/>
        <w:tblInd w:w="47" w:type="dxa"/>
        <w:tblLayout w:type="fixed"/>
        <w:tblCellMar>
          <w:top w:w="55" w:type="dxa"/>
          <w:left w:w="45" w:type="dxa"/>
          <w:bottom w:w="55" w:type="dxa"/>
          <w:right w:w="55" w:type="dxa"/>
        </w:tblCellMar>
        <w:tblLook w:val="0000" w:noHBand="0" w:noVBand="0" w:firstColumn="0" w:lastRow="0" w:lastColumn="0" w:firstRow="0"/>
      </w:tblPr>
      <w:tblGrid>
        <w:gridCol w:w="608"/>
        <w:gridCol w:w="5707"/>
        <w:gridCol w:w="1890"/>
        <w:gridCol w:w="1814"/>
      </w:tblGrid>
      <w:tr>
        <w:trPr/>
        <w:tc>
          <w:tcPr>
            <w:tcW w:w="608"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Ver.</w:t>
            </w:r>
          </w:p>
        </w:tc>
        <w:tc>
          <w:tcPr>
            <w:tcW w:w="5707"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Change</w:t>
            </w:r>
          </w:p>
        </w:tc>
        <w:tc>
          <w:tcPr>
            <w:tcW w:w="1890"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Who</w:t>
            </w:r>
          </w:p>
        </w:tc>
        <w:tc>
          <w:tcPr>
            <w:tcW w:w="1814" w:type="dxa"/>
            <w:tcBorders>
              <w:top w:val="single" w:sz="2" w:space="0" w:color="000001"/>
              <w:left w:val="single" w:sz="2" w:space="0" w:color="000001"/>
              <w:bottom w:val="single" w:sz="2" w:space="0" w:color="000001"/>
              <w:right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Released</w:t>
            </w:r>
          </w:p>
        </w:tc>
      </w:tr>
      <w:tr>
        <w:trPr/>
        <w:tc>
          <w:tcPr>
            <w:tcW w:w="608" w:type="dxa"/>
            <w:tcBorders>
              <w:left w:val="single" w:sz="2" w:space="0" w:color="000001"/>
              <w:bottom w:val="single" w:sz="2" w:space="0" w:color="000001"/>
            </w:tcBorders>
          </w:tcPr>
          <w:p>
            <w:pPr>
              <w:pStyle w:val="TextBody"/>
              <w:spacing w:before="57" w:after="57"/>
              <w:jc w:val="center"/>
              <w:rPr>
                <w:sz w:val="22"/>
                <w:szCs w:val="22"/>
              </w:rPr>
            </w:pPr>
            <w:r>
              <w:rPr>
                <w:sz w:val="22"/>
                <w:szCs w:val="22"/>
                <w:lang w:val="en-GB"/>
              </w:rPr>
              <w:t>1.1</w:t>
            </w:r>
          </w:p>
        </w:tc>
        <w:tc>
          <w:tcPr>
            <w:tcW w:w="5707" w:type="dxa"/>
            <w:tcBorders>
              <w:left w:val="single" w:sz="2" w:space="0" w:color="000001"/>
              <w:bottom w:val="single" w:sz="2" w:space="0" w:color="000001"/>
            </w:tcBorders>
          </w:tcPr>
          <w:p>
            <w:pPr>
              <w:pStyle w:val="TextBody"/>
              <w:spacing w:before="57" w:after="57"/>
              <w:rPr>
                <w:sz w:val="22"/>
                <w:szCs w:val="22"/>
              </w:rPr>
            </w:pPr>
            <w:r>
              <w:rPr>
                <w:sz w:val="22"/>
                <w:szCs w:val="22"/>
                <w:lang w:val="en-GB"/>
              </w:rPr>
              <w:t xml:space="preserve">Updated version 1.0 with consistent formats </w:t>
            </w:r>
            <w:r>
              <w:rPr>
                <w:sz w:val="22"/>
                <w:szCs w:val="22"/>
                <w:lang w:val="en-GB"/>
              </w:rPr>
              <w:t>to</w:t>
            </w:r>
            <w:r>
              <w:rPr>
                <w:sz w:val="22"/>
                <w:szCs w:val="22"/>
                <w:lang w:val="en-GB"/>
              </w:rPr>
              <w:t xml:space="preserve"> safety documents.</w:t>
            </w:r>
          </w:p>
          <w:p>
            <w:pPr>
              <w:pStyle w:val="TextBody"/>
              <w:spacing w:before="57" w:after="57"/>
              <w:rPr>
                <w:sz w:val="22"/>
                <w:szCs w:val="22"/>
              </w:rPr>
            </w:pPr>
            <w:r>
              <w:rPr>
                <w:sz w:val="22"/>
                <w:szCs w:val="22"/>
                <w:lang w:val="en-GB"/>
              </w:rPr>
              <w:t>Added missing content from CRNZ template for CPP.</w:t>
            </w:r>
          </w:p>
          <w:p>
            <w:pPr>
              <w:pStyle w:val="TextBody"/>
              <w:spacing w:before="57" w:after="57"/>
              <w:rPr>
                <w:sz w:val="22"/>
                <w:szCs w:val="22"/>
              </w:rPr>
            </w:pPr>
            <w:r>
              <w:rPr>
                <w:sz w:val="22"/>
                <w:szCs w:val="22"/>
                <w:lang w:val="en-GB"/>
              </w:rPr>
              <w:t>Removed sections specific for the Child Protection Policy.</w:t>
            </w:r>
          </w:p>
        </w:tc>
        <w:tc>
          <w:tcPr>
            <w:tcW w:w="1890" w:type="dxa"/>
            <w:tcBorders>
              <w:left w:val="single" w:sz="2" w:space="0" w:color="000001"/>
              <w:bottom w:val="single" w:sz="2" w:space="0" w:color="000001"/>
            </w:tcBorders>
          </w:tcPr>
          <w:p>
            <w:pPr>
              <w:pStyle w:val="TextBody"/>
              <w:spacing w:before="57" w:after="57"/>
              <w:rPr>
                <w:sz w:val="22"/>
                <w:szCs w:val="22"/>
              </w:rPr>
            </w:pPr>
            <w:r>
              <w:rPr>
                <w:sz w:val="22"/>
                <w:szCs w:val="22"/>
                <w:lang w:val="en-GB"/>
              </w:rPr>
              <w:t>Ken</w:t>
            </w:r>
          </w:p>
        </w:tc>
        <w:tc>
          <w:tcPr>
            <w:tcW w:w="1814" w:type="dxa"/>
            <w:tcBorders>
              <w:left w:val="single" w:sz="2" w:space="0" w:color="000001"/>
              <w:bottom w:val="single" w:sz="2" w:space="0" w:color="000001"/>
              <w:right w:val="single" w:sz="2" w:space="0" w:color="000001"/>
            </w:tcBorders>
          </w:tcPr>
          <w:p>
            <w:pPr>
              <w:pStyle w:val="TextBody"/>
              <w:spacing w:before="57" w:after="57"/>
              <w:rPr>
                <w:sz w:val="22"/>
                <w:szCs w:val="22"/>
              </w:rPr>
            </w:pPr>
            <w:r>
              <w:rPr>
                <w:sz w:val="22"/>
                <w:szCs w:val="22"/>
                <w:lang w:val="en-GB"/>
              </w:rPr>
              <w:t>14 July 2026</w:t>
            </w:r>
          </w:p>
        </w:tc>
      </w:tr>
      <w:tr>
        <w:trPr/>
        <w:tc>
          <w:tcPr>
            <w:tcW w:w="608" w:type="dxa"/>
            <w:tcBorders>
              <w:left w:val="single" w:sz="2" w:space="0" w:color="000001"/>
              <w:bottom w:val="single" w:sz="2" w:space="0" w:color="000001"/>
            </w:tcBorders>
          </w:tcPr>
          <w:p>
            <w:pPr>
              <w:pStyle w:val="TextBody"/>
              <w:spacing w:before="57" w:after="57"/>
              <w:jc w:val="center"/>
              <w:rPr>
                <w:sz w:val="22"/>
                <w:szCs w:val="22"/>
              </w:rPr>
            </w:pPr>
            <w:r>
              <w:rPr>
                <w:sz w:val="22"/>
                <w:szCs w:val="22"/>
              </w:rPr>
              <w:t>1.2</w:t>
            </w:r>
          </w:p>
        </w:tc>
        <w:tc>
          <w:tcPr>
            <w:tcW w:w="5707" w:type="dxa"/>
            <w:tcBorders>
              <w:left w:val="single" w:sz="2" w:space="0" w:color="000001"/>
              <w:bottom w:val="single" w:sz="2" w:space="0" w:color="000001"/>
            </w:tcBorders>
          </w:tcPr>
          <w:p>
            <w:pPr>
              <w:pStyle w:val="TextBody"/>
              <w:spacing w:before="57" w:after="57"/>
              <w:rPr>
                <w:sz w:val="22"/>
                <w:szCs w:val="22"/>
              </w:rPr>
            </w:pPr>
            <w:r>
              <w:rPr>
                <w:sz w:val="22"/>
                <w:szCs w:val="22"/>
              </w:rPr>
              <w:t>Updated with minor changes, to be more consistent with the CPP.</w:t>
            </w:r>
          </w:p>
        </w:tc>
        <w:tc>
          <w:tcPr>
            <w:tcW w:w="1890" w:type="dxa"/>
            <w:tcBorders>
              <w:left w:val="single" w:sz="2" w:space="0" w:color="000001"/>
              <w:bottom w:val="single" w:sz="2" w:space="0" w:color="000001"/>
            </w:tcBorders>
          </w:tcPr>
          <w:p>
            <w:pPr>
              <w:pStyle w:val="TextBody"/>
              <w:spacing w:before="57" w:after="57"/>
              <w:rPr>
                <w:sz w:val="22"/>
                <w:szCs w:val="22"/>
              </w:rPr>
            </w:pPr>
            <w:r>
              <w:rPr>
                <w:sz w:val="22"/>
                <w:szCs w:val="22"/>
              </w:rPr>
              <w:t>Ken</w:t>
            </w:r>
          </w:p>
        </w:tc>
        <w:tc>
          <w:tcPr>
            <w:tcW w:w="1814" w:type="dxa"/>
            <w:tcBorders>
              <w:left w:val="single" w:sz="2" w:space="0" w:color="000001"/>
              <w:bottom w:val="single" w:sz="2" w:space="0" w:color="000001"/>
              <w:right w:val="single" w:sz="2" w:space="0" w:color="000001"/>
            </w:tcBorders>
          </w:tcPr>
          <w:p>
            <w:pPr>
              <w:pStyle w:val="TextBody"/>
              <w:spacing w:before="57" w:after="57"/>
              <w:rPr>
                <w:sz w:val="22"/>
                <w:szCs w:val="22"/>
              </w:rPr>
            </w:pPr>
            <w:r>
              <w:rPr>
                <w:sz w:val="22"/>
                <w:szCs w:val="22"/>
              </w:rPr>
              <w:t>16 July 2026</w:t>
            </w:r>
          </w:p>
        </w:tc>
      </w:tr>
      <w:tr>
        <w:trPr/>
        <w:tc>
          <w:tcPr>
            <w:tcW w:w="608" w:type="dxa"/>
            <w:tcBorders>
              <w:top w:val="single" w:sz="2" w:space="0" w:color="000001"/>
              <w:left w:val="single" w:sz="2" w:space="0" w:color="000001"/>
              <w:bottom w:val="single" w:sz="2" w:space="0" w:color="000001"/>
            </w:tcBorders>
          </w:tcPr>
          <w:p>
            <w:pPr>
              <w:pStyle w:val="TextBody"/>
              <w:spacing w:before="57" w:after="57"/>
              <w:jc w:val="center"/>
              <w:rPr>
                <w:sz w:val="22"/>
                <w:szCs w:val="22"/>
              </w:rPr>
            </w:pPr>
            <w:r>
              <w:rPr>
                <w:sz w:val="22"/>
                <w:szCs w:val="22"/>
                <w:lang w:val="en-GB"/>
              </w:rPr>
              <w:t>2.0</w:t>
            </w:r>
          </w:p>
        </w:tc>
        <w:tc>
          <w:tcPr>
            <w:tcW w:w="5707" w:type="dxa"/>
            <w:tcBorders>
              <w:top w:val="single" w:sz="2" w:space="0" w:color="000001"/>
              <w:left w:val="single" w:sz="2" w:space="0" w:color="000001"/>
              <w:bottom w:val="single" w:sz="2" w:space="0" w:color="000001"/>
            </w:tcBorders>
          </w:tcPr>
          <w:p>
            <w:pPr>
              <w:pStyle w:val="TextBody"/>
              <w:spacing w:before="57" w:after="57"/>
              <w:rPr>
                <w:sz w:val="22"/>
                <w:szCs w:val="22"/>
              </w:rPr>
            </w:pPr>
            <w:r>
              <w:rPr>
                <w:sz w:val="22"/>
                <w:szCs w:val="22"/>
                <w:lang w:val="en-GB"/>
              </w:rPr>
              <w:t>Adopted by the committee</w:t>
            </w:r>
          </w:p>
        </w:tc>
        <w:tc>
          <w:tcPr>
            <w:tcW w:w="1890" w:type="dxa"/>
            <w:tcBorders>
              <w:top w:val="single" w:sz="2" w:space="0" w:color="000001"/>
              <w:left w:val="single" w:sz="2" w:space="0" w:color="000001"/>
              <w:bottom w:val="single" w:sz="2" w:space="0" w:color="000001"/>
            </w:tcBorders>
          </w:tcPr>
          <w:p>
            <w:pPr>
              <w:pStyle w:val="TextBody"/>
              <w:spacing w:before="57" w:after="57"/>
              <w:rPr>
                <w:rFonts w:ascii="Liberation Sans" w:hAnsi="Liberation Sans"/>
                <w:sz w:val="22"/>
                <w:szCs w:val="22"/>
                <w:lang w:val="en-GB"/>
              </w:rPr>
            </w:pPr>
            <w:r>
              <w:rPr>
                <w:sz w:val="22"/>
                <w:szCs w:val="22"/>
                <w:lang w:val="en-GB"/>
              </w:rPr>
              <w:t>Arawa Committee</w:t>
            </w:r>
          </w:p>
        </w:tc>
        <w:tc>
          <w:tcPr>
            <w:tcW w:w="1814" w:type="dxa"/>
            <w:tcBorders>
              <w:top w:val="single" w:sz="2" w:space="0" w:color="000001"/>
              <w:left w:val="single" w:sz="2" w:space="0" w:color="000001"/>
              <w:bottom w:val="single" w:sz="2" w:space="0" w:color="000001"/>
              <w:right w:val="single" w:sz="2" w:space="0" w:color="000001"/>
            </w:tcBorders>
          </w:tcPr>
          <w:p>
            <w:pPr>
              <w:pStyle w:val="TextBody"/>
              <w:spacing w:before="57" w:after="57"/>
              <w:rPr>
                <w:sz w:val="22"/>
                <w:szCs w:val="22"/>
              </w:rPr>
            </w:pPr>
            <w:r>
              <w:rPr>
                <w:sz w:val="22"/>
                <w:szCs w:val="22"/>
                <w:lang w:val="en-GB"/>
              </w:rPr>
              <w:t>7 August 2026</w:t>
            </w:r>
          </w:p>
        </w:tc>
      </w:tr>
    </w:tbl>
    <w:p>
      <w:pPr>
        <w:pStyle w:val="TextBody"/>
        <w:spacing w:lineRule="auto" w:line="288" w:before="0" w:after="140"/>
        <w:rPr>
          <w:b/>
        </w:rPr>
      </w:pPr>
      <w:r>
        <w:rPr>
          <w:b/>
        </w:rPr>
      </w:r>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080" w:right="840" w:gutter="0" w:header="720" w:top="863" w:footer="431" w:bottom="863"/>
      <w:pgNumType w:start="0"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OpenSymbol">
    <w:altName w:val="Arial Unicode MS"/>
    <w:charset w:val="01"/>
    <w:family w:val="roman"/>
    <w:pitch w:val="variable"/>
  </w:font>
  <w:font w:name="MS Gothic">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57" w:after="57"/>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rPr>
        <w:lang w:val="en-GB"/>
      </w:rPr>
    </w:pPr>
    <w:r>
      <w:rPr>
        <w:lang w:val="en-GB"/>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jc w:val="center"/>
      <w:rPr>
        <w:lang w:val="en-GB"/>
      </w:rPr>
    </w:pPr>
    <w:r>
      <w:rPr>
        <w:lang w:val="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lang w:val="en-GB"/>
      </w:rPr>
    </w:pPr>
    <w:r>
      <w:rPr>
        <w:lang w:val="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lang w:val="en-GB"/>
      </w:rPr>
    </w:pPr>
    <w:r>
      <w:rPr>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97"/>
        </w:tabs>
        <w:ind w:left="794" w:hanging="794"/>
      </w:pPr>
      <w:rPr/>
    </w:lvl>
    <w:lvl w:ilvl="1">
      <w:start w:val="1"/>
      <w:numFmt w:val="decimal"/>
      <w:lvlText w:val="%1.%2"/>
      <w:lvlJc w:val="left"/>
      <w:pPr>
        <w:tabs>
          <w:tab w:val="num" w:pos="567"/>
        </w:tabs>
        <w:ind w:left="794" w:hanging="794"/>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57" w:after="57"/>
      <w:jc w:val="left"/>
    </w:pPr>
    <w:rPr>
      <w:rFonts w:ascii="Liberation Sans" w:hAnsi="Liberation Sans" w:eastAsia="Arial" w:cs="Arial"/>
      <w:color w:val="auto"/>
      <w:kern w:val="0"/>
      <w:sz w:val="22"/>
      <w:szCs w:val="22"/>
      <w:lang w:val="en-GB" w:eastAsia="en-US" w:bidi="ar-SA"/>
    </w:rPr>
  </w:style>
  <w:style w:type="paragraph" w:styleId="Heading1">
    <w:name w:val="Heading 1"/>
    <w:basedOn w:val="Normal"/>
    <w:next w:val="Normal"/>
    <w:uiPriority w:val="9"/>
    <w:qFormat/>
    <w:pPr>
      <w:keepNext w:val="true"/>
      <w:keepLines/>
      <w:numPr>
        <w:ilvl w:val="0"/>
        <w:numId w:val="1"/>
      </w:numPr>
      <w:tabs>
        <w:tab w:val="clear" w:pos="720"/>
      </w:tabs>
      <w:spacing w:lineRule="auto" w:line="240" w:before="567" w:after="119"/>
      <w:ind w:hanging="0" w:left="0"/>
      <w:outlineLvl w:val="1"/>
    </w:pPr>
    <w:rPr>
      <w:b/>
      <w:sz w:val="36"/>
      <w:szCs w:val="36"/>
    </w:rPr>
  </w:style>
  <w:style w:type="paragraph" w:styleId="Heading2">
    <w:name w:val="Heading 2"/>
    <w:basedOn w:val="Normal"/>
    <w:next w:val="Normal"/>
    <w:uiPriority w:val="9"/>
    <w:unhideWhenUsed/>
    <w:qFormat/>
    <w:pPr>
      <w:keepNext w:val="true"/>
      <w:keepLines/>
      <w:numPr>
        <w:ilvl w:val="1"/>
        <w:numId w:val="1"/>
      </w:numPr>
      <w:spacing w:before="283" w:after="119"/>
      <w:ind w:hanging="0" w:left="0"/>
      <w:outlineLvl w:val="1"/>
    </w:pPr>
    <w:rPr>
      <w:b/>
      <w:sz w:val="28"/>
      <w:szCs w:val="28"/>
    </w:rPr>
  </w:style>
  <w:style w:type="paragraph" w:styleId="Heading3">
    <w:name w:val="Heading 3"/>
    <w:basedOn w:val="Normal"/>
    <w:next w:val="Normal"/>
    <w:uiPriority w:val="9"/>
    <w:unhideWhenUsed/>
    <w:qFormat/>
    <w:pPr>
      <w:keepNext w:val="true"/>
      <w:keepLines/>
      <w:spacing w:before="240" w:after="240"/>
      <w:outlineLvl w:val="2"/>
    </w:pPr>
    <w:rPr>
      <w:b/>
      <w:color w:val="05649C"/>
      <w:sz w:val="28"/>
      <w:szCs w:val="28"/>
    </w:rPr>
  </w:style>
  <w:style w:type="paragraph" w:styleId="Heading4">
    <w:name w:val="Heading 4"/>
    <w:basedOn w:val="Normal"/>
    <w:next w:val="Normal"/>
    <w:uiPriority w:val="9"/>
    <w:semiHidden/>
    <w:unhideWhenUsed/>
    <w:qFormat/>
    <w:pPr>
      <w:keepNext w:val="true"/>
      <w:keepLines/>
      <w:spacing w:lineRule="auto" w:line="240" w:before="0" w:after="80"/>
      <w:outlineLvl w:val="3"/>
    </w:pPr>
    <w:rPr>
      <w:b/>
      <w:bCs/>
      <w:color w:val="000000"/>
      <w:sz w:val="22"/>
      <w:szCs w:val="22"/>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b636a"/>
    <w:rPr/>
  </w:style>
  <w:style w:type="character" w:styleId="FooterChar" w:customStyle="1">
    <w:name w:val="Footer Char"/>
    <w:basedOn w:val="DefaultParagraphFont"/>
    <w:link w:val="Footer"/>
    <w:uiPriority w:val="99"/>
    <w:qFormat/>
    <w:rsid w:val="00ab636a"/>
    <w:rPr/>
  </w:style>
  <w:style w:type="character" w:styleId="BalloonTextChar" w:customStyle="1">
    <w:name w:val="Balloon Text Char"/>
    <w:basedOn w:val="DefaultParagraphFont"/>
    <w:link w:val="BalloonText"/>
    <w:uiPriority w:val="99"/>
    <w:semiHidden/>
    <w:qFormat/>
    <w:rsid w:val="00ab636a"/>
    <w:rPr>
      <w:rFonts w:ascii="Times New Roman" w:hAnsi="Times New Roman" w:cs="Times New Roman"/>
      <w:sz w:val="18"/>
      <w:szCs w:val="1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283" w:after="283"/>
      <w:jc w:val="center"/>
    </w:pPr>
    <w:rPr>
      <w:rFonts w:ascii="Liberation Sans" w:hAnsi="Liberation Sans"/>
      <w:b/>
      <w:bCs/>
      <w:sz w:val="44"/>
      <w:szCs w:val="44"/>
      <w:lang w:val="en-GB"/>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HeaderandFooter">
    <w:name w:val="Header and Footer"/>
    <w:basedOn w:val="Normal"/>
    <w:qFormat/>
    <w:pPr/>
    <w:rPr/>
  </w:style>
  <w:style w:type="paragraph" w:styleId="Header">
    <w:name w:val="Header"/>
    <w:basedOn w:val="Normal"/>
    <w:link w:val="HeaderChar"/>
    <w:uiPriority w:val="99"/>
    <w:unhideWhenUsed/>
    <w:rsid w:val="00ab636a"/>
    <w:pPr>
      <w:tabs>
        <w:tab w:val="clear" w:pos="720"/>
        <w:tab w:val="center" w:pos="4513" w:leader="none"/>
        <w:tab w:val="right" w:pos="9026" w:leader="none"/>
      </w:tabs>
      <w:spacing w:lineRule="auto" w:line="240"/>
    </w:pPr>
    <w:rPr/>
  </w:style>
  <w:style w:type="paragraph" w:styleId="Footer">
    <w:name w:val="Footer"/>
    <w:basedOn w:val="Normal"/>
    <w:link w:val="FooterChar"/>
    <w:uiPriority w:val="99"/>
    <w:unhideWhenUsed/>
    <w:rsid w:val="00ab636a"/>
    <w:pPr>
      <w:tabs>
        <w:tab w:val="clear" w:pos="720"/>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ab636a"/>
    <w:pPr>
      <w:spacing w:lineRule="auto" w:line="240"/>
    </w:pPr>
    <w:rPr>
      <w:rFonts w:ascii="Times New Roman" w:hAnsi="Times New Roman" w:cs="Times New Roman"/>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Comment">
    <w:name w:val="Comment"/>
    <w:basedOn w:val="Normal"/>
    <w:qFormat/>
    <w:pPr/>
    <w:rPr>
      <w:sz w:val="20"/>
      <w:szCs w:val="20"/>
    </w:rPr>
  </w:style>
  <w:style w:type="paragraph" w:styleId="TextBody">
    <w:name w:val="Text Body"/>
    <w:basedOn w:val="Normal"/>
    <w:qFormat/>
    <w:pPr/>
    <w:rPr>
      <w:sz w:val="22"/>
    </w:rPr>
  </w:style>
  <w:style w:type="paragraph" w:styleId="Footnote">
    <w:name w:val="Footnote"/>
    <w:basedOn w:val="Normal"/>
    <w:qFormat/>
    <w:pPr/>
    <w:rPr>
      <w:sz w:val="16"/>
    </w:rPr>
  </w:style>
  <w:style w:type="paragraph" w:styleId="ListParagraph">
    <w:name w:val="List Paragraph"/>
    <w:basedOn w:val="Normal"/>
    <w:qFormat/>
    <w:pPr>
      <w:spacing w:before="0" w:after="0"/>
      <w:ind w:left="720"/>
      <w:contextualSpacing/>
    </w:pPr>
    <w:rPr/>
  </w:style>
  <w:style w:type="numbering" w:styleId="NoList" w:default="1">
    <w:name w:val="No List"/>
    <w:uiPriority w:val="99"/>
    <w:semiHidden/>
    <w:unhideWhenUsed/>
    <w:qFormat/>
  </w:style>
  <w:style w:type="numbering" w:styleId="Numbering123">
    <w:name w:val="Numbering 123"/>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mpo@arawa.org.nz" TargetMode="External"/><Relationship Id="rId4" Type="http://schemas.openxmlformats.org/officeDocument/2006/relationships/hyperlink" Target="mailto:mpo@arawa.org.nz" TargetMode="External"/><Relationship Id="rId5" Type="http://schemas.openxmlformats.org/officeDocument/2006/relationships/hyperlink" Target="https://www.google.com/url?sa=t&amp;rct=j&amp;q=&amp;esrc=s&amp;source=web&amp;cd=&amp;ved=2ahUKEwiL9eSe7dCVAxX4UGcHHUkZIc4QFnoECBkQAQ&amp;url=https%3A%2F%2Fcanoeracing.org.nz%2Fwp-content%2Fuploads%2F2025%2F11%2FCRNZ_Wellbeing_Protection_Regulation-Final-1.pdf&amp;usg=AOvVaw0rw-OkoAy_6q6IAN8civP3&amp;opi=89978449" TargetMode="External"/><Relationship Id="rId6" Type="http://schemas.openxmlformats.org/officeDocument/2006/relationships/hyperlink" Target="https://www.police.govt.nz/about-us/structure/teams-units/puawaitahi" TargetMode="External"/><Relationship Id="rId7" Type="http://schemas.openxmlformats.org/officeDocument/2006/relationships/hyperlink" Target="https://practice.orangatamariki.govt.nz/our-work/assessment-and-planning/assessments/intake-and-early-assessment/core-assessment-phase/child-protection-protocol-cpp"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A4E223568D254CA971C65E8C425786" ma:contentTypeVersion="17" ma:contentTypeDescription="Create a new document." ma:contentTypeScope="" ma:versionID="60151d7922b9449a66f52d787a54a0c2">
  <xsd:schema xmlns:xsd="http://www.w3.org/2001/XMLSchema" xmlns:xs="http://www.w3.org/2001/XMLSchema" xmlns:p="http://schemas.microsoft.com/office/2006/metadata/properties" xmlns:ns2="68cea58c-09d5-4ffc-9549-23d928adde12" xmlns:ns3="210d2e58-8fa6-4b7c-ae23-dcd9abfc4b92" targetNamespace="http://schemas.microsoft.com/office/2006/metadata/properties" ma:root="true" ma:fieldsID="ec89f4a646c5bba160dd3f0e7de6872e" ns2:_="" ns3:_="">
    <xsd:import namespace="68cea58c-09d5-4ffc-9549-23d928adde12"/>
    <xsd:import namespace="210d2e58-8fa6-4b7c-ae23-dcd9abfc4b92"/>
    <xsd:element name="properties">
      <xsd:complexType>
        <xsd:sequence>
          <xsd:element name="documentManagement">
            <xsd:complexType>
              <xsd:all>
                <xsd:element ref="ns2:Region" minOccurs="0"/>
                <xsd:element ref="ns2:MediaServiceMetadata" minOccurs="0"/>
                <xsd:element ref="ns2:MediaServiceFastMetadata" minOccurs="0"/>
                <xsd:element ref="ns2:Category"/>
                <xsd:element ref="ns2:Year"/>
                <xsd:element ref="ns2:Events"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ea58c-09d5-4ffc-9549-23d928adde12" elementFormDefault="qualified">
    <xsd:import namespace="http://schemas.microsoft.com/office/2006/documentManagement/types"/>
    <xsd:import namespace="http://schemas.microsoft.com/office/infopath/2007/PartnerControls"/>
    <xsd:element name="Region" ma:index="8" nillable="true" ma:displayName="Region" ma:format="Dropdown" ma:internalName="Region">
      <xsd:simpleType>
        <xsd:restriction base="dms:Choice">
          <xsd:enumeration value="Northland"/>
          <xsd:enumeration value="Auckland"/>
          <xsd:enumeration value="Bay of Plenty"/>
          <xsd:enumeration value="Waikato"/>
          <xsd:enumeration value="Taranaki"/>
          <xsd:enumeration value="Wellington"/>
          <xsd:enumeration value="Canterbury"/>
          <xsd:enumeration value="West Coast"/>
          <xsd:enumeration value="Otago"/>
          <xsd:enumeration value="Southlan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Category" ma:index="11" ma:displayName="Category" ma:format="Dropdown" ma:internalName="Category">
      <xsd:simpleType>
        <xsd:restriction base="dms:Choice">
          <xsd:enumeration value="Budget"/>
          <xsd:enumeration value="Coaching"/>
          <xsd:enumeration value="Clubs"/>
          <xsd:enumeration value="Debrief"/>
          <xsd:enumeration value="Logistics/Operations"/>
          <xsd:enumeration value="Officials"/>
          <xsd:enumeration value="Other"/>
          <xsd:enumeration value="Plan/Strategy"/>
          <xsd:enumeration value="Projects"/>
          <xsd:enumeration value="Template"/>
        </xsd:restriction>
      </xsd:simpleType>
    </xsd:element>
    <xsd:element name="Year" ma:index="12" ma:displayName="Year" ma:format="Dropdown" ma:internalName="Year">
      <xsd:simpleType>
        <xsd:restriction base="dms:Choice">
          <xsd:enumeration value="2018"/>
          <xsd:enumeration value="2019"/>
          <xsd:enumeration value="2020"/>
        </xsd:restriction>
      </xsd:simpleType>
    </xsd:element>
    <xsd:element name="Events" ma:index="13" nillable="true" ma:displayName="Events" ma:format="Dropdown" ma:internalName="Events">
      <xsd:simpleType>
        <xsd:restriction base="dms:Choice">
          <xsd:enumeration value="10km Championships"/>
          <xsd:enumeration value="AIMES Games"/>
          <xsd:enumeration value="Asia Pacific Cup"/>
          <xsd:enumeration value="Blue Lake 1"/>
          <xsd:enumeration value="Blue Lake 2"/>
          <xsd:enumeration value="Canoe Sprint New Zealand Nationals"/>
          <xsd:enumeration value="Marathon New Zealand Nationals"/>
          <xsd:enumeration value="South Island Championships"/>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d2e58-8fa6-4b7c-ae23-dcd9abfc4b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vents xmlns="68cea58c-09d5-4ffc-9549-23d928adde12" xsi:nil="true"/>
    <Category xmlns="68cea58c-09d5-4ffc-9549-23d928adde12"/>
    <Region xmlns="68cea58c-09d5-4ffc-9549-23d928adde12" xsi:nil="true"/>
    <Year xmlns="68cea58c-09d5-4ffc-9549-23d928adde12"/>
  </documentManagement>
</p:properties>
</file>

<file path=customXml/itemProps1.xml><?xml version="1.0" encoding="utf-8"?>
<ds:datastoreItem xmlns:ds="http://schemas.openxmlformats.org/officeDocument/2006/customXml" ds:itemID="{76CFD75C-DD0C-4162-9E16-1580C97BC403}">
  <ds:schemaRefs>
    <ds:schemaRef ds:uri="http://schemas.openxmlformats.org/officeDocument/2006/bibliography"/>
  </ds:schemaRefs>
</ds:datastoreItem>
</file>

<file path=customXml/itemProps2.xml><?xml version="1.0" encoding="utf-8"?>
<ds:datastoreItem xmlns:ds="http://schemas.openxmlformats.org/officeDocument/2006/customXml" ds:itemID="{9DD25561-D4BA-4CEC-838D-1F1CF55EC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ea58c-09d5-4ffc-9549-23d928adde12"/>
    <ds:schemaRef ds:uri="210d2e58-8fa6-4b7c-ae23-dcd9abfc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7AEB6-ACF6-4D2F-8838-4D640065D684}">
  <ds:schemaRefs>
    <ds:schemaRef ds:uri="http://schemas.microsoft.com/sharepoint/v3/contenttype/forms"/>
  </ds:schemaRefs>
</ds:datastoreItem>
</file>

<file path=customXml/itemProps4.xml><?xml version="1.0" encoding="utf-8"?>
<ds:datastoreItem xmlns:ds="http://schemas.openxmlformats.org/officeDocument/2006/customXml" ds:itemID="{55BE03CF-0F01-4BDA-AEDB-4EAD5DFC512F}">
  <ds:schemaRefs>
    <ds:schemaRef ds:uri="http://schemas.microsoft.com/office/2006/metadata/properties"/>
    <ds:schemaRef ds:uri="http://schemas.microsoft.com/office/infopath/2007/PartnerControls"/>
    <ds:schemaRef ds:uri="68cea58c-09d5-4ffc-9549-23d928adde12"/>
  </ds:schemaRefs>
</ds:datastoreItem>
</file>

<file path=docProps/app.xml><?xml version="1.0" encoding="utf-8"?>
<Properties xmlns="http://schemas.openxmlformats.org/officeDocument/2006/extended-properties" xmlns:vt="http://schemas.openxmlformats.org/officeDocument/2006/docPropsVTypes">
  <Template>Normal</Template>
  <TotalTime>428</TotalTime>
  <Application>LibreOffice/24.2.7.2$Linux_X86_64 LibreOffice_project/420$Build-2</Application>
  <AppVersion>15.0000</AppVersion>
  <Pages>5</Pages>
  <Words>1715</Words>
  <Characters>9076</Characters>
  <CharactersWithSpaces>10673</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2025-11-07T07:28:00Z</dcterms:created>
  <dc:creator>Paul Fidow</dc:creator>
  <dc:description/>
  <dc:language>en-GB</dc:language>
  <cp:lastModifiedBy/>
  <dcterms:modified xsi:type="dcterms:W3CDTF">2026-08-07T16:45:53Z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0x0101000BA4E223568D254CA971C65E8C425786</vt:lpwstr>
  </property>
</Properties>
</file>