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3F98" w14:textId="77777777" w:rsidR="00A86A9A" w:rsidRPr="00A86A9A" w:rsidRDefault="00A86A9A" w:rsidP="00A86A9A">
      <w:r w:rsidRPr="00A86A9A">
        <w:rPr>
          <w:b/>
          <w:bCs/>
        </w:rPr>
        <w:t>CONTINGENT SEARCH AGREEMENT</w:t>
      </w:r>
    </w:p>
    <w:p w14:paraId="0AFE164D" w14:textId="77777777" w:rsidR="0069411F" w:rsidRDefault="00A86A9A" w:rsidP="00A86A9A">
      <w:r w:rsidRPr="00A86A9A">
        <w:t>This Agreement is made and entered into by and between:</w:t>
      </w:r>
      <w:r w:rsidRPr="00A86A9A">
        <w:br/>
      </w:r>
      <w:r w:rsidRPr="00A86A9A">
        <w:rPr>
          <w:b/>
          <w:bCs/>
        </w:rPr>
        <w:t>Steadman &amp; Chase Ltd</w:t>
      </w:r>
      <w:r w:rsidRPr="00A86A9A">
        <w:t>, a company incorporated in England and Wales (</w:t>
      </w:r>
      <w:r w:rsidRPr="00A86A9A">
        <w:rPr>
          <w:b/>
          <w:bCs/>
        </w:rPr>
        <w:t>Company No. 16360741</w:t>
      </w:r>
      <w:r w:rsidRPr="00A86A9A">
        <w:t xml:space="preserve">), with its registered office at </w:t>
      </w:r>
      <w:r w:rsidRPr="00A86A9A">
        <w:rPr>
          <w:b/>
          <w:bCs/>
        </w:rPr>
        <w:t>86–90 Paul Street, London, EC2A 4NE</w:t>
      </w:r>
      <w:r w:rsidRPr="00A86A9A">
        <w:t xml:space="preserve"> (the “</w:t>
      </w:r>
      <w:r w:rsidRPr="00A86A9A">
        <w:rPr>
          <w:b/>
          <w:bCs/>
        </w:rPr>
        <w:t>Agency</w:t>
      </w:r>
      <w:r w:rsidRPr="00A86A9A">
        <w:t>”),</w:t>
      </w:r>
      <w:r w:rsidRPr="00A86A9A">
        <w:br/>
      </w:r>
    </w:p>
    <w:p w14:paraId="5E8D09AE" w14:textId="77777777" w:rsidR="0069411F" w:rsidRDefault="0069411F" w:rsidP="00A86A9A">
      <w:r>
        <w:t xml:space="preserve">AND </w:t>
      </w:r>
    </w:p>
    <w:p w14:paraId="5044B280" w14:textId="41C5DBC6" w:rsidR="00A86A9A" w:rsidRPr="00A86A9A" w:rsidRDefault="00A86A9A" w:rsidP="00A86A9A">
      <w:r w:rsidRPr="00A86A9A">
        <w:br/>
      </w:r>
      <w:r w:rsidRPr="00A86A9A">
        <w:rPr>
          <w:b/>
          <w:bCs/>
        </w:rPr>
        <w:t>[Client Name]</w:t>
      </w:r>
      <w:r w:rsidRPr="00A86A9A">
        <w:t xml:space="preserve">, a company incorporated under the laws of England and Wales, with its principal place of business at </w:t>
      </w:r>
      <w:r w:rsidRPr="00A86A9A">
        <w:rPr>
          <w:b/>
          <w:bCs/>
        </w:rPr>
        <w:t>[Client Address]</w:t>
      </w:r>
      <w:r w:rsidRPr="00A86A9A">
        <w:t xml:space="preserve"> (the “</w:t>
      </w:r>
      <w:r w:rsidRPr="00A86A9A">
        <w:rPr>
          <w:b/>
          <w:bCs/>
        </w:rPr>
        <w:t>Client</w:t>
      </w:r>
      <w:r w:rsidRPr="00A86A9A">
        <w:t>”).</w:t>
      </w:r>
      <w:r w:rsidRPr="00A86A9A">
        <w:br/>
        <w:t>Each a “</w:t>
      </w:r>
      <w:r w:rsidRPr="00A86A9A">
        <w:rPr>
          <w:b/>
          <w:bCs/>
        </w:rPr>
        <w:t>Party</w:t>
      </w:r>
      <w:r w:rsidRPr="00A86A9A">
        <w:t>” and together, the “</w:t>
      </w:r>
      <w:r w:rsidRPr="00A86A9A">
        <w:rPr>
          <w:b/>
          <w:bCs/>
        </w:rPr>
        <w:t>Parties</w:t>
      </w:r>
      <w:r w:rsidRPr="00A86A9A">
        <w:t>”.</w:t>
      </w:r>
    </w:p>
    <w:p w14:paraId="7680BD20" w14:textId="77777777" w:rsidR="00A86A9A" w:rsidRPr="00A86A9A" w:rsidRDefault="00E34D0F" w:rsidP="00A86A9A">
      <w:r>
        <w:pict w14:anchorId="7A6A6E8D">
          <v:rect id="_x0000_i1025" style="width:0;height:1.5pt" o:hralign="center" o:hrstd="t" o:hr="t" fillcolor="#a0a0a0" stroked="f"/>
        </w:pict>
      </w:r>
    </w:p>
    <w:p w14:paraId="43E472A8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1. Purpose</w:t>
      </w:r>
    </w:p>
    <w:p w14:paraId="2E0F5E97" w14:textId="77777777" w:rsidR="00A86A9A" w:rsidRPr="00A86A9A" w:rsidRDefault="00A86A9A" w:rsidP="00A86A9A">
      <w:r w:rsidRPr="00A86A9A">
        <w:rPr>
          <w:b/>
          <w:bCs/>
        </w:rPr>
        <w:t>1.1</w:t>
      </w:r>
      <w:r w:rsidRPr="00A86A9A">
        <w:t xml:space="preserve"> This Agreement governs the terms under which the </w:t>
      </w:r>
      <w:r w:rsidRPr="00A86A9A">
        <w:rPr>
          <w:b/>
          <w:bCs/>
        </w:rPr>
        <w:t>Agency introduces candidates</w:t>
      </w:r>
      <w:r w:rsidRPr="00A86A9A">
        <w:t xml:space="preserve"> to the </w:t>
      </w:r>
      <w:r w:rsidRPr="00A86A9A">
        <w:rPr>
          <w:b/>
          <w:bCs/>
        </w:rPr>
        <w:t>Client</w:t>
      </w:r>
      <w:r w:rsidRPr="00A86A9A">
        <w:t xml:space="preserve"> on a </w:t>
      </w:r>
      <w:r w:rsidRPr="00A86A9A">
        <w:rPr>
          <w:b/>
          <w:bCs/>
        </w:rPr>
        <w:t>success-only contingent recruitment basis</w:t>
      </w:r>
      <w:r w:rsidRPr="00A86A9A">
        <w:t xml:space="preserve">, where </w:t>
      </w:r>
      <w:r w:rsidRPr="00A86A9A">
        <w:rPr>
          <w:b/>
          <w:bCs/>
        </w:rPr>
        <w:t>fees are payable solely upon engagement</w:t>
      </w:r>
      <w:r w:rsidRPr="00A86A9A">
        <w:t>.</w:t>
      </w:r>
    </w:p>
    <w:p w14:paraId="1EAC8C3E" w14:textId="77777777" w:rsidR="00A86A9A" w:rsidRPr="00A86A9A" w:rsidRDefault="00E34D0F" w:rsidP="00A86A9A">
      <w:r>
        <w:pict w14:anchorId="60201181">
          <v:rect id="_x0000_i1026" style="width:0;height:1.5pt" o:hralign="center" o:hrstd="t" o:hr="t" fillcolor="#a0a0a0" stroked="f"/>
        </w:pict>
      </w:r>
    </w:p>
    <w:p w14:paraId="5C8CE1A4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2. Definitions</w:t>
      </w:r>
    </w:p>
    <w:p w14:paraId="23B9367C" w14:textId="1840D756" w:rsidR="00A86A9A" w:rsidRPr="00A86A9A" w:rsidRDefault="00A86A9A" w:rsidP="00A86A9A">
      <w:r w:rsidRPr="00A86A9A">
        <w:rPr>
          <w:b/>
          <w:bCs/>
        </w:rPr>
        <w:t>2.1 Candidate</w:t>
      </w:r>
      <w:r w:rsidRPr="00A86A9A">
        <w:t xml:space="preserve">: Any individual introduced by the </w:t>
      </w:r>
      <w:r w:rsidRPr="00A86A9A">
        <w:rPr>
          <w:b/>
          <w:bCs/>
        </w:rPr>
        <w:t>Ag</w:t>
      </w:r>
      <w:r w:rsidR="00291205">
        <w:rPr>
          <w:b/>
          <w:bCs/>
        </w:rPr>
        <w:t>e</w:t>
      </w:r>
      <w:r w:rsidRPr="00A86A9A">
        <w:rPr>
          <w:b/>
          <w:bCs/>
        </w:rPr>
        <w:t>ncy</w:t>
      </w:r>
      <w:r w:rsidRPr="00A86A9A">
        <w:t xml:space="preserve"> to the </w:t>
      </w:r>
      <w:r w:rsidRPr="00A86A9A">
        <w:rPr>
          <w:b/>
          <w:bCs/>
        </w:rPr>
        <w:t>Client</w:t>
      </w:r>
      <w:r w:rsidRPr="00A86A9A">
        <w:t xml:space="preserve"> in any format (written, verbal, digital, or otherwise).</w:t>
      </w:r>
      <w:r w:rsidRPr="00A86A9A">
        <w:br/>
      </w:r>
      <w:r w:rsidRPr="00A86A9A">
        <w:rPr>
          <w:b/>
          <w:bCs/>
        </w:rPr>
        <w:t>2.2 Introduction</w:t>
      </w:r>
      <w:r w:rsidRPr="00A86A9A">
        <w:t>: The disclosure of any Candidate details sufficient to identify them, including name, CV, profile, or any distinguishing attributes.</w:t>
      </w:r>
      <w:r w:rsidRPr="00A86A9A">
        <w:br/>
      </w:r>
      <w:r w:rsidRPr="00A86A9A">
        <w:rPr>
          <w:b/>
          <w:bCs/>
        </w:rPr>
        <w:t>2.3 Engagement</w:t>
      </w:r>
      <w:r w:rsidRPr="00A86A9A">
        <w:t xml:space="preserve">: Any form of </w:t>
      </w:r>
      <w:r w:rsidRPr="00A86A9A">
        <w:rPr>
          <w:b/>
          <w:bCs/>
        </w:rPr>
        <w:t>contractual relationship</w:t>
      </w:r>
      <w:r w:rsidRPr="00A86A9A">
        <w:t xml:space="preserve"> (employment, consultancy, freelance, internship, advisory, direct or indirect) between the Candidate and the Client or its affiliates within </w:t>
      </w:r>
      <w:r w:rsidRPr="00A86A9A">
        <w:rPr>
          <w:b/>
          <w:bCs/>
        </w:rPr>
        <w:t>six (6) months</w:t>
      </w:r>
      <w:r w:rsidRPr="00A86A9A">
        <w:t xml:space="preserve"> of Introduction.</w:t>
      </w:r>
      <w:r w:rsidRPr="00A86A9A">
        <w:br/>
      </w:r>
      <w:r w:rsidRPr="00A86A9A">
        <w:rPr>
          <w:b/>
          <w:bCs/>
        </w:rPr>
        <w:t>2.4 Remuneration</w:t>
      </w:r>
      <w:r w:rsidRPr="00A86A9A">
        <w:t xml:space="preserve">: All </w:t>
      </w:r>
      <w:r w:rsidRPr="00A86A9A">
        <w:rPr>
          <w:b/>
          <w:bCs/>
        </w:rPr>
        <w:t>guaranteed gross annual compensation</w:t>
      </w:r>
      <w:r w:rsidRPr="00A86A9A">
        <w:t xml:space="preserve"> including base salary, sign-on bonuses, guaranteed incentives, allowances, and non-discretionary cash components.</w:t>
      </w:r>
    </w:p>
    <w:p w14:paraId="136BE7B9" w14:textId="77777777" w:rsidR="00A86A9A" w:rsidRPr="00A86A9A" w:rsidRDefault="00E34D0F" w:rsidP="00A86A9A">
      <w:r>
        <w:pict w14:anchorId="494C6C7C">
          <v:rect id="_x0000_i1027" style="width:0;height:1.5pt" o:hralign="center" o:hrstd="t" o:hr="t" fillcolor="#a0a0a0" stroked="f"/>
        </w:pict>
      </w:r>
    </w:p>
    <w:p w14:paraId="2DA57249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3. Fees and Payment</w:t>
      </w:r>
    </w:p>
    <w:p w14:paraId="3F1E1856" w14:textId="647114A5" w:rsidR="00A86A9A" w:rsidRPr="00A86A9A" w:rsidRDefault="00A86A9A" w:rsidP="00A86A9A">
      <w:r w:rsidRPr="00A86A9A">
        <w:rPr>
          <w:b/>
          <w:bCs/>
        </w:rPr>
        <w:t>3.1</w:t>
      </w:r>
      <w:r w:rsidRPr="00A86A9A">
        <w:t xml:space="preserve"> The Agency’s fee is</w:t>
      </w:r>
      <w:r w:rsidR="00AE50E3">
        <w:t xml:space="preserve"> </w:t>
      </w:r>
      <w:r w:rsidR="00AE50E3">
        <w:rPr>
          <w:rFonts w:ascii="Calibri" w:hAnsi="Calibri" w:cs="Calibri"/>
          <w:b/>
          <w:bCs/>
        </w:rPr>
        <w:t>[X</w:t>
      </w:r>
      <w:r w:rsidR="00AE50E3" w:rsidRPr="00020DF6">
        <w:rPr>
          <w:rFonts w:ascii="Calibri" w:hAnsi="Calibri" w:cs="Calibri"/>
          <w:b/>
          <w:bCs/>
        </w:rPr>
        <w:t>%</w:t>
      </w:r>
      <w:r w:rsidR="00AE50E3">
        <w:rPr>
          <w:rFonts w:ascii="Calibri" w:hAnsi="Calibri" w:cs="Calibri"/>
          <w:b/>
          <w:bCs/>
        </w:rPr>
        <w:t>]</w:t>
      </w:r>
      <w:r w:rsidRPr="00A86A9A">
        <w:t xml:space="preserve"> of the Candidate’s </w:t>
      </w:r>
      <w:r w:rsidRPr="00A86A9A">
        <w:rPr>
          <w:b/>
          <w:bCs/>
        </w:rPr>
        <w:t>first-year Remuneration</w:t>
      </w:r>
      <w:r w:rsidRPr="00A86A9A">
        <w:t xml:space="preserve">, </w:t>
      </w:r>
      <w:r w:rsidRPr="00A86A9A">
        <w:rPr>
          <w:b/>
          <w:bCs/>
        </w:rPr>
        <w:t>exclusive of VAT</w:t>
      </w:r>
      <w:r w:rsidRPr="00A86A9A">
        <w:t>.</w:t>
      </w:r>
      <w:r w:rsidRPr="00A86A9A">
        <w:br/>
      </w:r>
      <w:r w:rsidRPr="00A86A9A">
        <w:rPr>
          <w:b/>
          <w:bCs/>
        </w:rPr>
        <w:t>3.2</w:t>
      </w:r>
      <w:r w:rsidRPr="00A86A9A">
        <w:t xml:space="preserve"> </w:t>
      </w:r>
      <w:r w:rsidRPr="00A86A9A">
        <w:rPr>
          <w:b/>
          <w:bCs/>
        </w:rPr>
        <w:t>Invoices</w:t>
      </w:r>
      <w:r w:rsidRPr="00A86A9A">
        <w:t xml:space="preserve"> are raised upon the Candidate’s </w:t>
      </w:r>
      <w:r w:rsidRPr="00A86A9A">
        <w:rPr>
          <w:b/>
          <w:bCs/>
        </w:rPr>
        <w:t>agreed start date</w:t>
      </w:r>
      <w:r w:rsidRPr="00A86A9A">
        <w:t>.</w:t>
      </w:r>
      <w:r w:rsidRPr="00A86A9A">
        <w:br/>
      </w:r>
      <w:r w:rsidRPr="00A86A9A">
        <w:rPr>
          <w:b/>
          <w:bCs/>
        </w:rPr>
        <w:t>3.3</w:t>
      </w:r>
      <w:r w:rsidRPr="00A86A9A">
        <w:t xml:space="preserve"> </w:t>
      </w:r>
      <w:r w:rsidRPr="00A86A9A">
        <w:rPr>
          <w:b/>
          <w:bCs/>
        </w:rPr>
        <w:t>Payment is due within thirty (30) days</w:t>
      </w:r>
      <w:r w:rsidRPr="00A86A9A">
        <w:t xml:space="preserve"> of the invoice date.</w:t>
      </w:r>
      <w:r w:rsidRPr="00A86A9A">
        <w:br/>
      </w:r>
      <w:r w:rsidRPr="00A86A9A">
        <w:rPr>
          <w:b/>
          <w:bCs/>
        </w:rPr>
        <w:t>3.4</w:t>
      </w:r>
      <w:r w:rsidRPr="00A86A9A">
        <w:t xml:space="preserve"> </w:t>
      </w:r>
      <w:r w:rsidRPr="00A86A9A">
        <w:rPr>
          <w:b/>
          <w:bCs/>
        </w:rPr>
        <w:t>Late payments</w:t>
      </w:r>
      <w:r w:rsidRPr="00A86A9A">
        <w:t xml:space="preserve"> shall incur </w:t>
      </w:r>
      <w:r w:rsidRPr="00A86A9A">
        <w:rPr>
          <w:b/>
          <w:bCs/>
        </w:rPr>
        <w:t>statutory interest at 8%</w:t>
      </w:r>
      <w:r w:rsidRPr="00A86A9A">
        <w:t xml:space="preserve"> above the Bank of England base rate, plus </w:t>
      </w:r>
      <w:r w:rsidRPr="00A86A9A">
        <w:rPr>
          <w:b/>
          <w:bCs/>
        </w:rPr>
        <w:t>fixed compensation of 2% compounded interest monthly after 60 days</w:t>
      </w:r>
      <w:r w:rsidRPr="00A86A9A">
        <w:t xml:space="preserve"> and </w:t>
      </w:r>
      <w:r w:rsidRPr="00A86A9A">
        <w:rPr>
          <w:b/>
          <w:bCs/>
        </w:rPr>
        <w:t>reasonable recovery costs</w:t>
      </w:r>
      <w:r w:rsidRPr="00A86A9A">
        <w:t xml:space="preserve"> under the </w:t>
      </w:r>
      <w:r w:rsidRPr="00A86A9A">
        <w:rPr>
          <w:b/>
          <w:bCs/>
        </w:rPr>
        <w:t>Late Payment of Commercial Debts (Interest) Act 1998</w:t>
      </w:r>
      <w:r w:rsidRPr="00A86A9A">
        <w:t>.</w:t>
      </w:r>
      <w:r w:rsidRPr="00A86A9A">
        <w:br/>
      </w:r>
      <w:r w:rsidRPr="00A86A9A">
        <w:rPr>
          <w:b/>
          <w:bCs/>
        </w:rPr>
        <w:t>3.5</w:t>
      </w:r>
      <w:r w:rsidRPr="00A86A9A">
        <w:t xml:space="preserve"> </w:t>
      </w:r>
      <w:r w:rsidRPr="00A86A9A">
        <w:rPr>
          <w:b/>
          <w:bCs/>
        </w:rPr>
        <w:t>No right of set-off</w:t>
      </w:r>
      <w:r w:rsidRPr="00A86A9A">
        <w:t xml:space="preserve"> applies against any invoice.</w:t>
      </w:r>
    </w:p>
    <w:p w14:paraId="00986F77" w14:textId="77777777" w:rsidR="00A86A9A" w:rsidRPr="00A86A9A" w:rsidRDefault="00E34D0F" w:rsidP="00A86A9A">
      <w:r>
        <w:pict w14:anchorId="13EABD19">
          <v:rect id="_x0000_i1028" style="width:0;height:1.5pt" o:hralign="center" o:hrstd="t" o:hr="t" fillcolor="#a0a0a0" stroked="f"/>
        </w:pict>
      </w:r>
    </w:p>
    <w:p w14:paraId="72F8E1FF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4. Candidate Ownership</w:t>
      </w:r>
    </w:p>
    <w:p w14:paraId="5102F590" w14:textId="77777777" w:rsidR="00A86A9A" w:rsidRPr="00A86A9A" w:rsidRDefault="00A86A9A" w:rsidP="00A86A9A">
      <w:r w:rsidRPr="00A86A9A">
        <w:rPr>
          <w:b/>
          <w:bCs/>
        </w:rPr>
        <w:t>4.1</w:t>
      </w:r>
      <w:r w:rsidRPr="00A86A9A">
        <w:t xml:space="preserve"> Ownership of the Candidate remains with the </w:t>
      </w:r>
      <w:r w:rsidRPr="00A86A9A">
        <w:rPr>
          <w:b/>
          <w:bCs/>
        </w:rPr>
        <w:t>Agency for six (6) months</w:t>
      </w:r>
      <w:r w:rsidRPr="00A86A9A">
        <w:t xml:space="preserve"> from the date of Introduction.</w:t>
      </w:r>
      <w:r w:rsidRPr="00A86A9A">
        <w:br/>
      </w:r>
      <w:r w:rsidRPr="00A86A9A">
        <w:rPr>
          <w:b/>
          <w:bCs/>
        </w:rPr>
        <w:t>4.2</w:t>
      </w:r>
      <w:r w:rsidRPr="00A86A9A">
        <w:t xml:space="preserve"> If the Candidate is engaged by the </w:t>
      </w:r>
      <w:r w:rsidRPr="00A86A9A">
        <w:rPr>
          <w:b/>
          <w:bCs/>
        </w:rPr>
        <w:t>Client, an affiliate, or referred third party</w:t>
      </w:r>
      <w:r w:rsidRPr="00A86A9A">
        <w:t xml:space="preserve"> during this period, </w:t>
      </w:r>
      <w:r w:rsidRPr="00A86A9A">
        <w:lastRenderedPageBreak/>
        <w:t xml:space="preserve">the </w:t>
      </w:r>
      <w:r w:rsidRPr="00A86A9A">
        <w:rPr>
          <w:b/>
          <w:bCs/>
        </w:rPr>
        <w:t>Agency’s fee is fully due</w:t>
      </w:r>
      <w:r w:rsidRPr="00A86A9A">
        <w:t>.</w:t>
      </w:r>
      <w:r w:rsidRPr="00A86A9A">
        <w:br/>
      </w:r>
      <w:r w:rsidRPr="00A86A9A">
        <w:rPr>
          <w:b/>
          <w:bCs/>
        </w:rPr>
        <w:t>4.3</w:t>
      </w:r>
      <w:r w:rsidRPr="00A86A9A">
        <w:t xml:space="preserve"> The Agency shall be deemed the </w:t>
      </w:r>
      <w:r w:rsidRPr="00A86A9A">
        <w:rPr>
          <w:b/>
          <w:bCs/>
        </w:rPr>
        <w:t>effective cause of hire</w:t>
      </w:r>
      <w:r w:rsidRPr="00A86A9A">
        <w:t>, unless the Client proves that:</w:t>
      </w:r>
      <w:r w:rsidRPr="00A86A9A">
        <w:br/>
      </w:r>
      <w:r w:rsidRPr="00A86A9A">
        <w:t> </w:t>
      </w:r>
      <w:r w:rsidRPr="00A86A9A">
        <w:t xml:space="preserve">(a) The Candidate was already known and </w:t>
      </w:r>
      <w:r w:rsidRPr="00A86A9A">
        <w:rPr>
          <w:b/>
          <w:bCs/>
        </w:rPr>
        <w:t>actively being pursued for the same role</w:t>
      </w:r>
      <w:r w:rsidRPr="00A86A9A">
        <w:t>, and</w:t>
      </w:r>
      <w:r w:rsidRPr="00A86A9A">
        <w:br/>
      </w:r>
      <w:r w:rsidRPr="00A86A9A">
        <w:t> </w:t>
      </w:r>
      <w:r w:rsidRPr="00A86A9A">
        <w:t xml:space="preserve">(b) Such efforts were </w:t>
      </w:r>
      <w:r w:rsidRPr="00A86A9A">
        <w:rPr>
          <w:b/>
          <w:bCs/>
        </w:rPr>
        <w:t>clearly documented and pre-dated the Agency’s Introduction</w:t>
      </w:r>
      <w:r w:rsidRPr="00A86A9A">
        <w:t>.</w:t>
      </w:r>
      <w:r w:rsidRPr="00A86A9A">
        <w:br/>
      </w:r>
      <w:r w:rsidRPr="00A86A9A">
        <w:rPr>
          <w:b/>
          <w:bCs/>
        </w:rPr>
        <w:t>4.4</w:t>
      </w:r>
      <w:r w:rsidRPr="00A86A9A">
        <w:t xml:space="preserve"> LinkedIn presence, previous passive contact, or internal CV databases </w:t>
      </w:r>
      <w:r w:rsidRPr="00A86A9A">
        <w:rPr>
          <w:b/>
          <w:bCs/>
        </w:rPr>
        <w:t>do not constitute prior knowledge</w:t>
      </w:r>
      <w:r w:rsidRPr="00A86A9A">
        <w:t>.</w:t>
      </w:r>
    </w:p>
    <w:p w14:paraId="79937957" w14:textId="77777777" w:rsidR="00A86A9A" w:rsidRPr="00A86A9A" w:rsidRDefault="00E34D0F" w:rsidP="00A86A9A">
      <w:r>
        <w:pict w14:anchorId="2F6518B6">
          <v:rect id="_x0000_i1029" style="width:0;height:1.5pt" o:hralign="center" o:hrstd="t" o:hr="t" fillcolor="#a0a0a0" stroked="f"/>
        </w:pict>
      </w:r>
    </w:p>
    <w:p w14:paraId="29A2EB41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5. Anti-Circumvention</w:t>
      </w:r>
    </w:p>
    <w:p w14:paraId="6A27DEC6" w14:textId="4D705F86" w:rsidR="00A86A9A" w:rsidRPr="00A86A9A" w:rsidRDefault="00A86A9A" w:rsidP="00A86A9A">
      <w:r w:rsidRPr="00A86A9A">
        <w:rPr>
          <w:b/>
          <w:bCs/>
        </w:rPr>
        <w:t>5.1</w:t>
      </w:r>
      <w:r w:rsidRPr="00A86A9A">
        <w:t xml:space="preserve"> Any attempt to </w:t>
      </w:r>
      <w:r w:rsidRPr="00A86A9A">
        <w:rPr>
          <w:b/>
          <w:bCs/>
        </w:rPr>
        <w:t>bypass the Agency</w:t>
      </w:r>
      <w:r>
        <w:t xml:space="preserve">, </w:t>
      </w:r>
      <w:r w:rsidRPr="00A86A9A">
        <w:t>by hiring the Candidate through another agency, direct contact, referral, or third party</w:t>
      </w:r>
      <w:r>
        <w:t xml:space="preserve">, </w:t>
      </w:r>
      <w:r w:rsidRPr="00A86A9A">
        <w:t xml:space="preserve">within </w:t>
      </w:r>
      <w:r w:rsidRPr="00A86A9A">
        <w:rPr>
          <w:b/>
          <w:bCs/>
        </w:rPr>
        <w:t>six (6) months</w:t>
      </w:r>
      <w:r w:rsidRPr="00A86A9A">
        <w:t xml:space="preserve"> of Introduction triggers </w:t>
      </w:r>
      <w:r w:rsidRPr="00A86A9A">
        <w:rPr>
          <w:b/>
          <w:bCs/>
        </w:rPr>
        <w:t>full fee liability</w:t>
      </w:r>
      <w:r w:rsidRPr="00A86A9A">
        <w:t>.</w:t>
      </w:r>
      <w:r w:rsidRPr="00A86A9A">
        <w:br/>
      </w:r>
      <w:r w:rsidRPr="00A86A9A">
        <w:rPr>
          <w:b/>
          <w:bCs/>
        </w:rPr>
        <w:t>5.2</w:t>
      </w:r>
      <w:r w:rsidRPr="00A86A9A">
        <w:t xml:space="preserve"> This clause applies regardless of the </w:t>
      </w:r>
      <w:r w:rsidRPr="00A86A9A">
        <w:rPr>
          <w:b/>
          <w:bCs/>
        </w:rPr>
        <w:t>method or intermediary used</w:t>
      </w:r>
      <w:r w:rsidRPr="00A86A9A">
        <w:t xml:space="preserve"> and is </w:t>
      </w:r>
      <w:r w:rsidRPr="00A86A9A">
        <w:rPr>
          <w:b/>
          <w:bCs/>
        </w:rPr>
        <w:t>non-negotiable</w:t>
      </w:r>
      <w:r w:rsidRPr="00A86A9A">
        <w:t>.</w:t>
      </w:r>
      <w:r w:rsidRPr="00A86A9A">
        <w:br/>
      </w:r>
      <w:r w:rsidRPr="00A86A9A">
        <w:rPr>
          <w:b/>
          <w:bCs/>
        </w:rPr>
        <w:t>5.3</w:t>
      </w:r>
      <w:r w:rsidRPr="00A86A9A">
        <w:t xml:space="preserve"> The Client may not </w:t>
      </w:r>
      <w:r w:rsidRPr="00A86A9A">
        <w:rPr>
          <w:b/>
          <w:bCs/>
        </w:rPr>
        <w:t>use Candidate data, forward their CV, or initiate any contact</w:t>
      </w:r>
      <w:r w:rsidRPr="00A86A9A">
        <w:t xml:space="preserve"> outside of this Agreement’s framework.</w:t>
      </w:r>
      <w:r w:rsidRPr="00A86A9A">
        <w:br/>
      </w:r>
      <w:r w:rsidRPr="00A86A9A">
        <w:rPr>
          <w:b/>
          <w:bCs/>
        </w:rPr>
        <w:t>5.4</w:t>
      </w:r>
      <w:r w:rsidRPr="00A86A9A">
        <w:t xml:space="preserve"> This clause </w:t>
      </w:r>
      <w:r w:rsidRPr="00A86A9A">
        <w:rPr>
          <w:b/>
          <w:bCs/>
        </w:rPr>
        <w:t>survives termination</w:t>
      </w:r>
      <w:r w:rsidRPr="00A86A9A">
        <w:t xml:space="preserve"> and remains </w:t>
      </w:r>
      <w:r w:rsidRPr="00A86A9A">
        <w:rPr>
          <w:b/>
          <w:bCs/>
        </w:rPr>
        <w:t>enforceable post-agreement</w:t>
      </w:r>
      <w:r w:rsidRPr="00A86A9A">
        <w:t>.</w:t>
      </w:r>
    </w:p>
    <w:p w14:paraId="169A3AAF" w14:textId="77777777" w:rsidR="00A86A9A" w:rsidRPr="00A86A9A" w:rsidRDefault="00E34D0F" w:rsidP="00A86A9A">
      <w:r>
        <w:pict w14:anchorId="5471D389">
          <v:rect id="_x0000_i1030" style="width:0;height:1.5pt" o:hralign="center" o:hrstd="t" o:hr="t" fillcolor="#a0a0a0" stroked="f"/>
        </w:pict>
      </w:r>
    </w:p>
    <w:p w14:paraId="35C9FC81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6. Replacement Guarantee</w:t>
      </w:r>
    </w:p>
    <w:p w14:paraId="20E8ABCB" w14:textId="77777777" w:rsidR="00A86A9A" w:rsidRPr="00A86A9A" w:rsidRDefault="00A86A9A" w:rsidP="00A86A9A">
      <w:r w:rsidRPr="00A86A9A">
        <w:rPr>
          <w:b/>
          <w:bCs/>
        </w:rPr>
        <w:t>6.1</w:t>
      </w:r>
      <w:r w:rsidRPr="00A86A9A">
        <w:t xml:space="preserve"> If the Candidate </w:t>
      </w:r>
      <w:r w:rsidRPr="00A86A9A">
        <w:rPr>
          <w:b/>
          <w:bCs/>
        </w:rPr>
        <w:t>resigns or is terminated within six (6) months</w:t>
      </w:r>
      <w:r w:rsidRPr="00A86A9A">
        <w:t xml:space="preserve"> of start date, the Agency will deliver a </w:t>
      </w:r>
      <w:r w:rsidRPr="00A86A9A">
        <w:rPr>
          <w:b/>
          <w:bCs/>
        </w:rPr>
        <w:t>replacement pipeline of candidates within five (5) business days</w:t>
      </w:r>
      <w:r w:rsidRPr="00A86A9A">
        <w:t>, subject to:</w:t>
      </w:r>
      <w:r w:rsidRPr="00A86A9A">
        <w:br/>
      </w:r>
      <w:r w:rsidRPr="00A86A9A">
        <w:t> </w:t>
      </w:r>
      <w:r w:rsidRPr="00A86A9A">
        <w:t xml:space="preserve">(a) Full and </w:t>
      </w:r>
      <w:r w:rsidRPr="00A86A9A">
        <w:rPr>
          <w:b/>
          <w:bCs/>
        </w:rPr>
        <w:t>timely payment</w:t>
      </w:r>
      <w:r w:rsidRPr="00A86A9A">
        <w:t xml:space="preserve"> of the original invoice;</w:t>
      </w:r>
      <w:r w:rsidRPr="00A86A9A">
        <w:br/>
      </w:r>
      <w:r w:rsidRPr="00A86A9A">
        <w:t> </w:t>
      </w:r>
      <w:r w:rsidRPr="00A86A9A">
        <w:t xml:space="preserve">(b) No </w:t>
      </w:r>
      <w:r w:rsidRPr="00A86A9A">
        <w:rPr>
          <w:b/>
          <w:bCs/>
        </w:rPr>
        <w:t>redundancy, restructure, role alteration</w:t>
      </w:r>
      <w:r w:rsidRPr="00A86A9A">
        <w:t xml:space="preserve">, or </w:t>
      </w:r>
      <w:r w:rsidRPr="00A86A9A">
        <w:rPr>
          <w:b/>
          <w:bCs/>
        </w:rPr>
        <w:t>hostile workplace conditions</w:t>
      </w:r>
      <w:r w:rsidRPr="00A86A9A">
        <w:t>;</w:t>
      </w:r>
      <w:r w:rsidRPr="00A86A9A">
        <w:br/>
      </w:r>
      <w:r w:rsidRPr="00A86A9A">
        <w:t> </w:t>
      </w:r>
      <w:r w:rsidRPr="00A86A9A">
        <w:t xml:space="preserve">(c) </w:t>
      </w:r>
      <w:r w:rsidRPr="00A86A9A">
        <w:rPr>
          <w:b/>
          <w:bCs/>
        </w:rPr>
        <w:t>Continued exclusive access</w:t>
      </w:r>
      <w:r w:rsidRPr="00A86A9A">
        <w:t xml:space="preserve"> to the replacement search.</w:t>
      </w:r>
      <w:r w:rsidRPr="00A86A9A">
        <w:br/>
      </w:r>
      <w:r w:rsidRPr="00A86A9A">
        <w:rPr>
          <w:b/>
          <w:bCs/>
        </w:rPr>
        <w:t>6.2</w:t>
      </w:r>
      <w:r w:rsidRPr="00A86A9A">
        <w:t xml:space="preserve"> The guarantee applies </w:t>
      </w:r>
      <w:r w:rsidRPr="00A86A9A">
        <w:rPr>
          <w:b/>
          <w:bCs/>
        </w:rPr>
        <w:t>once</w:t>
      </w:r>
      <w:r w:rsidRPr="00A86A9A">
        <w:t xml:space="preserve">, and </w:t>
      </w:r>
      <w:r w:rsidRPr="00A86A9A">
        <w:rPr>
          <w:b/>
          <w:bCs/>
        </w:rPr>
        <w:t>no refunds are provided</w:t>
      </w:r>
      <w:r w:rsidRPr="00A86A9A">
        <w:t>.</w:t>
      </w:r>
    </w:p>
    <w:p w14:paraId="191356CD" w14:textId="77777777" w:rsidR="00A86A9A" w:rsidRPr="00A86A9A" w:rsidRDefault="00E34D0F" w:rsidP="00A86A9A">
      <w:r>
        <w:pict w14:anchorId="2DCD0B4F">
          <v:rect id="_x0000_i1031" style="width:0;height:1.5pt" o:hralign="center" o:hrstd="t" o:hr="t" fillcolor="#a0a0a0" stroked="f"/>
        </w:pict>
      </w:r>
    </w:p>
    <w:p w14:paraId="15F5B7F6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7. Approved Supplier Status</w:t>
      </w:r>
    </w:p>
    <w:p w14:paraId="0E9F28C5" w14:textId="77777777" w:rsidR="00A86A9A" w:rsidRPr="00A86A9A" w:rsidRDefault="00A86A9A" w:rsidP="00A86A9A">
      <w:r w:rsidRPr="00A86A9A">
        <w:rPr>
          <w:b/>
          <w:bCs/>
        </w:rPr>
        <w:t>7.1</w:t>
      </w:r>
      <w:r w:rsidRPr="00A86A9A">
        <w:t xml:space="preserve"> Following the </w:t>
      </w:r>
      <w:r w:rsidRPr="00A86A9A">
        <w:rPr>
          <w:b/>
          <w:bCs/>
        </w:rPr>
        <w:t>first successful hire</w:t>
      </w:r>
      <w:r w:rsidRPr="00A86A9A">
        <w:t xml:space="preserve">, the Agency is deemed an </w:t>
      </w:r>
      <w:r w:rsidRPr="00A86A9A">
        <w:rPr>
          <w:b/>
          <w:bCs/>
        </w:rPr>
        <w:t>approved supplier</w:t>
      </w:r>
      <w:r w:rsidRPr="00A86A9A">
        <w:t xml:space="preserve"> for a minimum of </w:t>
      </w:r>
      <w:r w:rsidRPr="00A86A9A">
        <w:rPr>
          <w:b/>
          <w:bCs/>
        </w:rPr>
        <w:t>three (3) years</w:t>
      </w:r>
      <w:r w:rsidRPr="00A86A9A">
        <w:t>, subject to performance.</w:t>
      </w:r>
      <w:r w:rsidRPr="00A86A9A">
        <w:br/>
      </w:r>
      <w:r w:rsidRPr="00A86A9A">
        <w:rPr>
          <w:b/>
          <w:bCs/>
        </w:rPr>
        <w:t>7.2</w:t>
      </w:r>
      <w:r w:rsidRPr="00A86A9A">
        <w:t xml:space="preserve"> During this period, the Client may engage the Agency </w:t>
      </w:r>
      <w:r w:rsidRPr="00A86A9A">
        <w:rPr>
          <w:b/>
          <w:bCs/>
        </w:rPr>
        <w:t>without the need for further procurement procedures</w:t>
      </w:r>
      <w:r w:rsidRPr="00A86A9A">
        <w:t>.</w:t>
      </w:r>
      <w:r w:rsidRPr="00A86A9A">
        <w:br/>
      </w:r>
      <w:r w:rsidRPr="00A86A9A">
        <w:rPr>
          <w:b/>
          <w:bCs/>
        </w:rPr>
        <w:t>7.3</w:t>
      </w:r>
      <w:r w:rsidRPr="00A86A9A">
        <w:t xml:space="preserve"> This status </w:t>
      </w:r>
      <w:r w:rsidRPr="00A86A9A">
        <w:rPr>
          <w:b/>
          <w:bCs/>
        </w:rPr>
        <w:t>automatically renews annually</w:t>
      </w:r>
      <w:r w:rsidRPr="00A86A9A">
        <w:t xml:space="preserve">, unless terminated per </w:t>
      </w:r>
      <w:r w:rsidRPr="00A86A9A">
        <w:rPr>
          <w:b/>
          <w:bCs/>
        </w:rPr>
        <w:t>Clause 14</w:t>
      </w:r>
      <w:r w:rsidRPr="00A86A9A">
        <w:t>.</w:t>
      </w:r>
    </w:p>
    <w:p w14:paraId="0AEBBD39" w14:textId="77777777" w:rsidR="00A86A9A" w:rsidRPr="00A86A9A" w:rsidRDefault="00E34D0F" w:rsidP="00A86A9A">
      <w:r>
        <w:pict w14:anchorId="2E3795B0">
          <v:rect id="_x0000_i1032" style="width:0;height:1.5pt" o:hralign="center" o:hrstd="t" o:hr="t" fillcolor="#a0a0a0" stroked="f"/>
        </w:pict>
      </w:r>
    </w:p>
    <w:p w14:paraId="10C6FB44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8. Confidentiality</w:t>
      </w:r>
    </w:p>
    <w:p w14:paraId="3CA22516" w14:textId="77777777" w:rsidR="00A86A9A" w:rsidRPr="00A86A9A" w:rsidRDefault="00A86A9A" w:rsidP="00A86A9A">
      <w:r w:rsidRPr="00A86A9A">
        <w:rPr>
          <w:b/>
          <w:bCs/>
        </w:rPr>
        <w:t>8.1</w:t>
      </w:r>
      <w:r w:rsidRPr="00A86A9A">
        <w:t xml:space="preserve"> All </w:t>
      </w:r>
      <w:r w:rsidRPr="00A86A9A">
        <w:rPr>
          <w:b/>
          <w:bCs/>
        </w:rPr>
        <w:t>Candidate, commercial, and strategic information</w:t>
      </w:r>
      <w:r w:rsidRPr="00A86A9A">
        <w:t xml:space="preserve"> exchanged remains </w:t>
      </w:r>
      <w:r w:rsidRPr="00A86A9A">
        <w:rPr>
          <w:b/>
          <w:bCs/>
        </w:rPr>
        <w:t>strictly confidential</w:t>
      </w:r>
      <w:r w:rsidRPr="00A86A9A">
        <w:t xml:space="preserve"> for a period of </w:t>
      </w:r>
      <w:r w:rsidRPr="00A86A9A">
        <w:rPr>
          <w:b/>
          <w:bCs/>
        </w:rPr>
        <w:t>five (5) years post-termination</w:t>
      </w:r>
      <w:r w:rsidRPr="00A86A9A">
        <w:t>.</w:t>
      </w:r>
    </w:p>
    <w:p w14:paraId="33759E7A" w14:textId="77777777" w:rsidR="00A86A9A" w:rsidRPr="00A86A9A" w:rsidRDefault="00E34D0F" w:rsidP="00A86A9A">
      <w:r>
        <w:pict w14:anchorId="25765F6D">
          <v:rect id="_x0000_i1033" style="width:0;height:1.5pt" o:hralign="center" o:hrstd="t" o:hr="t" fillcolor="#a0a0a0" stroked="f"/>
        </w:pict>
      </w:r>
    </w:p>
    <w:p w14:paraId="424D6DDC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9. Data Protection</w:t>
      </w:r>
    </w:p>
    <w:p w14:paraId="2F7C6BF6" w14:textId="77777777" w:rsidR="00A86A9A" w:rsidRPr="00A86A9A" w:rsidRDefault="00A86A9A" w:rsidP="00A86A9A">
      <w:r w:rsidRPr="00A86A9A">
        <w:rPr>
          <w:b/>
          <w:bCs/>
        </w:rPr>
        <w:t>9.1</w:t>
      </w:r>
      <w:r w:rsidRPr="00A86A9A">
        <w:t xml:space="preserve"> Both Parties shall comply with the </w:t>
      </w:r>
      <w:r w:rsidRPr="00A86A9A">
        <w:rPr>
          <w:b/>
          <w:bCs/>
        </w:rPr>
        <w:t>UK GDPR</w:t>
      </w:r>
      <w:r w:rsidRPr="00A86A9A">
        <w:t xml:space="preserve"> and </w:t>
      </w:r>
      <w:r w:rsidRPr="00A86A9A">
        <w:rPr>
          <w:b/>
          <w:bCs/>
        </w:rPr>
        <w:t>Data Protection Act 2018</w:t>
      </w:r>
      <w:r w:rsidRPr="00A86A9A">
        <w:t>.</w:t>
      </w:r>
      <w:r w:rsidRPr="00A86A9A">
        <w:br/>
      </w:r>
      <w:r w:rsidRPr="00A86A9A">
        <w:rPr>
          <w:b/>
          <w:bCs/>
        </w:rPr>
        <w:t>9.2</w:t>
      </w:r>
      <w:r w:rsidRPr="00A86A9A">
        <w:t xml:space="preserve"> The Agency confirms all Candidates have provided </w:t>
      </w:r>
      <w:r w:rsidRPr="00A86A9A">
        <w:rPr>
          <w:b/>
          <w:bCs/>
        </w:rPr>
        <w:t>informed consent</w:t>
      </w:r>
      <w:r w:rsidRPr="00A86A9A">
        <w:t xml:space="preserve"> for data sharing and processing.</w:t>
      </w:r>
    </w:p>
    <w:p w14:paraId="53468A71" w14:textId="77777777" w:rsidR="00A86A9A" w:rsidRPr="00A86A9A" w:rsidRDefault="00E34D0F" w:rsidP="00A86A9A">
      <w:r>
        <w:pict w14:anchorId="49378DF2">
          <v:rect id="_x0000_i1034" style="width:0;height:1.5pt" o:hralign="center" o:hrstd="t" o:hr="t" fillcolor="#a0a0a0" stroked="f"/>
        </w:pict>
      </w:r>
    </w:p>
    <w:p w14:paraId="5439F53B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lastRenderedPageBreak/>
        <w:t>10. Intellectual Property</w:t>
      </w:r>
    </w:p>
    <w:p w14:paraId="4E81ACA7" w14:textId="77777777" w:rsidR="00A86A9A" w:rsidRPr="00A86A9A" w:rsidRDefault="00A86A9A" w:rsidP="00A86A9A">
      <w:r w:rsidRPr="00A86A9A">
        <w:rPr>
          <w:b/>
          <w:bCs/>
        </w:rPr>
        <w:t>10.1</w:t>
      </w:r>
      <w:r w:rsidRPr="00A86A9A">
        <w:t xml:space="preserve"> All </w:t>
      </w:r>
      <w:r w:rsidRPr="00A86A9A">
        <w:rPr>
          <w:b/>
          <w:bCs/>
        </w:rPr>
        <w:t>CVs, candidate documents, shortlists, assessments</w:t>
      </w:r>
      <w:r w:rsidRPr="00A86A9A">
        <w:t xml:space="preserve">, and related materials are the </w:t>
      </w:r>
      <w:r w:rsidRPr="00A86A9A">
        <w:rPr>
          <w:b/>
          <w:bCs/>
        </w:rPr>
        <w:t>sole property of the Agency</w:t>
      </w:r>
      <w:r w:rsidRPr="00A86A9A">
        <w:t>.</w:t>
      </w:r>
      <w:r w:rsidRPr="00A86A9A">
        <w:br/>
      </w:r>
      <w:r w:rsidRPr="00A86A9A">
        <w:rPr>
          <w:b/>
          <w:bCs/>
        </w:rPr>
        <w:t>10.2</w:t>
      </w:r>
      <w:r w:rsidRPr="00A86A9A">
        <w:t xml:space="preserve"> These may not be </w:t>
      </w:r>
      <w:r w:rsidRPr="00A86A9A">
        <w:rPr>
          <w:b/>
          <w:bCs/>
        </w:rPr>
        <w:t>stored, forwarded, or reused</w:t>
      </w:r>
      <w:r w:rsidRPr="00A86A9A">
        <w:t xml:space="preserve"> outside the scope of the specific introduction without </w:t>
      </w:r>
      <w:r w:rsidRPr="00A86A9A">
        <w:rPr>
          <w:b/>
          <w:bCs/>
        </w:rPr>
        <w:t>written consent</w:t>
      </w:r>
      <w:r w:rsidRPr="00A86A9A">
        <w:t>.</w:t>
      </w:r>
      <w:r w:rsidRPr="00A86A9A">
        <w:br/>
      </w:r>
      <w:r w:rsidRPr="00A86A9A">
        <w:rPr>
          <w:b/>
          <w:bCs/>
        </w:rPr>
        <w:t>10.3</w:t>
      </w:r>
      <w:r w:rsidRPr="00A86A9A">
        <w:t xml:space="preserve"> Any use beyond this scope triggers </w:t>
      </w:r>
      <w:r w:rsidRPr="00A86A9A">
        <w:rPr>
          <w:b/>
          <w:bCs/>
        </w:rPr>
        <w:t>full fee liability</w:t>
      </w:r>
      <w:r w:rsidRPr="00A86A9A">
        <w:t>.</w:t>
      </w:r>
    </w:p>
    <w:p w14:paraId="5FC962CD" w14:textId="77777777" w:rsidR="00A86A9A" w:rsidRPr="00A86A9A" w:rsidRDefault="00E34D0F" w:rsidP="00A86A9A">
      <w:r>
        <w:pict w14:anchorId="734D6357">
          <v:rect id="_x0000_i1035" style="width:0;height:1.5pt" o:hralign="center" o:hrstd="t" o:hr="t" fillcolor="#a0a0a0" stroked="f"/>
        </w:pict>
      </w:r>
    </w:p>
    <w:p w14:paraId="4BE02E09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11. Conduct Implies Acceptance</w:t>
      </w:r>
    </w:p>
    <w:p w14:paraId="7252E7C2" w14:textId="77777777" w:rsidR="00A86A9A" w:rsidRPr="00A86A9A" w:rsidRDefault="00A86A9A" w:rsidP="00A86A9A">
      <w:r w:rsidRPr="00A86A9A">
        <w:rPr>
          <w:b/>
          <w:bCs/>
        </w:rPr>
        <w:t>11.1</w:t>
      </w:r>
      <w:r w:rsidRPr="00A86A9A">
        <w:t xml:space="preserve"> In the absence of a signed copy, the Client’s act of </w:t>
      </w:r>
      <w:r w:rsidRPr="00A86A9A">
        <w:rPr>
          <w:b/>
          <w:bCs/>
        </w:rPr>
        <w:t>opening, reviewing, or engaging</w:t>
      </w:r>
      <w:r w:rsidRPr="00A86A9A">
        <w:t xml:space="preserve"> with a Candidate submission constitutes </w:t>
      </w:r>
      <w:r w:rsidRPr="00A86A9A">
        <w:rPr>
          <w:b/>
          <w:bCs/>
        </w:rPr>
        <w:t>full acceptance</w:t>
      </w:r>
      <w:r w:rsidRPr="00A86A9A">
        <w:t xml:space="preserve"> of these terms.</w:t>
      </w:r>
      <w:r w:rsidRPr="00A86A9A">
        <w:br/>
      </w:r>
      <w:r w:rsidRPr="00A86A9A">
        <w:rPr>
          <w:b/>
          <w:bCs/>
        </w:rPr>
        <w:t>11.2</w:t>
      </w:r>
      <w:r w:rsidRPr="00A86A9A">
        <w:t xml:space="preserve"> This includes </w:t>
      </w:r>
      <w:r w:rsidRPr="00A86A9A">
        <w:rPr>
          <w:b/>
          <w:bCs/>
        </w:rPr>
        <w:t>booking interviews, initiating contact, requesting additional details, or forwarding CVs internally</w:t>
      </w:r>
      <w:r w:rsidRPr="00A86A9A">
        <w:t>.</w:t>
      </w:r>
    </w:p>
    <w:p w14:paraId="7191EB2B" w14:textId="77777777" w:rsidR="00A86A9A" w:rsidRPr="00A86A9A" w:rsidRDefault="00E34D0F" w:rsidP="00A86A9A">
      <w:r>
        <w:pict w14:anchorId="7AE8E60E">
          <v:rect id="_x0000_i1036" style="width:0;height:1.5pt" o:hralign="center" o:hrstd="t" o:hr="t" fillcolor="#a0a0a0" stroked="f"/>
        </w:pict>
      </w:r>
    </w:p>
    <w:p w14:paraId="05F7CDD5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12. Limitation of Liability</w:t>
      </w:r>
    </w:p>
    <w:p w14:paraId="0EA00593" w14:textId="77777777" w:rsidR="00A86A9A" w:rsidRPr="00A86A9A" w:rsidRDefault="00A86A9A" w:rsidP="00A86A9A">
      <w:r w:rsidRPr="00A86A9A">
        <w:rPr>
          <w:b/>
          <w:bCs/>
        </w:rPr>
        <w:t>12.1</w:t>
      </w:r>
      <w:r w:rsidRPr="00A86A9A">
        <w:t xml:space="preserve"> The Agency’s total liability under this Agreement shall </w:t>
      </w:r>
      <w:r w:rsidRPr="00A86A9A">
        <w:rPr>
          <w:b/>
          <w:bCs/>
        </w:rPr>
        <w:t>not exceed the total fees paid</w:t>
      </w:r>
      <w:r w:rsidRPr="00A86A9A">
        <w:t xml:space="preserve"> by the Client in the </w:t>
      </w:r>
      <w:r w:rsidRPr="00A86A9A">
        <w:rPr>
          <w:b/>
          <w:bCs/>
        </w:rPr>
        <w:t>preceding six (6) months</w:t>
      </w:r>
      <w:r w:rsidRPr="00A86A9A">
        <w:t>.</w:t>
      </w:r>
      <w:r w:rsidRPr="00A86A9A">
        <w:br/>
      </w:r>
      <w:r w:rsidRPr="00A86A9A">
        <w:rPr>
          <w:b/>
          <w:bCs/>
        </w:rPr>
        <w:t>12.2</w:t>
      </w:r>
      <w:r w:rsidRPr="00A86A9A">
        <w:t xml:space="preserve"> The Agency shall </w:t>
      </w:r>
      <w:r w:rsidRPr="00A86A9A">
        <w:rPr>
          <w:b/>
          <w:bCs/>
        </w:rPr>
        <w:t>not be liable</w:t>
      </w:r>
      <w:r w:rsidRPr="00A86A9A">
        <w:t xml:space="preserve"> for any </w:t>
      </w:r>
      <w:r w:rsidRPr="00A86A9A">
        <w:rPr>
          <w:b/>
          <w:bCs/>
        </w:rPr>
        <w:t>indirect, consequential, reputational, or profit loss</w:t>
      </w:r>
      <w:r w:rsidRPr="00A86A9A">
        <w:t>.</w:t>
      </w:r>
    </w:p>
    <w:p w14:paraId="2C029DCA" w14:textId="77777777" w:rsidR="00A86A9A" w:rsidRPr="00A86A9A" w:rsidRDefault="00E34D0F" w:rsidP="00A86A9A">
      <w:r>
        <w:pict w14:anchorId="53CEA530">
          <v:rect id="_x0000_i1037" style="width:0;height:1.5pt" o:hralign="center" o:hrstd="t" o:hr="t" fillcolor="#a0a0a0" stroked="f"/>
        </w:pict>
      </w:r>
    </w:p>
    <w:p w14:paraId="7B6C097F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13. Governing Law and Jurisdiction</w:t>
      </w:r>
    </w:p>
    <w:p w14:paraId="7AB55966" w14:textId="77777777" w:rsidR="00A86A9A" w:rsidRPr="00A86A9A" w:rsidRDefault="00A86A9A" w:rsidP="00A86A9A">
      <w:r w:rsidRPr="00A86A9A">
        <w:rPr>
          <w:b/>
          <w:bCs/>
        </w:rPr>
        <w:t>13.1</w:t>
      </w:r>
      <w:r w:rsidRPr="00A86A9A">
        <w:t xml:space="preserve"> This Agreement shall be governed by and construed under the </w:t>
      </w:r>
      <w:r w:rsidRPr="00A86A9A">
        <w:rPr>
          <w:b/>
          <w:bCs/>
        </w:rPr>
        <w:t>laws of England and Wales</w:t>
      </w:r>
      <w:r w:rsidRPr="00A86A9A">
        <w:t>.</w:t>
      </w:r>
      <w:r w:rsidRPr="00A86A9A">
        <w:br/>
      </w:r>
      <w:r w:rsidRPr="00A86A9A">
        <w:rPr>
          <w:b/>
          <w:bCs/>
        </w:rPr>
        <w:t>13.2</w:t>
      </w:r>
      <w:r w:rsidRPr="00A86A9A">
        <w:t xml:space="preserve"> Any disputes shall be resolved exclusively in the </w:t>
      </w:r>
      <w:r w:rsidRPr="00A86A9A">
        <w:rPr>
          <w:b/>
          <w:bCs/>
        </w:rPr>
        <w:t>courts of England and Wales</w:t>
      </w:r>
      <w:r w:rsidRPr="00A86A9A">
        <w:t>.</w:t>
      </w:r>
    </w:p>
    <w:p w14:paraId="1A339F75" w14:textId="77777777" w:rsidR="00A86A9A" w:rsidRPr="00A86A9A" w:rsidRDefault="00E34D0F" w:rsidP="00A86A9A">
      <w:r>
        <w:pict w14:anchorId="39A41740">
          <v:rect id="_x0000_i1038" style="width:0;height:1.5pt" o:hralign="center" o:hrstd="t" o:hr="t" fillcolor="#a0a0a0" stroked="f"/>
        </w:pict>
      </w:r>
    </w:p>
    <w:p w14:paraId="497919A7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14. Termination</w:t>
      </w:r>
    </w:p>
    <w:p w14:paraId="45DA06D1" w14:textId="77777777" w:rsidR="00A86A9A" w:rsidRPr="00A86A9A" w:rsidRDefault="00A86A9A" w:rsidP="00A86A9A">
      <w:r w:rsidRPr="00A86A9A">
        <w:rPr>
          <w:b/>
          <w:bCs/>
        </w:rPr>
        <w:t>14.1</w:t>
      </w:r>
      <w:r w:rsidRPr="00A86A9A">
        <w:t xml:space="preserve"> This Agreement may be </w:t>
      </w:r>
      <w:r w:rsidRPr="00A86A9A">
        <w:rPr>
          <w:b/>
          <w:bCs/>
        </w:rPr>
        <w:t>terminated by either Party with thirty (30) days’ written notice</w:t>
      </w:r>
      <w:r w:rsidRPr="00A86A9A">
        <w:t>.</w:t>
      </w:r>
      <w:r w:rsidRPr="00A86A9A">
        <w:br/>
      </w:r>
      <w:r w:rsidRPr="00A86A9A">
        <w:rPr>
          <w:b/>
          <w:bCs/>
        </w:rPr>
        <w:t>14.2</w:t>
      </w:r>
      <w:r w:rsidRPr="00A86A9A">
        <w:t xml:space="preserve"> Termination does </w:t>
      </w:r>
      <w:r w:rsidRPr="00A86A9A">
        <w:rPr>
          <w:b/>
          <w:bCs/>
        </w:rPr>
        <w:t>not affect fee obligations</w:t>
      </w:r>
      <w:r w:rsidRPr="00A86A9A">
        <w:t xml:space="preserve"> relating to Candidates already introduced.</w:t>
      </w:r>
    </w:p>
    <w:p w14:paraId="58445006" w14:textId="77777777" w:rsidR="00A86A9A" w:rsidRPr="00A86A9A" w:rsidRDefault="00E34D0F" w:rsidP="00A86A9A">
      <w:r>
        <w:pict w14:anchorId="671CD2E8">
          <v:rect id="_x0000_i1039" style="width:0;height:1.5pt" o:hralign="center" o:hrstd="t" o:hr="t" fillcolor="#a0a0a0" stroked="f"/>
        </w:pict>
      </w:r>
    </w:p>
    <w:p w14:paraId="4FBED6B0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15. Survival</w:t>
      </w:r>
    </w:p>
    <w:p w14:paraId="673EF5FA" w14:textId="77777777" w:rsidR="00A86A9A" w:rsidRPr="00A86A9A" w:rsidRDefault="00A86A9A" w:rsidP="00A86A9A">
      <w:r w:rsidRPr="00A86A9A">
        <w:rPr>
          <w:b/>
          <w:bCs/>
        </w:rPr>
        <w:t>15.1</w:t>
      </w:r>
      <w:r w:rsidRPr="00A86A9A">
        <w:t xml:space="preserve"> The following clauses shall </w:t>
      </w:r>
      <w:r w:rsidRPr="00A86A9A">
        <w:rPr>
          <w:b/>
          <w:bCs/>
        </w:rPr>
        <w:t>survive termination</w:t>
      </w:r>
      <w:r w:rsidRPr="00A86A9A">
        <w:t>:</w:t>
      </w:r>
      <w:r w:rsidRPr="00A86A9A">
        <w:br/>
      </w:r>
      <w:r w:rsidRPr="00A86A9A">
        <w:rPr>
          <w:b/>
          <w:bCs/>
        </w:rPr>
        <w:t>Fees and Payment</w:t>
      </w:r>
      <w:r w:rsidRPr="00A86A9A">
        <w:t xml:space="preserve">, </w:t>
      </w:r>
      <w:r w:rsidRPr="00A86A9A">
        <w:rPr>
          <w:b/>
          <w:bCs/>
        </w:rPr>
        <w:t>Candidate Ownership</w:t>
      </w:r>
      <w:r w:rsidRPr="00A86A9A">
        <w:t xml:space="preserve">, </w:t>
      </w:r>
      <w:r w:rsidRPr="00A86A9A">
        <w:rPr>
          <w:b/>
          <w:bCs/>
        </w:rPr>
        <w:t>Anti-Circumvention</w:t>
      </w:r>
      <w:r w:rsidRPr="00A86A9A">
        <w:t xml:space="preserve">, </w:t>
      </w:r>
      <w:r w:rsidRPr="00A86A9A">
        <w:rPr>
          <w:b/>
          <w:bCs/>
        </w:rPr>
        <w:t>Confidentiality</w:t>
      </w:r>
      <w:r w:rsidRPr="00A86A9A">
        <w:t xml:space="preserve">, </w:t>
      </w:r>
      <w:r w:rsidRPr="00A86A9A">
        <w:rPr>
          <w:b/>
          <w:bCs/>
        </w:rPr>
        <w:t>Intellectual Property</w:t>
      </w:r>
      <w:r w:rsidRPr="00A86A9A">
        <w:t xml:space="preserve">, </w:t>
      </w:r>
      <w:r w:rsidRPr="00A86A9A">
        <w:rPr>
          <w:b/>
          <w:bCs/>
        </w:rPr>
        <w:t>Conduct Implies Acceptance</w:t>
      </w:r>
      <w:r w:rsidRPr="00A86A9A">
        <w:t xml:space="preserve">, and </w:t>
      </w:r>
      <w:r w:rsidRPr="00A86A9A">
        <w:rPr>
          <w:b/>
          <w:bCs/>
        </w:rPr>
        <w:t>Governing Law</w:t>
      </w:r>
      <w:r w:rsidRPr="00A86A9A">
        <w:t>.</w:t>
      </w:r>
    </w:p>
    <w:p w14:paraId="756F6211" w14:textId="77777777" w:rsidR="00A86A9A" w:rsidRPr="00A86A9A" w:rsidRDefault="00E34D0F" w:rsidP="00A86A9A">
      <w:r>
        <w:pict w14:anchorId="57D3F442">
          <v:rect id="_x0000_i1040" style="width:0;height:1.5pt" o:hralign="center" o:hrstd="t" o:hr="t" fillcolor="#a0a0a0" stroked="f"/>
        </w:pict>
      </w:r>
    </w:p>
    <w:p w14:paraId="4D1215BE" w14:textId="77777777" w:rsidR="00A86A9A" w:rsidRPr="00A86A9A" w:rsidRDefault="00A86A9A" w:rsidP="00A86A9A">
      <w:pPr>
        <w:rPr>
          <w:b/>
          <w:bCs/>
        </w:rPr>
      </w:pPr>
      <w:r w:rsidRPr="00A86A9A">
        <w:rPr>
          <w:b/>
          <w:bCs/>
        </w:rPr>
        <w:t>16. Entire Agreement</w:t>
      </w:r>
    </w:p>
    <w:p w14:paraId="49D905B2" w14:textId="77777777" w:rsidR="00A86A9A" w:rsidRPr="00A86A9A" w:rsidRDefault="00A86A9A" w:rsidP="00A86A9A">
      <w:r w:rsidRPr="00A86A9A">
        <w:rPr>
          <w:b/>
          <w:bCs/>
        </w:rPr>
        <w:t>16.1</w:t>
      </w:r>
      <w:r w:rsidRPr="00A86A9A">
        <w:t xml:space="preserve"> This Agreement constitutes the </w:t>
      </w:r>
      <w:r w:rsidRPr="00A86A9A">
        <w:rPr>
          <w:b/>
          <w:bCs/>
        </w:rPr>
        <w:t>entire agreement</w:t>
      </w:r>
      <w:r w:rsidRPr="00A86A9A">
        <w:t xml:space="preserve"> between the Parties and </w:t>
      </w:r>
      <w:r w:rsidRPr="00A86A9A">
        <w:rPr>
          <w:b/>
          <w:bCs/>
        </w:rPr>
        <w:t>supersedes all prior negotiations or representations</w:t>
      </w:r>
      <w:r w:rsidRPr="00A86A9A">
        <w:t>.</w:t>
      </w:r>
      <w:r w:rsidRPr="00A86A9A">
        <w:br/>
      </w:r>
      <w:r w:rsidRPr="00A86A9A">
        <w:rPr>
          <w:b/>
          <w:bCs/>
        </w:rPr>
        <w:t>16.2</w:t>
      </w:r>
      <w:r w:rsidRPr="00A86A9A">
        <w:t xml:space="preserve"> </w:t>
      </w:r>
      <w:r w:rsidRPr="00A86A9A">
        <w:rPr>
          <w:b/>
          <w:bCs/>
        </w:rPr>
        <w:t>No variation</w:t>
      </w:r>
      <w:r w:rsidRPr="00A86A9A">
        <w:t xml:space="preserve"> is valid unless made </w:t>
      </w:r>
      <w:r w:rsidRPr="00A86A9A">
        <w:rPr>
          <w:b/>
          <w:bCs/>
        </w:rPr>
        <w:t>in writing and signed by both Parties</w:t>
      </w:r>
      <w:r w:rsidRPr="00A86A9A">
        <w:t>.</w:t>
      </w:r>
    </w:p>
    <w:p w14:paraId="458FA05F" w14:textId="59EFD2FD" w:rsidR="00A86A9A" w:rsidRPr="00A86A9A" w:rsidRDefault="00E34D0F" w:rsidP="00A86A9A">
      <w:r>
        <w:pict w14:anchorId="794E69FB">
          <v:rect id="_x0000_i1041" style="width:0;height:1.5pt" o:hralign="center" o:hrstd="t" o:hr="t" fillcolor="#a0a0a0" stroked="f"/>
        </w:pict>
      </w:r>
      <w:r w:rsidR="00A86A9A" w:rsidRPr="00A86A9A">
        <w:rPr>
          <w:b/>
          <w:bCs/>
        </w:rPr>
        <w:t>17. Signatures</w:t>
      </w:r>
    </w:p>
    <w:p w14:paraId="1ADA7206" w14:textId="77777777" w:rsidR="00A86A9A" w:rsidRDefault="00A86A9A" w:rsidP="00A86A9A">
      <w:bookmarkStart w:id="0" w:name="_Hlk197647654"/>
      <w:r w:rsidRPr="00A32E70">
        <w:lastRenderedPageBreak/>
        <w:t xml:space="preserve">Signed for and on behalf of </w:t>
      </w:r>
      <w:r w:rsidRPr="00A32E70">
        <w:rPr>
          <w:b/>
          <w:bCs/>
        </w:rPr>
        <w:t>Steadman &amp; Chase Ltd</w:t>
      </w:r>
      <w:r w:rsidRPr="00A32E70">
        <w:br/>
        <w:t xml:space="preserve">Name: </w:t>
      </w:r>
      <w:r w:rsidRPr="00A32E70">
        <w:rPr>
          <w:b/>
          <w:bCs/>
        </w:rPr>
        <w:t>Jake Cook</w:t>
      </w:r>
      <w:r w:rsidRPr="00A32E70">
        <w:br/>
        <w:t xml:space="preserve">Signature: </w:t>
      </w:r>
    </w:p>
    <w:p w14:paraId="495504DB" w14:textId="77777777" w:rsidR="00A86A9A" w:rsidRDefault="00A86A9A" w:rsidP="00A86A9A">
      <w:r w:rsidRPr="00A32E70">
        <w:t xml:space="preserve">Title: </w:t>
      </w:r>
      <w:r w:rsidRPr="00A32E70">
        <w:rPr>
          <w:b/>
          <w:bCs/>
        </w:rPr>
        <w:t>Founder &amp; Managing Director</w:t>
      </w:r>
      <w:r w:rsidRPr="00A32E70">
        <w:br/>
        <w:t xml:space="preserve">Date: </w:t>
      </w:r>
    </w:p>
    <w:p w14:paraId="5DA813A2" w14:textId="77777777" w:rsidR="00A86A9A" w:rsidRPr="00A32E70" w:rsidRDefault="00A86A9A" w:rsidP="00A86A9A"/>
    <w:p w14:paraId="14061209" w14:textId="77777777" w:rsidR="00A86A9A" w:rsidRDefault="00A86A9A" w:rsidP="00A86A9A">
      <w:r w:rsidRPr="00A32E70">
        <w:t xml:space="preserve">Signed for and on behalf of </w:t>
      </w:r>
      <w:r w:rsidRPr="00A32E70">
        <w:rPr>
          <w:b/>
          <w:bCs/>
        </w:rPr>
        <w:t>[Client Name]</w:t>
      </w:r>
      <w:r w:rsidRPr="00A32E70">
        <w:br/>
        <w:t xml:space="preserve">Name: </w:t>
      </w:r>
      <w:r w:rsidRPr="00A32E70">
        <w:br/>
        <w:t xml:space="preserve">Signature: </w:t>
      </w:r>
    </w:p>
    <w:p w14:paraId="47EE9120" w14:textId="77777777" w:rsidR="00A86A9A" w:rsidRPr="00A32E70" w:rsidRDefault="00A86A9A" w:rsidP="00A86A9A">
      <w:r w:rsidRPr="00A32E70">
        <w:t xml:space="preserve">Title: </w:t>
      </w:r>
      <w:r w:rsidRPr="00A32E70">
        <w:br/>
        <w:t xml:space="preserve">Date: </w:t>
      </w:r>
    </w:p>
    <w:bookmarkEnd w:id="0"/>
    <w:p w14:paraId="349A3C0B" w14:textId="220AFEB7" w:rsidR="005525C3" w:rsidRPr="00A86A9A" w:rsidRDefault="005525C3" w:rsidP="00A86A9A">
      <w:pPr>
        <w:spacing w:after="0"/>
      </w:pPr>
    </w:p>
    <w:sectPr w:rsidR="005525C3" w:rsidRPr="00A86A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0C32" w14:textId="77777777" w:rsidR="00E34D0F" w:rsidRDefault="00E34D0F" w:rsidP="005525C3">
      <w:pPr>
        <w:spacing w:after="0" w:line="240" w:lineRule="auto"/>
      </w:pPr>
      <w:r>
        <w:separator/>
      </w:r>
    </w:p>
  </w:endnote>
  <w:endnote w:type="continuationSeparator" w:id="0">
    <w:p w14:paraId="420D654A" w14:textId="77777777" w:rsidR="00E34D0F" w:rsidRDefault="00E34D0F" w:rsidP="005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A51F" w14:textId="77777777" w:rsidR="00E34D0F" w:rsidRDefault="00E34D0F" w:rsidP="005525C3">
      <w:pPr>
        <w:spacing w:after="0" w:line="240" w:lineRule="auto"/>
      </w:pPr>
      <w:r>
        <w:separator/>
      </w:r>
    </w:p>
  </w:footnote>
  <w:footnote w:type="continuationSeparator" w:id="0">
    <w:p w14:paraId="4DF82603" w14:textId="77777777" w:rsidR="00E34D0F" w:rsidRDefault="00E34D0F" w:rsidP="0055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8B5C" w14:textId="57A29BE0" w:rsidR="005525C3" w:rsidRDefault="005525C3" w:rsidP="005525C3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BA3E5" wp14:editId="3C72C321">
          <wp:simplePos x="0" y="0"/>
          <wp:positionH relativeFrom="column">
            <wp:posOffset>5433060</wp:posOffset>
          </wp:positionH>
          <wp:positionV relativeFrom="paragraph">
            <wp:posOffset>-274320</wp:posOffset>
          </wp:positionV>
          <wp:extent cx="1097280" cy="36449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E42723" w14:textId="271B4E83" w:rsidR="005525C3" w:rsidRDefault="00552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B74"/>
    <w:multiLevelType w:val="multilevel"/>
    <w:tmpl w:val="AED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5EE2"/>
    <w:multiLevelType w:val="multilevel"/>
    <w:tmpl w:val="987C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640C2"/>
    <w:multiLevelType w:val="multilevel"/>
    <w:tmpl w:val="1CA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12508"/>
    <w:multiLevelType w:val="multilevel"/>
    <w:tmpl w:val="C65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0287A"/>
    <w:multiLevelType w:val="multilevel"/>
    <w:tmpl w:val="FE2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57620"/>
    <w:multiLevelType w:val="multilevel"/>
    <w:tmpl w:val="116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0738D"/>
    <w:multiLevelType w:val="multilevel"/>
    <w:tmpl w:val="79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1017D"/>
    <w:multiLevelType w:val="multilevel"/>
    <w:tmpl w:val="842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27C18"/>
    <w:multiLevelType w:val="multilevel"/>
    <w:tmpl w:val="DD5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34F4E"/>
    <w:multiLevelType w:val="multilevel"/>
    <w:tmpl w:val="606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A68FD"/>
    <w:multiLevelType w:val="multilevel"/>
    <w:tmpl w:val="E68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C372D"/>
    <w:multiLevelType w:val="multilevel"/>
    <w:tmpl w:val="F7B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E2B29"/>
    <w:multiLevelType w:val="multilevel"/>
    <w:tmpl w:val="142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75B20"/>
    <w:multiLevelType w:val="hybridMultilevel"/>
    <w:tmpl w:val="3A7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72E58"/>
    <w:multiLevelType w:val="multilevel"/>
    <w:tmpl w:val="29F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11B8"/>
    <w:multiLevelType w:val="multilevel"/>
    <w:tmpl w:val="EAA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F22D4"/>
    <w:multiLevelType w:val="multilevel"/>
    <w:tmpl w:val="C92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70B7E"/>
    <w:multiLevelType w:val="multilevel"/>
    <w:tmpl w:val="032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B5C01"/>
    <w:multiLevelType w:val="multilevel"/>
    <w:tmpl w:val="DAC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97966"/>
    <w:multiLevelType w:val="multilevel"/>
    <w:tmpl w:val="253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763AA"/>
    <w:multiLevelType w:val="multilevel"/>
    <w:tmpl w:val="8A1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36FD9"/>
    <w:multiLevelType w:val="multilevel"/>
    <w:tmpl w:val="3000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74CB4"/>
    <w:multiLevelType w:val="multilevel"/>
    <w:tmpl w:val="C63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35BCC"/>
    <w:multiLevelType w:val="multilevel"/>
    <w:tmpl w:val="BAB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B75B3"/>
    <w:multiLevelType w:val="multilevel"/>
    <w:tmpl w:val="399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40996"/>
    <w:multiLevelType w:val="multilevel"/>
    <w:tmpl w:val="D14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53F7C"/>
    <w:multiLevelType w:val="multilevel"/>
    <w:tmpl w:val="634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2"/>
  </w:num>
  <w:num w:numId="5">
    <w:abstractNumId w:val="7"/>
  </w:num>
  <w:num w:numId="6">
    <w:abstractNumId w:val="9"/>
  </w:num>
  <w:num w:numId="7">
    <w:abstractNumId w:val="8"/>
  </w:num>
  <w:num w:numId="8">
    <w:abstractNumId w:val="19"/>
  </w:num>
  <w:num w:numId="9">
    <w:abstractNumId w:val="21"/>
  </w:num>
  <w:num w:numId="10">
    <w:abstractNumId w:val="17"/>
  </w:num>
  <w:num w:numId="11">
    <w:abstractNumId w:val="14"/>
  </w:num>
  <w:num w:numId="12">
    <w:abstractNumId w:val="10"/>
  </w:num>
  <w:num w:numId="13">
    <w:abstractNumId w:val="26"/>
  </w:num>
  <w:num w:numId="14">
    <w:abstractNumId w:val="13"/>
  </w:num>
  <w:num w:numId="15">
    <w:abstractNumId w:val="20"/>
  </w:num>
  <w:num w:numId="16">
    <w:abstractNumId w:val="0"/>
  </w:num>
  <w:num w:numId="17">
    <w:abstractNumId w:val="6"/>
  </w:num>
  <w:num w:numId="18">
    <w:abstractNumId w:val="3"/>
  </w:num>
  <w:num w:numId="19">
    <w:abstractNumId w:val="18"/>
  </w:num>
  <w:num w:numId="20">
    <w:abstractNumId w:val="1"/>
  </w:num>
  <w:num w:numId="21">
    <w:abstractNumId w:val="24"/>
  </w:num>
  <w:num w:numId="22">
    <w:abstractNumId w:val="2"/>
  </w:num>
  <w:num w:numId="23">
    <w:abstractNumId w:val="25"/>
  </w:num>
  <w:num w:numId="24">
    <w:abstractNumId w:val="15"/>
  </w:num>
  <w:num w:numId="25">
    <w:abstractNumId w:val="11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3"/>
    <w:rsid w:val="000A42D1"/>
    <w:rsid w:val="00291205"/>
    <w:rsid w:val="00301DA6"/>
    <w:rsid w:val="003B28DD"/>
    <w:rsid w:val="00546867"/>
    <w:rsid w:val="005525C3"/>
    <w:rsid w:val="0069411F"/>
    <w:rsid w:val="006C25D5"/>
    <w:rsid w:val="007337D3"/>
    <w:rsid w:val="0080594C"/>
    <w:rsid w:val="00864B11"/>
    <w:rsid w:val="00884EEA"/>
    <w:rsid w:val="008D7A7F"/>
    <w:rsid w:val="009740AC"/>
    <w:rsid w:val="00A86A9A"/>
    <w:rsid w:val="00AE50E3"/>
    <w:rsid w:val="00AE5ED5"/>
    <w:rsid w:val="00B0697A"/>
    <w:rsid w:val="00BB7012"/>
    <w:rsid w:val="00BD2AF3"/>
    <w:rsid w:val="00CD7079"/>
    <w:rsid w:val="00E34D0F"/>
    <w:rsid w:val="00F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B9D5"/>
  <w15:chartTrackingRefBased/>
  <w15:docId w15:val="{9A8EE30B-1E72-4A94-831A-BC595C0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C3"/>
  </w:style>
  <w:style w:type="paragraph" w:styleId="Footer">
    <w:name w:val="footer"/>
    <w:basedOn w:val="Normal"/>
    <w:link w:val="FooterChar"/>
    <w:uiPriority w:val="99"/>
    <w:unhideWhenUsed/>
    <w:rsid w:val="0055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C3"/>
  </w:style>
  <w:style w:type="paragraph" w:styleId="ListParagraph">
    <w:name w:val="List Paragraph"/>
    <w:basedOn w:val="Normal"/>
    <w:uiPriority w:val="34"/>
    <w:qFormat/>
    <w:rsid w:val="005525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6A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A8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Cook</dc:creator>
  <cp:keywords/>
  <dc:description/>
  <cp:lastModifiedBy>Jake Cook</cp:lastModifiedBy>
  <cp:revision>4</cp:revision>
  <dcterms:created xsi:type="dcterms:W3CDTF">2025-05-09T00:56:00Z</dcterms:created>
  <dcterms:modified xsi:type="dcterms:W3CDTF">2025-05-30T20:42:00Z</dcterms:modified>
</cp:coreProperties>
</file>