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1847850</wp:posOffset>
            </wp:positionH>
            <wp:positionV relativeFrom="paragraph">
              <wp:posOffset>114300</wp:posOffset>
            </wp:positionV>
            <wp:extent cx="2014538" cy="1876425"/>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014538" cy="1876425"/>
                    </a:xfrm>
                    <a:prstGeom prst="rect"/>
                    <a:ln/>
                  </pic:spPr>
                </pic:pic>
              </a:graphicData>
            </a:graphic>
          </wp:anchor>
        </w:drawing>
      </w:r>
    </w:p>
    <w:p w:rsidR="00000000" w:rsidDel="00000000" w:rsidP="00000000" w:rsidRDefault="00000000" w:rsidRPr="00000000" w14:paraId="00000002">
      <w:pPr>
        <w:rPr>
          <w:rFonts w:ascii="Caveat SemiBold" w:cs="Caveat SemiBold" w:eastAsia="Caveat SemiBold" w:hAnsi="Caveat SemiBold"/>
          <w:sz w:val="42"/>
          <w:szCs w:val="42"/>
        </w:rPr>
      </w:pPr>
      <w:r w:rsidDel="00000000" w:rsidR="00000000" w:rsidRPr="00000000">
        <w:rPr>
          <w:rtl w:val="0"/>
        </w:rPr>
      </w:r>
    </w:p>
    <w:p w:rsidR="00000000" w:rsidDel="00000000" w:rsidP="00000000" w:rsidRDefault="00000000" w:rsidRPr="00000000" w14:paraId="00000003">
      <w:pPr>
        <w:rPr>
          <w:rFonts w:ascii="Caveat SemiBold" w:cs="Caveat SemiBold" w:eastAsia="Caveat SemiBold" w:hAnsi="Caveat SemiBold"/>
          <w:sz w:val="42"/>
          <w:szCs w:val="42"/>
        </w:rPr>
      </w:pPr>
      <w:r w:rsidDel="00000000" w:rsidR="00000000" w:rsidRPr="00000000">
        <w:rPr>
          <w:rtl w:val="0"/>
        </w:rPr>
      </w:r>
    </w:p>
    <w:p w:rsidR="00000000" w:rsidDel="00000000" w:rsidP="00000000" w:rsidRDefault="00000000" w:rsidRPr="00000000" w14:paraId="00000004">
      <w:pPr>
        <w:rPr>
          <w:rFonts w:ascii="Caveat SemiBold" w:cs="Caveat SemiBold" w:eastAsia="Caveat SemiBold" w:hAnsi="Caveat SemiBold"/>
          <w:sz w:val="42"/>
          <w:szCs w:val="42"/>
        </w:rPr>
      </w:pPr>
      <w:r w:rsidDel="00000000" w:rsidR="00000000" w:rsidRPr="00000000">
        <w:rPr>
          <w:rtl w:val="0"/>
        </w:rPr>
      </w:r>
    </w:p>
    <w:p w:rsidR="00000000" w:rsidDel="00000000" w:rsidP="00000000" w:rsidRDefault="00000000" w:rsidRPr="00000000" w14:paraId="00000005">
      <w:pPr>
        <w:rPr>
          <w:rFonts w:ascii="Caveat SemiBold" w:cs="Caveat SemiBold" w:eastAsia="Caveat SemiBold" w:hAnsi="Caveat SemiBold"/>
          <w:sz w:val="42"/>
          <w:szCs w:val="42"/>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Fonts w:ascii="Caveat SemiBold" w:cs="Caveat SemiBold" w:eastAsia="Caveat SemiBold" w:hAnsi="Caveat SemiBold"/>
          <w:sz w:val="42"/>
          <w:szCs w:val="42"/>
          <w:rtl w:val="0"/>
        </w:rPr>
        <w:t xml:space="preserve">Congratulations on your adoption of your new family member</w:t>
      </w:r>
      <w:r w:rsidDel="00000000" w:rsidR="00000000" w:rsidRPr="00000000">
        <w:rPr>
          <w:sz w:val="42"/>
          <w:szCs w:val="42"/>
          <w:rtl w:val="0"/>
        </w:rPr>
        <w:t xml:space="preserve">! </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Thank you for adopting from, and supporting Kannata Valley Kats Rescue, Inc.! We appreciate your support in providing loving homes to the cats of Kannata Valley and area, and in turn helping our stray cat populations! </w:t>
      </w:r>
    </w:p>
    <w:p w:rsidR="00000000" w:rsidDel="00000000" w:rsidP="00000000" w:rsidRDefault="00000000" w:rsidRPr="00000000" w14:paraId="00000008">
      <w:pPr>
        <w:jc w:val="center"/>
        <w:rPr>
          <w:rFonts w:ascii="Caveat" w:cs="Caveat" w:eastAsia="Caveat" w:hAnsi="Caveat"/>
          <w:b w:val="1"/>
          <w:sz w:val="26"/>
          <w:szCs w:val="26"/>
        </w:rPr>
      </w:pPr>
      <w:r w:rsidDel="00000000" w:rsidR="00000000" w:rsidRPr="00000000">
        <w:rPr>
          <w:rFonts w:ascii="Caveat" w:cs="Caveat" w:eastAsia="Caveat" w:hAnsi="Caveat"/>
          <w:b w:val="1"/>
          <w:sz w:val="26"/>
          <w:szCs w:val="26"/>
          <w:rtl w:val="0"/>
        </w:rPr>
        <w:t xml:space="preserve">Please read the following for some important information about the health and wellness of your cat!</w:t>
      </w:r>
    </w:p>
    <w:p w:rsidR="00000000" w:rsidDel="00000000" w:rsidP="00000000" w:rsidRDefault="00000000" w:rsidRPr="00000000" w14:paraId="00000009">
      <w:pPr>
        <w:jc w:val="center"/>
        <w:rPr>
          <w:u w:val="single"/>
        </w:rPr>
      </w:pPr>
      <w:r w:rsidDel="00000000" w:rsidR="00000000" w:rsidRPr="00000000">
        <w:rPr>
          <w:u w:val="single"/>
          <w:rtl w:val="0"/>
        </w:rPr>
        <w:t xml:space="preserve">Vaccine Schedule for Kittens:</w:t>
      </w:r>
    </w:p>
    <w:p w:rsidR="00000000" w:rsidDel="00000000" w:rsidP="00000000" w:rsidRDefault="00000000" w:rsidRPr="00000000" w14:paraId="0000000A">
      <w:pPr>
        <w:ind w:left="720" w:firstLine="0"/>
        <w:jc w:val="center"/>
        <w:rPr/>
      </w:pPr>
      <w:r w:rsidDel="00000000" w:rsidR="00000000" w:rsidRPr="00000000">
        <w:rPr>
          <w:rtl w:val="0"/>
        </w:rPr>
        <w:t xml:space="preserve">8 weeks: PCR (Panleukopenia, Calicivirus and Rhinotracheitis) </w:t>
      </w:r>
    </w:p>
    <w:p w:rsidR="00000000" w:rsidDel="00000000" w:rsidP="00000000" w:rsidRDefault="00000000" w:rsidRPr="00000000" w14:paraId="0000000B">
      <w:pPr>
        <w:ind w:left="720" w:firstLine="0"/>
        <w:jc w:val="center"/>
        <w:rPr/>
      </w:pPr>
      <w:r w:rsidDel="00000000" w:rsidR="00000000" w:rsidRPr="00000000">
        <w:rPr>
          <w:rtl w:val="0"/>
        </w:rPr>
        <w:t xml:space="preserve">12 weeks: PCR +/- Leukemia (outdoor cats)</w:t>
      </w:r>
    </w:p>
    <w:p w:rsidR="00000000" w:rsidDel="00000000" w:rsidP="00000000" w:rsidRDefault="00000000" w:rsidRPr="00000000" w14:paraId="0000000C">
      <w:pPr>
        <w:ind w:left="720" w:firstLine="0"/>
        <w:jc w:val="center"/>
        <w:rPr/>
      </w:pPr>
      <w:r w:rsidDel="00000000" w:rsidR="00000000" w:rsidRPr="00000000">
        <w:rPr>
          <w:rtl w:val="0"/>
        </w:rPr>
        <w:t xml:space="preserve">16 weeks: PCR +/- Leukemia (outdoor cats) + Rabies </w:t>
      </w:r>
    </w:p>
    <w:p w:rsidR="00000000" w:rsidDel="00000000" w:rsidP="00000000" w:rsidRDefault="00000000" w:rsidRPr="00000000" w14:paraId="0000000D">
      <w:pPr>
        <w:ind w:left="720" w:firstLine="0"/>
        <w:jc w:val="center"/>
        <w:rPr/>
      </w:pPr>
      <w:r w:rsidDel="00000000" w:rsidR="00000000" w:rsidRPr="00000000">
        <w:rPr>
          <w:rtl w:val="0"/>
        </w:rPr>
        <w:t xml:space="preserve">1 year: PCR +/- Leukemia + Rabies </w:t>
      </w:r>
    </w:p>
    <w:p w:rsidR="00000000" w:rsidDel="00000000" w:rsidP="00000000" w:rsidRDefault="00000000" w:rsidRPr="00000000" w14:paraId="0000000E">
      <w:pPr>
        <w:ind w:left="0" w:firstLine="0"/>
        <w:jc w:val="center"/>
        <w:rPr>
          <w:u w:val="single"/>
        </w:rPr>
      </w:pPr>
      <w:r w:rsidDel="00000000" w:rsidR="00000000" w:rsidRPr="00000000">
        <w:rPr>
          <w:u w:val="single"/>
          <w:rtl w:val="0"/>
        </w:rPr>
        <w:t xml:space="preserve">Vaccine Schedule for Adult Cats:</w:t>
      </w:r>
    </w:p>
    <w:p w:rsidR="00000000" w:rsidDel="00000000" w:rsidP="00000000" w:rsidRDefault="00000000" w:rsidRPr="00000000" w14:paraId="0000000F">
      <w:pPr>
        <w:ind w:left="0" w:firstLine="0"/>
        <w:jc w:val="center"/>
        <w:rPr/>
      </w:pPr>
      <w:r w:rsidDel="00000000" w:rsidR="00000000" w:rsidRPr="00000000">
        <w:rPr>
          <w:rtl w:val="0"/>
        </w:rPr>
        <w:tab/>
        <w:t xml:space="preserve">Every year: PCR+/- Leukemia- Rabies vaccines- cat must be vaccinated 2 years in a row, then as long as this has been completed, Rabies vaccines will be every 3 years after.</w:t>
      </w:r>
    </w:p>
    <w:p w:rsidR="00000000" w:rsidDel="00000000" w:rsidP="00000000" w:rsidRDefault="00000000" w:rsidRPr="00000000" w14:paraId="00000010">
      <w:pPr>
        <w:jc w:val="center"/>
        <w:rPr/>
      </w:pPr>
      <w:r w:rsidDel="00000000" w:rsidR="00000000" w:rsidRPr="00000000">
        <w:rPr>
          <w:rtl w:val="0"/>
        </w:rPr>
        <w:t xml:space="preserve">It is recommended to visit your veterinarian annually, for a complete health exam and to update vaccines. Depending on the vaccine used, and the protocol of your veterinary clinic, the adult vaccine schedule may differ for each cat. Please discuss individual recommendations with your veterinarian. </w:t>
      </w:r>
    </w:p>
    <w:p w:rsidR="00000000" w:rsidDel="00000000" w:rsidP="00000000" w:rsidRDefault="00000000" w:rsidRPr="00000000" w14:paraId="00000011">
      <w:pPr>
        <w:jc w:val="center"/>
        <w:rPr>
          <w:b w:val="1"/>
        </w:rPr>
      </w:pPr>
      <w:r w:rsidDel="00000000" w:rsidR="00000000" w:rsidRPr="00000000">
        <w:rPr>
          <w:b w:val="1"/>
          <w:rtl w:val="0"/>
        </w:rPr>
        <w:t xml:space="preserve">Your kitten/cat will have received vaccinations prior to adoption. Please see the enclosed health record for your cat. </w:t>
      </w:r>
    </w:p>
    <w:p w:rsidR="00000000" w:rsidDel="00000000" w:rsidP="00000000" w:rsidRDefault="00000000" w:rsidRPr="00000000" w14:paraId="00000012">
      <w:pPr>
        <w:jc w:val="center"/>
        <w:rPr>
          <w:b w:val="1"/>
        </w:rPr>
      </w:pPr>
      <w:r w:rsidDel="00000000" w:rsidR="00000000" w:rsidRPr="00000000">
        <w:rPr>
          <w:b w:val="1"/>
          <w:rtl w:val="0"/>
        </w:rPr>
        <w:t xml:space="preserve">All booster appointments have been booked with Earl Grey Veterinary Services prior to adoption. Your appointment is located on your adoption contract. You are responsible for any vaccine booster appointments apart from first vaccinations provided,</w:t>
      </w:r>
      <w:r w:rsidDel="00000000" w:rsidR="00000000" w:rsidRPr="00000000">
        <w:rPr>
          <w:b w:val="1"/>
          <w:u w:val="single"/>
          <w:rtl w:val="0"/>
        </w:rPr>
        <w:t xml:space="preserve"> UNLESS OTHERWISE SPECIFIED</w:t>
      </w:r>
      <w:r w:rsidDel="00000000" w:rsidR="00000000" w:rsidRPr="00000000">
        <w:rPr>
          <w:b w:val="1"/>
          <w:rtl w:val="0"/>
        </w:rPr>
        <w:t xml:space="preserve">. If you would like to use your own vet clinic, please inform Kannata Valley Kats as soon as possible so we may cancel the appointment or use it for another cat. Once you choose your vet, please let us know and we will have your cats records transferred to your vet of choice.</w:t>
      </w:r>
    </w:p>
    <w:p w:rsidR="00000000" w:rsidDel="00000000" w:rsidP="00000000" w:rsidRDefault="00000000" w:rsidRPr="00000000" w14:paraId="00000013">
      <w:pPr>
        <w:rPr/>
      </w:pPr>
      <w:r w:rsidDel="00000000" w:rsidR="00000000" w:rsidRPr="00000000">
        <w:rPr>
          <w:rtl w:val="0"/>
        </w:rPr>
        <w:t xml:space="preserve">Your kitten/cat will have received medication for deworming prior to adoption.  Further deworming will be recommended on an individual basis with your veterinarian, based on the lifestyle of the pet, and the family they live with!</w:t>
      </w:r>
    </w:p>
    <w:p w:rsidR="00000000" w:rsidDel="00000000" w:rsidP="00000000" w:rsidRDefault="00000000" w:rsidRPr="00000000" w14:paraId="00000014">
      <w:pPr>
        <w:rPr/>
      </w:pPr>
      <w:r w:rsidDel="00000000" w:rsidR="00000000" w:rsidRPr="00000000">
        <w:rPr>
          <w:rtl w:val="0"/>
        </w:rPr>
        <w:t xml:space="preserve">Upon adoption, please note that all vaccine boosters and medical appointments become the financial responsibility of the new owner. The cost of spaying/neutering will be covered by Kannata Valley Kats once your kitten/cat is old enough for their procedure (approximately 6 months). Your veterinary clinic may offer you additional treatments at time of surgery, which would be covered by your cost, if you wish to do them. This may include, but is not limited to: pre-anesthetic blood work, intravenous fluid therapy, nail trims, or any medical concerns you may have. </w:t>
      </w:r>
    </w:p>
    <w:p w:rsidR="00000000" w:rsidDel="00000000" w:rsidP="00000000" w:rsidRDefault="00000000" w:rsidRPr="00000000" w14:paraId="00000015">
      <w:pPr>
        <w:rPr>
          <w:b w:val="1"/>
        </w:rPr>
      </w:pPr>
      <w:r w:rsidDel="00000000" w:rsidR="00000000" w:rsidRPr="00000000">
        <w:rPr>
          <w:b w:val="1"/>
          <w:rtl w:val="0"/>
        </w:rPr>
        <w:t xml:space="preserve">Your kitten is currently scheduled for their spay/neuter on _______________________________, at ____________________________________. Please call to confirm </w:t>
      </w:r>
      <w:r w:rsidDel="00000000" w:rsidR="00000000" w:rsidRPr="00000000">
        <w:rPr>
          <w:b w:val="1"/>
          <w:i w:val="1"/>
          <w:rtl w:val="0"/>
        </w:rPr>
        <w:t xml:space="preserve">your</w:t>
      </w:r>
      <w:r w:rsidDel="00000000" w:rsidR="00000000" w:rsidRPr="00000000">
        <w:rPr>
          <w:b w:val="1"/>
          <w:rtl w:val="0"/>
        </w:rPr>
        <w:t xml:space="preserve"> information with the clinic. You must call Earl Grey Veterinary Services 306-939-2264 to confirm any and all appointments listed for your pet. The clinic will set you up a file in your name and attach all records for your new family member going forward.  This saves the clinic valuable time on appointment day, and provides contact information for pre-surgery and post surgery follow ups.</w:t>
      </w:r>
    </w:p>
    <w:p w:rsidR="00000000" w:rsidDel="00000000" w:rsidP="00000000" w:rsidRDefault="00000000" w:rsidRPr="00000000" w14:paraId="00000016">
      <w:pPr>
        <w:rPr>
          <w:b w:val="1"/>
          <w:u w:val="single"/>
        </w:rPr>
      </w:pPr>
      <w:r w:rsidDel="00000000" w:rsidR="00000000" w:rsidRPr="00000000">
        <w:rPr>
          <w:rtl w:val="0"/>
        </w:rPr>
        <w:t xml:space="preserve">Kannata Valley Kats will provide you with a “Passport” for your pet, which will include any previous medical information in regards to your kitten/cat. </w:t>
      </w:r>
      <w:r w:rsidDel="00000000" w:rsidR="00000000" w:rsidRPr="00000000">
        <w:rPr>
          <w:b w:val="1"/>
          <w:u w:val="single"/>
          <w:rtl w:val="0"/>
        </w:rPr>
        <w:t xml:space="preserve">Please bring this to your future veterinary appointments. </w:t>
      </w:r>
    </w:p>
    <w:p w:rsidR="00000000" w:rsidDel="00000000" w:rsidP="00000000" w:rsidRDefault="00000000" w:rsidRPr="00000000" w14:paraId="00000017">
      <w:pPr>
        <w:rPr/>
      </w:pPr>
      <w:r w:rsidDel="00000000" w:rsidR="00000000" w:rsidRPr="00000000">
        <w:rPr>
          <w:rtl w:val="0"/>
        </w:rPr>
        <w:t xml:space="preserve">Tidbits: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kitten diet is recommended until your cat is 1 year of age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Socializing your kitten when they are young is the best way to avoid behavioral troubles as an adult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visits to your veterinarian is the best way to catch illness before it is severe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b w:val="1"/>
          <w:u w:val="single"/>
          <w:rtl w:val="0"/>
        </w:rPr>
        <w:t xml:space="preserve">If you have any questions, please reach out to your Kannata Valley Kats Rescue team member.</w:t>
      </w:r>
      <w:r w:rsidDel="00000000" w:rsidR="00000000" w:rsidRPr="00000000">
        <w:rPr>
          <w:rtl w:val="0"/>
        </w:rPr>
        <w:t xml:space="preserve">     </w:t>
      </w:r>
      <w:r w:rsidDel="00000000" w:rsidR="00000000" w:rsidRPr="00000000">
        <w:rPr/>
        <w:drawing>
          <wp:inline distB="114300" distT="114300" distL="114300" distR="114300">
            <wp:extent cx="1847172" cy="4953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47172" cy="495300"/>
                    </a:xfrm>
                    <a:prstGeom prst="rect"/>
                    <a:ln/>
                  </pic:spPr>
                </pic:pic>
              </a:graphicData>
            </a:graphic>
          </wp:inline>
        </w:drawing>
      </w:r>
      <w:r w:rsidDel="00000000" w:rsidR="00000000" w:rsidRPr="00000000">
        <w:rPr>
          <w:rtl w:val="0"/>
        </w:rPr>
        <w:t xml:space="preserve"> </w:t>
      </w:r>
      <w:r w:rsidDel="00000000" w:rsidR="00000000" w:rsidRPr="00000000">
        <w:rPr>
          <w:b w:val="1"/>
          <w:rtl w:val="0"/>
        </w:rPr>
        <w:t xml:space="preserve"> Phone: 306-939-4446 </w:t>
      </w:r>
      <w:r w:rsidDel="00000000" w:rsidR="00000000" w:rsidRPr="00000000">
        <w:rPr>
          <w:b w:val="1"/>
          <w:sz w:val="14"/>
          <w:szCs w:val="14"/>
          <w:rtl w:val="0"/>
        </w:rPr>
        <w:t xml:space="preserve"> </w:t>
      </w:r>
      <w:r w:rsidDel="00000000" w:rsidR="00000000" w:rsidRPr="00000000">
        <w:rPr>
          <w:sz w:val="14"/>
          <w:szCs w:val="14"/>
          <w:rtl w:val="0"/>
        </w:rPr>
        <w:t xml:space="preserve">109 Assiniboia Avenue  Earl Grey, Sk. S0G 1J</w:t>
      </w:r>
      <w:r w:rsidDel="00000000" w:rsidR="00000000" w:rsidRPr="00000000">
        <w:rPr>
          <w:sz w:val="16"/>
          <w:szCs w:val="16"/>
          <w:rtl w:val="0"/>
        </w:rPr>
        <w:t xml:space="preserve">0</w:t>
      </w:r>
      <w:r w:rsidDel="00000000" w:rsidR="00000000" w:rsidRPr="00000000">
        <w:rPr>
          <w:rtl w:val="0"/>
        </w:rPr>
        <w:t xml:space="preserve">  </w:t>
      </w:r>
      <w:r w:rsidDel="00000000" w:rsidR="00000000" w:rsidRPr="00000000">
        <w:rPr/>
        <w:drawing>
          <wp:inline distB="114300" distT="114300" distL="114300" distR="114300">
            <wp:extent cx="1762125" cy="2477404"/>
            <wp:effectExtent b="0" l="0" r="0" t="0"/>
            <wp:docPr id="3" name="image3.jpg"/>
            <a:graphic>
              <a:graphicData uri="http://schemas.openxmlformats.org/drawingml/2006/picture">
                <pic:pic>
                  <pic:nvPicPr>
                    <pic:cNvPr id="0" name="image3.jpg"/>
                    <pic:cNvPicPr preferRelativeResize="0"/>
                  </pic:nvPicPr>
                  <pic:blipFill>
                    <a:blip r:embed="rId8"/>
                    <a:srcRect b="18915" l="6951" r="7486" t="19399"/>
                    <a:stretch>
                      <a:fillRect/>
                    </a:stretch>
                  </pic:blipFill>
                  <pic:spPr>
                    <a:xfrm>
                      <a:off x="0" y="0"/>
                      <a:ext cx="1762125" cy="2477404"/>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tab/>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Cavea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aveat SemiBo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aveatSemiBold-regular.ttf"/><Relationship Id="rId6" Type="http://schemas.openxmlformats.org/officeDocument/2006/relationships/font" Target="fonts/Caveat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