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1AFF" w:rsidRPr="00311AFF" w:rsidRDefault="00733E3F" w:rsidP="00733E3F">
      <w:pPr>
        <w:spacing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580560" cy="1306326"/>
            <wp:effectExtent l="0" t="0" r="63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GNEKNA.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81869" cy="1307408"/>
                    </a:xfrm>
                    <a:prstGeom prst="rect">
                      <a:avLst/>
                    </a:prstGeom>
                  </pic:spPr>
                </pic:pic>
              </a:graphicData>
            </a:graphic>
          </wp:inline>
        </w:drawing>
      </w:r>
      <w:r w:rsidR="00A043A5">
        <w:rPr>
          <w:rFonts w:ascii="Times New Roman" w:eastAsia="Times New Roman" w:hAnsi="Times New Roman" w:cs="Times New Roman"/>
          <w:sz w:val="24"/>
          <w:szCs w:val="24"/>
        </w:rPr>
        <w:t xml:space="preserve"> </w:t>
      </w:r>
    </w:p>
    <w:p w:rsidR="00311AFF" w:rsidRPr="00311AFF" w:rsidRDefault="00311AFF" w:rsidP="002E2633">
      <w:pPr>
        <w:spacing w:after="0" w:line="240" w:lineRule="auto"/>
        <w:jc w:val="center"/>
        <w:rPr>
          <w:rFonts w:ascii="Times New Roman" w:eastAsia="Times New Roman" w:hAnsi="Times New Roman" w:cs="Times New Roman"/>
          <w:sz w:val="24"/>
          <w:szCs w:val="24"/>
        </w:rPr>
      </w:pPr>
      <w:r w:rsidRPr="00311AFF">
        <w:rPr>
          <w:rFonts w:ascii="Arial" w:eastAsia="Times New Roman" w:hAnsi="Arial" w:cs="Arial"/>
          <w:color w:val="000000"/>
        </w:rPr>
        <w:t>Greater Northeast Keizer Neighborhood Association</w:t>
      </w:r>
    </w:p>
    <w:p w:rsidR="00311AFF" w:rsidRPr="00311AFF" w:rsidRDefault="00311AFF" w:rsidP="002E2633">
      <w:pPr>
        <w:spacing w:after="0" w:line="240" w:lineRule="auto"/>
        <w:jc w:val="center"/>
        <w:rPr>
          <w:rFonts w:ascii="Times New Roman" w:eastAsia="Times New Roman" w:hAnsi="Times New Roman" w:cs="Times New Roman"/>
          <w:sz w:val="24"/>
          <w:szCs w:val="24"/>
        </w:rPr>
      </w:pPr>
    </w:p>
    <w:p w:rsidR="00311AFF" w:rsidRPr="00311AFF" w:rsidRDefault="002E2633" w:rsidP="002E2633">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rPr>
        <w:t xml:space="preserve">gnekna.com </w:t>
      </w:r>
      <w:r w:rsidRPr="00311AFF">
        <w:rPr>
          <w:rFonts w:ascii="Arial" w:eastAsia="Times New Roman" w:hAnsi="Arial" w:cs="Arial"/>
          <w:color w:val="000000"/>
        </w:rPr>
        <w:t>|</w:t>
      </w:r>
      <w:r w:rsidR="00311AFF" w:rsidRPr="00311AFF">
        <w:rPr>
          <w:rFonts w:ascii="Arial" w:eastAsia="Times New Roman" w:hAnsi="Arial" w:cs="Arial"/>
          <w:color w:val="000000"/>
        </w:rPr>
        <w:t xml:space="preserve"> 503-911-1671 | nekna2022@gmail.com</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2E2633" w:rsidP="00311AFF">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TO:</w:t>
      </w:r>
      <w:r w:rsidR="00311AFF" w:rsidRPr="00311AFF">
        <w:rPr>
          <w:rFonts w:ascii="Arial" w:eastAsia="Times New Roman" w:hAnsi="Arial" w:cs="Arial"/>
          <w:color w:val="000000"/>
        </w:rPr>
        <w:t xml:space="preserve"> SKATS Policy Committee</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2E2633" w:rsidP="00311AFF">
      <w:pPr>
        <w:spacing w:after="0" w:line="240" w:lineRule="auto"/>
        <w:rPr>
          <w:rFonts w:ascii="Times New Roman" w:eastAsia="Times New Roman" w:hAnsi="Times New Roman" w:cs="Times New Roman"/>
          <w:sz w:val="24"/>
          <w:szCs w:val="24"/>
        </w:rPr>
      </w:pPr>
      <w:r>
        <w:rPr>
          <w:rFonts w:ascii="Arial" w:eastAsia="Times New Roman" w:hAnsi="Arial" w:cs="Arial"/>
          <w:color w:val="000000"/>
        </w:rPr>
        <w:t xml:space="preserve">FROM: </w:t>
      </w:r>
      <w:r w:rsidR="00311AFF" w:rsidRPr="00311AFF">
        <w:rPr>
          <w:rFonts w:ascii="Arial" w:eastAsia="Times New Roman" w:hAnsi="Arial" w:cs="Arial"/>
          <w:color w:val="000000"/>
        </w:rPr>
        <w:t xml:space="preserve"> Keizer Resident / Community Advocate / GNEKNA</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DA</w:t>
      </w:r>
      <w:r w:rsidR="002E2633">
        <w:rPr>
          <w:rFonts w:ascii="Arial" w:eastAsia="Times New Roman" w:hAnsi="Arial" w:cs="Arial"/>
          <w:color w:val="000000"/>
        </w:rPr>
        <w:t>TE:</w:t>
      </w:r>
      <w:r w:rsidRPr="00311AFF">
        <w:rPr>
          <w:rFonts w:ascii="Arial" w:eastAsia="Times New Roman" w:hAnsi="Arial" w:cs="Arial"/>
          <w:color w:val="000000"/>
        </w:rPr>
        <w:t xml:space="preserve"> June 23, 2026</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SUBJECT Public Comment – Pedestrian Infrastructure, Multi-Use Pathways, HB 4007 Implementation, and SKATS MTSAP Alignment</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Members of the SKATS Policy Committee,</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 xml:space="preserve">I am submitting this formal public comment to address the critical intersection of pedestrian infrastructure, multi-use pathways, and the newly enacted regulatory frameworks established by </w:t>
      </w:r>
      <w:bookmarkStart w:id="0" w:name="_GoBack"/>
      <w:bookmarkEnd w:id="0"/>
      <w:r w:rsidRPr="00311AFF">
        <w:rPr>
          <w:rFonts w:ascii="Arial" w:eastAsia="Times New Roman" w:hAnsi="Arial" w:cs="Arial"/>
          <w:color w:val="000000"/>
        </w:rPr>
        <w:t>the Or</w:t>
      </w:r>
      <w:r w:rsidR="002E2633">
        <w:rPr>
          <w:rFonts w:ascii="Arial" w:eastAsia="Times New Roman" w:hAnsi="Arial" w:cs="Arial"/>
          <w:color w:val="000000"/>
        </w:rPr>
        <w:t xml:space="preserve">egon Legislature’s passage of </w:t>
      </w:r>
      <w:r w:rsidRPr="002E2633">
        <w:rPr>
          <w:rFonts w:ascii="Arial" w:eastAsia="Times New Roman" w:hAnsi="Arial" w:cs="Arial"/>
          <w:b/>
          <w:color w:val="000000"/>
        </w:rPr>
        <w:t>House Bill 4007 (</w:t>
      </w:r>
      <w:r w:rsidR="002E2633" w:rsidRPr="002E2633">
        <w:rPr>
          <w:rFonts w:ascii="Arial" w:eastAsia="Times New Roman" w:hAnsi="Arial" w:cs="Arial"/>
          <w:b/>
          <w:color w:val="000000"/>
        </w:rPr>
        <w:t>2026)</w:t>
      </w:r>
      <w:r w:rsidRPr="00311AFF">
        <w:rPr>
          <w:rFonts w:ascii="Arial" w:eastAsia="Times New Roman" w:hAnsi="Arial" w:cs="Arial"/>
          <w:color w:val="000000"/>
        </w:rPr>
        <w:t>. As the SKATS Policy Committee operationalizes regional funding, we must aggressively align our built environment with state law to protect the most vulnerable users of our transportation network: those who walk and those who rely on mobility devices.</w:t>
      </w:r>
    </w:p>
    <w:p w:rsidR="00311AFF" w:rsidRPr="00311AFF" w:rsidRDefault="00311AFF" w:rsidP="00311AFF">
      <w:pPr>
        <w:spacing w:after="24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 1. The Built Environment: Sidewalk Gaps, Maintenance, and Mobility Equity</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For an individual utilizing a wheelchair, motorized scooter, or walker, an unpaved sidewalk gap or a severe maintenance deficiency is not a minor inconvenience; it is an absolute barrier to movement. When sidewalks terminate abruptly, vulnerable residents are forced into live traffic lanes, a reality that introduces catastrophic safety risks on high-speed urban corridors.</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 Case Study Comparison: Keizer vs. McMinnville</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McMinnville’s Systemic Connectivity and "Complete Streets" Priority:  McMinnville’s Transportation System Plan (TSP) places heavy emphasis on eliminating sidewalk gaps along major transit and school corridors. The city’s framework aggressively maps localized sidewalk deficiencies and links new development ordinances to mandatory sidewalk construction. By treating the pedestrian footprint as a continuous, unbroken network, McMinnville minimizes the geographic disparity that leaves vulnerable populations stranded.</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 xml:space="preserve">Keizer’s Structural </w:t>
      </w:r>
      <w:proofErr w:type="gramStart"/>
      <w:r w:rsidRPr="00311AFF">
        <w:rPr>
          <w:rFonts w:ascii="Arial" w:eastAsia="Times New Roman" w:hAnsi="Arial" w:cs="Arial"/>
          <w:color w:val="000000"/>
        </w:rPr>
        <w:t>Vulnerabilities:*</w:t>
      </w:r>
      <w:proofErr w:type="gramEnd"/>
      <w:r w:rsidRPr="00311AFF">
        <w:rPr>
          <w:rFonts w:ascii="Arial" w:eastAsia="Times New Roman" w:hAnsi="Arial" w:cs="Arial"/>
          <w:color w:val="000000"/>
        </w:rPr>
        <w:t xml:space="preserve">* Keizer's rapid suburban evolution has left significant, disjointed sidewalk gaps along critical collectors and secondary arterials. Furthermore, older </w:t>
      </w:r>
      <w:r w:rsidRPr="00311AFF">
        <w:rPr>
          <w:rFonts w:ascii="Arial" w:eastAsia="Times New Roman" w:hAnsi="Arial" w:cs="Arial"/>
          <w:color w:val="000000"/>
        </w:rPr>
        <w:lastRenderedPageBreak/>
        <w:t xml:space="preserve">segments of our sidewalk network suffer from root intrusion, buckling, and non-ADA-compliant curb ramps. In a suburban landscape where distances between destinations are already vast, these physical gaps isolate senior residents and individuals with disabilities within small neighborhood pockets, preventing safe, independent access to essential transit stops along major corridors like </w:t>
      </w:r>
      <w:r w:rsidRPr="00311AFF">
        <w:rPr>
          <w:rFonts w:ascii="Arial" w:eastAsia="Times New Roman" w:hAnsi="Arial" w:cs="Arial"/>
          <w:b/>
          <w:bCs/>
          <w:color w:val="000000"/>
        </w:rPr>
        <w:t>River Road N.</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 2. Shared Spaces and the New Realities of House Bill 4007 (2026)</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 xml:space="preserve">The passage of HB 4007 radically transforms how Oregon handles </w:t>
      </w:r>
      <w:proofErr w:type="spellStart"/>
      <w:r w:rsidRPr="00311AFF">
        <w:rPr>
          <w:rFonts w:ascii="Arial" w:eastAsia="Times New Roman" w:hAnsi="Arial" w:cs="Arial"/>
          <w:color w:val="000000"/>
        </w:rPr>
        <w:t>micromobility</w:t>
      </w:r>
      <w:proofErr w:type="spellEnd"/>
      <w:r w:rsidRPr="00311AFF">
        <w:rPr>
          <w:rFonts w:ascii="Arial" w:eastAsia="Times New Roman" w:hAnsi="Arial" w:cs="Arial"/>
          <w:color w:val="000000"/>
        </w:rPr>
        <w:t xml:space="preserve">, establishing statutory tools that local jurisdictions must use to safeguard pedestrians. For the first time, state law defines a **"powered </w:t>
      </w:r>
      <w:proofErr w:type="spellStart"/>
      <w:r w:rsidRPr="00311AFF">
        <w:rPr>
          <w:rFonts w:ascii="Arial" w:eastAsia="Times New Roman" w:hAnsi="Arial" w:cs="Arial"/>
          <w:color w:val="000000"/>
        </w:rPr>
        <w:t>micromobility</w:t>
      </w:r>
      <w:proofErr w:type="spellEnd"/>
      <w:r w:rsidRPr="00311AFF">
        <w:rPr>
          <w:rFonts w:ascii="Arial" w:eastAsia="Times New Roman" w:hAnsi="Arial" w:cs="Arial"/>
          <w:color w:val="000000"/>
        </w:rPr>
        <w:t xml:space="preserve"> device"** (under 100 </w:t>
      </w:r>
      <w:proofErr w:type="spellStart"/>
      <w:r w:rsidRPr="00311AFF">
        <w:rPr>
          <w:rFonts w:ascii="Arial" w:eastAsia="Times New Roman" w:hAnsi="Arial" w:cs="Arial"/>
          <w:color w:val="000000"/>
        </w:rPr>
        <w:t>lbs</w:t>
      </w:r>
      <w:proofErr w:type="spellEnd"/>
      <w:r w:rsidRPr="00311AFF">
        <w:rPr>
          <w:rFonts w:ascii="Arial" w:eastAsia="Times New Roman" w:hAnsi="Arial" w:cs="Arial"/>
          <w:color w:val="000000"/>
        </w:rPr>
        <w:t>, max speed of 28 mph, covering e-scooters, e-skateboards, and one-wheels) and explicitly updates the rules of the road:</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The Age Shift: HB 4007 lowers the legal operating age for Class 1 e-bikes (pedal-assist only, 20 mph max speed) from 16 to 14 years old. This necessary shift empowers younger students to leverage safe, active transportation, but it dramatically increases the volume of lightweight, motorized vehicles navigating our school zones and neighborhood corridors.</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The Ban on Impostor "</w:t>
      </w:r>
      <w:proofErr w:type="spellStart"/>
      <w:r w:rsidRPr="00311AFF">
        <w:rPr>
          <w:rFonts w:ascii="Arial" w:eastAsia="Times New Roman" w:hAnsi="Arial" w:cs="Arial"/>
          <w:color w:val="000000"/>
        </w:rPr>
        <w:t>E-Mot</w:t>
      </w:r>
      <w:proofErr w:type="spellEnd"/>
      <w:r w:rsidRPr="00311AFF">
        <w:rPr>
          <w:rFonts w:ascii="Arial" w:eastAsia="Times New Roman" w:hAnsi="Arial" w:cs="Arial"/>
          <w:color w:val="000000"/>
        </w:rPr>
        <w:t>os</w:t>
      </w:r>
      <w:proofErr w:type="gramStart"/>
      <w:r w:rsidRPr="00311AFF">
        <w:rPr>
          <w:rFonts w:ascii="Arial" w:eastAsia="Times New Roman" w:hAnsi="Arial" w:cs="Arial"/>
          <w:color w:val="000000"/>
        </w:rPr>
        <w:t>":The</w:t>
      </w:r>
      <w:proofErr w:type="gramEnd"/>
      <w:r w:rsidRPr="00311AFF">
        <w:rPr>
          <w:rFonts w:ascii="Arial" w:eastAsia="Times New Roman" w:hAnsi="Arial" w:cs="Arial"/>
          <w:color w:val="000000"/>
        </w:rPr>
        <w:t xml:space="preserve"> bill explicitly targets the "scourge of e-motorcycles" deceptively marketed to youth as e-bikes. It is now illegal for retailers to sell vehicles exceeding 28 mph (or 20 mph with a throttle) as e-bikes or </w:t>
      </w:r>
      <w:proofErr w:type="spellStart"/>
      <w:r w:rsidRPr="00311AFF">
        <w:rPr>
          <w:rFonts w:ascii="Arial" w:eastAsia="Times New Roman" w:hAnsi="Arial" w:cs="Arial"/>
          <w:color w:val="000000"/>
        </w:rPr>
        <w:t>micromobility</w:t>
      </w:r>
      <w:proofErr w:type="spellEnd"/>
      <w:r w:rsidRPr="00311AFF">
        <w:rPr>
          <w:rFonts w:ascii="Arial" w:eastAsia="Times New Roman" w:hAnsi="Arial" w:cs="Arial"/>
          <w:color w:val="000000"/>
        </w:rPr>
        <w:t xml:space="preserve"> devices.</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 xml:space="preserve">Sidewalk Protection &amp; Local Authority: Under statutory default (ORS 814.410), e-bikes remain strictly prohibited on public sidewalks. Critically, **HB 4007 expands local authority**, explicitly granting cities the power to prohibit or regulate the time, place, and manner of "powered </w:t>
      </w:r>
      <w:proofErr w:type="spellStart"/>
      <w:r w:rsidRPr="00311AFF">
        <w:rPr>
          <w:rFonts w:ascii="Arial" w:eastAsia="Times New Roman" w:hAnsi="Arial" w:cs="Arial"/>
          <w:color w:val="000000"/>
        </w:rPr>
        <w:t>micromobility</w:t>
      </w:r>
      <w:proofErr w:type="spellEnd"/>
      <w:r w:rsidRPr="00311AFF">
        <w:rPr>
          <w:rFonts w:ascii="Arial" w:eastAsia="Times New Roman" w:hAnsi="Arial" w:cs="Arial"/>
          <w:color w:val="000000"/>
        </w:rPr>
        <w:t xml:space="preserve"> devices" on sidewalk networks and multi-use paths via local ordinance and traffic control devices.</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 At-a-Glance: Infrastructure and Shared-Space Dynamics</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 Evaluation Metric | Keizer Dynamics | McMinnville Dynamics | Community Safety &amp; Livability Impact |</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Sidewalk Network Integrity; Segmented by historical suburban gaps; localized maintenance issues (buckling, narrow paths) create barriers for mobility devices. | Aggressively managed through a dedicated Pedestrian System Plan aiming to eliminate the remaining 19 miles of urban gaps.</w:t>
      </w: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 xml:space="preserve">Mobility </w:t>
      </w:r>
      <w:proofErr w:type="gramStart"/>
      <w:r w:rsidRPr="00311AFF">
        <w:rPr>
          <w:rFonts w:ascii="Arial" w:eastAsia="Times New Roman" w:hAnsi="Arial" w:cs="Arial"/>
          <w:color w:val="000000"/>
        </w:rPr>
        <w:t>Equity :Continuous</w:t>
      </w:r>
      <w:proofErr w:type="gramEnd"/>
      <w:r w:rsidRPr="00311AFF">
        <w:rPr>
          <w:rFonts w:ascii="Arial" w:eastAsia="Times New Roman" w:hAnsi="Arial" w:cs="Arial"/>
          <w:color w:val="000000"/>
        </w:rPr>
        <w:t xml:space="preserve"> networks allow individuals using wheelchairs or walkers to access transit independently; fractured networks force them into traffic or isolation. </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Multi-Use Pathway Presence: Heavily reliant on internal park paths or isolated segments, lacking a continuous, interconnected regional grid. | Utilizes dedicated greenways (e.g., Southwest Greenway) functioning as linear paths that connect distinct residential neighborhoods. </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Active Transportation: Interconnected paths encourage multi-generational recreation, while isolated paths limit alternative commuting options. |</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lastRenderedPageBreak/>
        <w:t xml:space="preserve">Micromobility &amp; HB 4007 Execution:  High rates of illegal sidewalk riding due to wide layouts on primary arterials like Cherry Avenue. Urgent need to implement local ordinances to regulate "powered </w:t>
      </w:r>
      <w:proofErr w:type="spellStart"/>
      <w:r w:rsidRPr="00311AFF">
        <w:rPr>
          <w:rFonts w:ascii="Arial" w:eastAsia="Times New Roman" w:hAnsi="Arial" w:cs="Arial"/>
          <w:color w:val="000000"/>
        </w:rPr>
        <w:t>micromobility</w:t>
      </w:r>
      <w:proofErr w:type="spellEnd"/>
      <w:r w:rsidRPr="00311AFF">
        <w:rPr>
          <w:rFonts w:ascii="Arial" w:eastAsia="Times New Roman" w:hAnsi="Arial" w:cs="Arial"/>
          <w:color w:val="000000"/>
        </w:rPr>
        <w:t xml:space="preserve">" on walking paths.  Focuses on narrowing vehicle lanes and adding buffered bike lanes on street overhauls to keep higher-speed </w:t>
      </w:r>
      <w:proofErr w:type="spellStart"/>
      <w:r w:rsidRPr="00311AFF">
        <w:rPr>
          <w:rFonts w:ascii="Arial" w:eastAsia="Times New Roman" w:hAnsi="Arial" w:cs="Arial"/>
          <w:color w:val="000000"/>
        </w:rPr>
        <w:t>micromobility</w:t>
      </w:r>
      <w:proofErr w:type="spellEnd"/>
      <w:r w:rsidRPr="00311AFF">
        <w:rPr>
          <w:rFonts w:ascii="Arial" w:eastAsia="Times New Roman" w:hAnsi="Arial" w:cs="Arial"/>
          <w:color w:val="000000"/>
        </w:rPr>
        <w:t xml:space="preserve"> entirely off </w:t>
      </w:r>
      <w:proofErr w:type="gramStart"/>
      <w:r w:rsidRPr="00311AFF">
        <w:rPr>
          <w:rFonts w:ascii="Arial" w:eastAsia="Times New Roman" w:hAnsi="Arial" w:cs="Arial"/>
          <w:color w:val="000000"/>
        </w:rPr>
        <w:t>sidewalks..</w:t>
      </w:r>
      <w:proofErr w:type="gramEnd"/>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 xml:space="preserve"> Pedestrian </w:t>
      </w:r>
      <w:proofErr w:type="spellStart"/>
      <w:proofErr w:type="gramStart"/>
      <w:r w:rsidRPr="00311AFF">
        <w:rPr>
          <w:rFonts w:ascii="Arial" w:eastAsia="Times New Roman" w:hAnsi="Arial" w:cs="Arial"/>
          <w:color w:val="000000"/>
        </w:rPr>
        <w:t>Sanctuary:When</w:t>
      </w:r>
      <w:proofErr w:type="spellEnd"/>
      <w:proofErr w:type="gramEnd"/>
      <w:r w:rsidRPr="00311AFF">
        <w:rPr>
          <w:rFonts w:ascii="Arial" w:eastAsia="Times New Roman" w:hAnsi="Arial" w:cs="Arial"/>
          <w:color w:val="000000"/>
        </w:rPr>
        <w:t xml:space="preserve"> high-speed devices are pushed onto sidewalks due to hostile roads, the sidewalk ceases to be a safe haven for walkers, older adults, and disabled residents. </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 3. Direct Application to the SKATS Regional Framework</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These localized infrastructure gaps and newly updated state laws tie directly into the core execution of the SKATS Metropolitan Transportation Safety Action Plan (MTSAP). To achieve our Vision Zero targets and manage the influx of younger 14-to-15-year-old e-bike riders, the SKATS Policy Committee must leverage regional funding allocations across three pillars:</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Targeting the Sidewalk Gap Analysis: SKATS must operationalize its sidewalk gap database to direct federal funding (such as Surface Transportation Block Grant and Safe Streets for All dollars) toward filling physical gaps that intersect with the High-Injury Network (HIN). Sidewalk gaps on Keizer's major arterials must be prioritized because they force pedestrians and rollers to choose between a hostile street or illegal sidewalk riding.</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 xml:space="preserve">Funding Geometric Separation on Multi-Use Paths: When </w:t>
      </w:r>
      <w:r w:rsidRPr="00311AFF">
        <w:rPr>
          <w:rFonts w:ascii="Arial" w:eastAsia="Times New Roman" w:hAnsi="Arial" w:cs="Arial"/>
          <w:b/>
          <w:bCs/>
          <w:color w:val="000000"/>
        </w:rPr>
        <w:t>SKATS</w:t>
      </w:r>
      <w:r w:rsidRPr="00311AFF">
        <w:rPr>
          <w:rFonts w:ascii="Arial" w:eastAsia="Times New Roman" w:hAnsi="Arial" w:cs="Arial"/>
          <w:color w:val="000000"/>
        </w:rPr>
        <w:t xml:space="preserve"> reviews and funds regional multi-use pathways, it must reject outdated, narrow designs. To safely accommodate the expansion of lawful </w:t>
      </w:r>
      <w:r w:rsidRPr="00311AFF">
        <w:rPr>
          <w:rFonts w:ascii="Arial" w:eastAsia="Times New Roman" w:hAnsi="Arial" w:cs="Arial"/>
          <w:color w:val="000000"/>
          <w:u w:val="single"/>
        </w:rPr>
        <w:t>Class 1 e-bike</w:t>
      </w:r>
      <w:r w:rsidRPr="00311AFF">
        <w:rPr>
          <w:rFonts w:ascii="Arial" w:eastAsia="Times New Roman" w:hAnsi="Arial" w:cs="Arial"/>
          <w:color w:val="000000"/>
        </w:rPr>
        <w:t xml:space="preserve">s and newly defined powered </w:t>
      </w:r>
      <w:proofErr w:type="spellStart"/>
      <w:r w:rsidRPr="00311AFF">
        <w:rPr>
          <w:rFonts w:ascii="Arial" w:eastAsia="Times New Roman" w:hAnsi="Arial" w:cs="Arial"/>
          <w:color w:val="000000"/>
        </w:rPr>
        <w:t>micromobility</w:t>
      </w:r>
      <w:proofErr w:type="spellEnd"/>
      <w:r w:rsidRPr="00311AFF">
        <w:rPr>
          <w:rFonts w:ascii="Arial" w:eastAsia="Times New Roman" w:hAnsi="Arial" w:cs="Arial"/>
          <w:color w:val="000000"/>
        </w:rPr>
        <w:t xml:space="preserve"> devices, regional funding should be contingent on pathways being wide enough (minimum 11 to 12 feet) to provide clear physical or visual separation between high-speed </w:t>
      </w:r>
      <w:proofErr w:type="spellStart"/>
      <w:r w:rsidRPr="00311AFF">
        <w:rPr>
          <w:rFonts w:ascii="Arial" w:eastAsia="Times New Roman" w:hAnsi="Arial" w:cs="Arial"/>
          <w:color w:val="000000"/>
        </w:rPr>
        <w:t>micromobility</w:t>
      </w:r>
      <w:proofErr w:type="spellEnd"/>
      <w:r w:rsidRPr="00311AFF">
        <w:rPr>
          <w:rFonts w:ascii="Arial" w:eastAsia="Times New Roman" w:hAnsi="Arial" w:cs="Arial"/>
          <w:color w:val="000000"/>
        </w:rPr>
        <w:t xml:space="preserve"> and low-speed pedestrians/mobility devices.</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 xml:space="preserve">Supporting Local Ordinance Infrastructure: SKATS should support grant requests from member cities like Keizer for the engineering and installation of clear regulatory traffic control devices (signage, pavement markings) enabled by </w:t>
      </w:r>
      <w:r w:rsidRPr="00311AFF">
        <w:rPr>
          <w:rFonts w:ascii="Arial" w:eastAsia="Times New Roman" w:hAnsi="Arial" w:cs="Arial"/>
          <w:b/>
          <w:bCs/>
          <w:color w:val="000000"/>
          <w:u w:val="single"/>
        </w:rPr>
        <w:t>HB 4007</w:t>
      </w:r>
      <w:r w:rsidRPr="00311AFF">
        <w:rPr>
          <w:rFonts w:ascii="Arial" w:eastAsia="Times New Roman" w:hAnsi="Arial" w:cs="Arial"/>
          <w:color w:val="000000"/>
        </w:rPr>
        <w:t xml:space="preserve"> to explicitly dictate where powered </w:t>
      </w:r>
      <w:proofErr w:type="spellStart"/>
      <w:r w:rsidRPr="00311AFF">
        <w:rPr>
          <w:rFonts w:ascii="Arial" w:eastAsia="Times New Roman" w:hAnsi="Arial" w:cs="Arial"/>
          <w:color w:val="000000"/>
        </w:rPr>
        <w:t>micromobility</w:t>
      </w:r>
      <w:proofErr w:type="spellEnd"/>
      <w:r w:rsidRPr="00311AFF">
        <w:rPr>
          <w:rFonts w:ascii="Arial" w:eastAsia="Times New Roman" w:hAnsi="Arial" w:cs="Arial"/>
          <w:color w:val="000000"/>
        </w:rPr>
        <w:t xml:space="preserve"> can and cannot operate.</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Conclusion</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A community’s livability can be measured by the safety and independence of its most vulnerable residents. HB 4007 provides us with the legal definitions to curb dangerous, high-speed vehicle marketing and gives local jurisdictions the authority to protect walking spaces. However, state policy is only as effective as the regional infrastructure that supports it.</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 xml:space="preserve">I urge the SKATS Policy Committee to look at the complete-network strategies utilized in neighboring jurisdictions like McMinnville and use localized data to route funding exactly where it is needed most. We must prioritize funding for projects that close high-risk sidewalk gaps, rehabilitate failing pedestrian infrastructure, and design multi-use pathways that safely balance emerging </w:t>
      </w:r>
      <w:proofErr w:type="spellStart"/>
      <w:r w:rsidRPr="00311AFF">
        <w:rPr>
          <w:rFonts w:ascii="Arial" w:eastAsia="Times New Roman" w:hAnsi="Arial" w:cs="Arial"/>
          <w:color w:val="000000"/>
        </w:rPr>
        <w:t>micromobility</w:t>
      </w:r>
      <w:proofErr w:type="spellEnd"/>
      <w:r w:rsidRPr="00311AFF">
        <w:rPr>
          <w:rFonts w:ascii="Arial" w:eastAsia="Times New Roman" w:hAnsi="Arial" w:cs="Arial"/>
          <w:color w:val="000000"/>
        </w:rPr>
        <w:t xml:space="preserve"> with human-scale walking and rolling.</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Thank you for your continued dedication to engineering a safe, equitable, and accessible regional network.</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lastRenderedPageBreak/>
        <w:t>Sincerely,</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Tammy Kunz</w:t>
      </w:r>
    </w:p>
    <w:p w:rsidR="00311AFF" w:rsidRPr="00311AFF" w:rsidRDefault="00311AFF" w:rsidP="00311AFF">
      <w:pPr>
        <w:spacing w:after="0" w:line="240" w:lineRule="auto"/>
        <w:rPr>
          <w:rFonts w:ascii="Times New Roman" w:eastAsia="Times New Roman" w:hAnsi="Times New Roman" w:cs="Times New Roman"/>
          <w:sz w:val="24"/>
          <w:szCs w:val="24"/>
        </w:rPr>
      </w:pPr>
    </w:p>
    <w:p w:rsidR="00311AFF" w:rsidRPr="00311AFF" w:rsidRDefault="00311AFF" w:rsidP="00311AFF">
      <w:pPr>
        <w:spacing w:after="0" w:line="240" w:lineRule="auto"/>
        <w:rPr>
          <w:rFonts w:ascii="Times New Roman" w:eastAsia="Times New Roman" w:hAnsi="Times New Roman" w:cs="Times New Roman"/>
          <w:sz w:val="24"/>
          <w:szCs w:val="24"/>
        </w:rPr>
      </w:pPr>
      <w:r w:rsidRPr="00311AFF">
        <w:rPr>
          <w:rFonts w:ascii="Arial" w:eastAsia="Times New Roman" w:hAnsi="Arial" w:cs="Arial"/>
          <w:color w:val="000000"/>
        </w:rPr>
        <w:t>President, Greater Northeast Keizer Neighborhood Association</w:t>
      </w:r>
    </w:p>
    <w:p w:rsidR="00311AFF" w:rsidRDefault="00311AFF"/>
    <w:sectPr w:rsidR="00311A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AFF"/>
    <w:rsid w:val="00010927"/>
    <w:rsid w:val="002E2633"/>
    <w:rsid w:val="00311AFF"/>
    <w:rsid w:val="00316C23"/>
    <w:rsid w:val="00733E3F"/>
    <w:rsid w:val="009A367C"/>
    <w:rsid w:val="00A04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25232"/>
  <w15:chartTrackingRefBased/>
  <w15:docId w15:val="{B8ACB31B-7CEA-429D-96B9-AA6726EFE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11AF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797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2882</TotalTime>
  <Pages>1</Pages>
  <Words>1226</Words>
  <Characters>6992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Kunz</dc:creator>
  <cp:keywords/>
  <dc:description/>
  <cp:lastModifiedBy>Tammy Kunz</cp:lastModifiedBy>
  <cp:revision>4</cp:revision>
  <dcterms:created xsi:type="dcterms:W3CDTF">2026-06-24T20:03:00Z</dcterms:created>
  <dcterms:modified xsi:type="dcterms:W3CDTF">2026-06-26T23:39:00Z</dcterms:modified>
</cp:coreProperties>
</file>