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32CF" w14:textId="77777777" w:rsidR="00C71354" w:rsidRDefault="00C71354" w:rsidP="00C71354">
      <w:pPr>
        <w:rPr>
          <w:rFonts w:ascii="Arial" w:hAnsi="Arial" w:cs="Arial"/>
        </w:rPr>
      </w:pPr>
    </w:p>
    <w:p w14:paraId="3CC3CD2B" w14:textId="587ED04F" w:rsidR="00C71354" w:rsidRPr="00C71354" w:rsidRDefault="00C71354" w:rsidP="00C71354">
      <w:pPr>
        <w:rPr>
          <w:rFonts w:ascii="Arial" w:hAnsi="Arial" w:cs="Arial"/>
          <w:b/>
          <w:bCs/>
        </w:rPr>
      </w:pPr>
      <w:r w:rsidRPr="00C71354">
        <w:rPr>
          <w:rFonts w:ascii="Arial" w:hAnsi="Arial" w:cs="Arial"/>
          <w:b/>
          <w:bCs/>
          <w:sz w:val="32"/>
          <w:szCs w:val="32"/>
        </w:rPr>
        <w:t>Pathway To Potential - Conflict</w:t>
      </w:r>
      <w:r w:rsidRPr="00C71354">
        <w:rPr>
          <w:rFonts w:ascii="Arial" w:hAnsi="Arial" w:cs="Arial"/>
          <w:b/>
          <w:bCs/>
          <w:sz w:val="32"/>
          <w:szCs w:val="32"/>
        </w:rPr>
        <w:t xml:space="preserve"> of Interest Policy</w:t>
      </w:r>
    </w:p>
    <w:p w14:paraId="3EA2B0C1" w14:textId="77777777" w:rsidR="00C71354" w:rsidRPr="00C71354" w:rsidRDefault="00C71354" w:rsidP="00C71354">
      <w:pPr>
        <w:rPr>
          <w:rFonts w:ascii="Arial" w:hAnsi="Arial" w:cs="Arial"/>
        </w:rPr>
      </w:pPr>
    </w:p>
    <w:p w14:paraId="0263B68E" w14:textId="77777777" w:rsidR="00C71354" w:rsidRPr="00C71354" w:rsidRDefault="00C71354" w:rsidP="00C71354">
      <w:pPr>
        <w:rPr>
          <w:rFonts w:ascii="Arial" w:hAnsi="Arial" w:cs="Arial"/>
          <w:b/>
          <w:bCs/>
        </w:rPr>
      </w:pPr>
      <w:r w:rsidRPr="00C71354">
        <w:rPr>
          <w:rFonts w:ascii="Arial" w:hAnsi="Arial" w:cs="Arial"/>
          <w:b/>
          <w:bCs/>
        </w:rPr>
        <w:t>1. Purpose</w:t>
      </w:r>
    </w:p>
    <w:p w14:paraId="465F2247" w14:textId="77777777" w:rsidR="00C71354" w:rsidRPr="00C71354" w:rsidRDefault="00C71354" w:rsidP="00C71354">
      <w:pPr>
        <w:rPr>
          <w:rFonts w:ascii="Arial" w:hAnsi="Arial" w:cs="Arial"/>
        </w:rPr>
      </w:pPr>
    </w:p>
    <w:p w14:paraId="4AB2DC94" w14:textId="3725E61B" w:rsidR="00C71354" w:rsidRPr="00C71354" w:rsidRDefault="00C71354" w:rsidP="00C71354">
      <w:pPr>
        <w:rPr>
          <w:rFonts w:ascii="Arial" w:hAnsi="Arial" w:cs="Arial"/>
        </w:rPr>
      </w:pPr>
      <w:r w:rsidRPr="00C71354">
        <w:rPr>
          <w:rFonts w:ascii="Arial" w:hAnsi="Arial" w:cs="Arial"/>
        </w:rPr>
        <w:t xml:space="preserve">The purpose of this </w:t>
      </w:r>
      <w:r w:rsidR="005537F3" w:rsidRPr="00C71354">
        <w:rPr>
          <w:rFonts w:ascii="Arial" w:hAnsi="Arial" w:cs="Arial"/>
        </w:rPr>
        <w:t>Conflict-of-Interest</w:t>
      </w:r>
      <w:r w:rsidRPr="00C71354">
        <w:rPr>
          <w:rFonts w:ascii="Arial" w:hAnsi="Arial" w:cs="Arial"/>
        </w:rPr>
        <w:t xml:space="preserve"> Policy is to outline guidelines and procedures for identifying, disclosing, and addressing conflicts of interest within</w:t>
      </w:r>
      <w:r w:rsidR="005537F3" w:rsidRPr="005537F3">
        <w:rPr>
          <w:rFonts w:ascii="Arial" w:hAnsi="Arial" w:cs="Arial"/>
        </w:rPr>
        <w:t xml:space="preserve"> </w:t>
      </w:r>
      <w:r w:rsidR="005537F3" w:rsidRPr="00C71354">
        <w:rPr>
          <w:rFonts w:ascii="Arial" w:hAnsi="Arial" w:cs="Arial"/>
        </w:rPr>
        <w:t xml:space="preserve">Pathway </w:t>
      </w:r>
      <w:proofErr w:type="gramStart"/>
      <w:r w:rsidR="005537F3" w:rsidRPr="00C71354">
        <w:rPr>
          <w:rFonts w:ascii="Arial" w:hAnsi="Arial" w:cs="Arial"/>
        </w:rPr>
        <w:t>To</w:t>
      </w:r>
      <w:proofErr w:type="gramEnd"/>
      <w:r w:rsidR="005537F3" w:rsidRPr="00C71354">
        <w:rPr>
          <w:rFonts w:ascii="Arial" w:hAnsi="Arial" w:cs="Arial"/>
        </w:rPr>
        <w:t xml:space="preserve"> Potential </w:t>
      </w:r>
      <w:r w:rsidRPr="00C71354">
        <w:rPr>
          <w:rFonts w:ascii="Arial" w:hAnsi="Arial" w:cs="Arial"/>
        </w:rPr>
        <w:t>among employees, contractors, and volunteers involved in disability support services. This policy aims to ensure that all decisions and actions are made in the best interests of individuals with disabilities.</w:t>
      </w:r>
    </w:p>
    <w:p w14:paraId="4AC501FE" w14:textId="77777777" w:rsidR="00C71354" w:rsidRPr="00C71354" w:rsidRDefault="00C71354" w:rsidP="00C71354">
      <w:pPr>
        <w:rPr>
          <w:rFonts w:ascii="Arial" w:hAnsi="Arial" w:cs="Arial"/>
        </w:rPr>
      </w:pPr>
    </w:p>
    <w:p w14:paraId="02EA3A27" w14:textId="77777777" w:rsidR="00C71354" w:rsidRPr="00C71354" w:rsidRDefault="00C71354" w:rsidP="00C71354">
      <w:pPr>
        <w:rPr>
          <w:rFonts w:ascii="Arial" w:hAnsi="Arial" w:cs="Arial"/>
          <w:b/>
          <w:bCs/>
        </w:rPr>
      </w:pPr>
      <w:r w:rsidRPr="00C71354">
        <w:rPr>
          <w:rFonts w:ascii="Arial" w:hAnsi="Arial" w:cs="Arial"/>
          <w:b/>
          <w:bCs/>
        </w:rPr>
        <w:t>2. Definition of Conflict of Interest</w:t>
      </w:r>
    </w:p>
    <w:p w14:paraId="6EC5AB94" w14:textId="77777777" w:rsidR="00C71354" w:rsidRPr="00C71354" w:rsidRDefault="00C71354" w:rsidP="00C71354">
      <w:pPr>
        <w:rPr>
          <w:rFonts w:ascii="Arial" w:hAnsi="Arial" w:cs="Arial"/>
        </w:rPr>
      </w:pPr>
    </w:p>
    <w:p w14:paraId="2AA42B05" w14:textId="5DABEF54" w:rsidR="00C71354" w:rsidRPr="00C71354" w:rsidRDefault="00C71354" w:rsidP="00C71354">
      <w:pPr>
        <w:rPr>
          <w:rFonts w:ascii="Arial" w:hAnsi="Arial" w:cs="Arial"/>
        </w:rPr>
      </w:pPr>
      <w:r w:rsidRPr="00C71354">
        <w:rPr>
          <w:rFonts w:ascii="Arial" w:hAnsi="Arial" w:cs="Arial"/>
        </w:rPr>
        <w:t xml:space="preserve">A conflict of interest arises when an individual's personal interests, financial or otherwise, have the potential to influence their professional judgment or decision-making in a manner that may be detrimental to the individuals with disabilities we support or to the reputation and mission of </w:t>
      </w:r>
      <w:r w:rsidR="005537F3" w:rsidRPr="00C71354">
        <w:rPr>
          <w:rFonts w:ascii="Arial" w:hAnsi="Arial" w:cs="Arial"/>
        </w:rPr>
        <w:t>Pathway To Potential</w:t>
      </w:r>
      <w:r w:rsidR="005537F3">
        <w:rPr>
          <w:rFonts w:ascii="Arial" w:hAnsi="Arial" w:cs="Arial"/>
        </w:rPr>
        <w:t>.</w:t>
      </w:r>
    </w:p>
    <w:p w14:paraId="0860D51A" w14:textId="77777777" w:rsidR="005537F3" w:rsidRDefault="005537F3" w:rsidP="00C71354">
      <w:pPr>
        <w:rPr>
          <w:rFonts w:ascii="Arial" w:hAnsi="Arial" w:cs="Arial"/>
          <w:b/>
          <w:bCs/>
        </w:rPr>
      </w:pPr>
    </w:p>
    <w:p w14:paraId="771315F6" w14:textId="28095078" w:rsidR="00C71354" w:rsidRPr="00C71354" w:rsidRDefault="00C71354" w:rsidP="00C71354">
      <w:pPr>
        <w:rPr>
          <w:rFonts w:ascii="Arial" w:hAnsi="Arial" w:cs="Arial"/>
          <w:b/>
          <w:bCs/>
        </w:rPr>
      </w:pPr>
      <w:r w:rsidRPr="00C71354">
        <w:rPr>
          <w:rFonts w:ascii="Arial" w:hAnsi="Arial" w:cs="Arial"/>
          <w:b/>
          <w:bCs/>
        </w:rPr>
        <w:t>3. Disclosure Obligations</w:t>
      </w:r>
    </w:p>
    <w:p w14:paraId="323E7295" w14:textId="77777777" w:rsidR="00C71354" w:rsidRPr="00C71354" w:rsidRDefault="00C71354" w:rsidP="00C71354">
      <w:pPr>
        <w:rPr>
          <w:rFonts w:ascii="Arial" w:hAnsi="Arial" w:cs="Arial"/>
        </w:rPr>
      </w:pPr>
    </w:p>
    <w:p w14:paraId="20BE8D7B" w14:textId="0CF2F4FA" w:rsidR="00C71354" w:rsidRPr="00C71354" w:rsidRDefault="00C71354" w:rsidP="00C71354">
      <w:pPr>
        <w:rPr>
          <w:rFonts w:ascii="Arial" w:hAnsi="Arial" w:cs="Arial"/>
        </w:rPr>
      </w:pPr>
      <w:r w:rsidRPr="00C71354">
        <w:rPr>
          <w:rFonts w:ascii="Arial" w:hAnsi="Arial" w:cs="Arial"/>
        </w:rPr>
        <w:t xml:space="preserve">All employees, contractors, and volunteers involved in disability support are required to disclose any actual or potential conflicts of interest to their supervisor, manager, or the designated conflict of interest officer within </w:t>
      </w:r>
      <w:r w:rsidR="005537F3" w:rsidRPr="00C71354">
        <w:rPr>
          <w:rFonts w:ascii="Arial" w:hAnsi="Arial" w:cs="Arial"/>
        </w:rPr>
        <w:t>Pathway To Potential</w:t>
      </w:r>
      <w:r w:rsidR="005537F3">
        <w:rPr>
          <w:rFonts w:ascii="Arial" w:hAnsi="Arial" w:cs="Arial"/>
        </w:rPr>
        <w:t>.</w:t>
      </w:r>
    </w:p>
    <w:p w14:paraId="494668DF" w14:textId="77777777" w:rsidR="00C71354" w:rsidRPr="00C71354" w:rsidRDefault="00C71354" w:rsidP="00C71354">
      <w:pPr>
        <w:rPr>
          <w:rFonts w:ascii="Arial" w:hAnsi="Arial" w:cs="Arial"/>
        </w:rPr>
      </w:pPr>
    </w:p>
    <w:p w14:paraId="2D320DE7" w14:textId="77777777" w:rsidR="00C71354" w:rsidRPr="00C71354" w:rsidRDefault="00C71354" w:rsidP="00C71354">
      <w:pPr>
        <w:rPr>
          <w:rFonts w:ascii="Arial" w:hAnsi="Arial" w:cs="Arial"/>
          <w:b/>
          <w:bCs/>
        </w:rPr>
      </w:pPr>
      <w:r w:rsidRPr="00C71354">
        <w:rPr>
          <w:rFonts w:ascii="Arial" w:hAnsi="Arial" w:cs="Arial"/>
          <w:b/>
          <w:bCs/>
        </w:rPr>
        <w:t>4. Examples of Conflicts of Interest</w:t>
      </w:r>
    </w:p>
    <w:p w14:paraId="744C170E" w14:textId="77777777" w:rsidR="00C71354" w:rsidRPr="00C71354" w:rsidRDefault="00C71354" w:rsidP="00C71354">
      <w:pPr>
        <w:rPr>
          <w:rFonts w:ascii="Arial" w:hAnsi="Arial" w:cs="Arial"/>
        </w:rPr>
      </w:pPr>
    </w:p>
    <w:p w14:paraId="261D6082" w14:textId="77777777" w:rsidR="00C71354" w:rsidRPr="00C71354" w:rsidRDefault="00C71354" w:rsidP="00C71354">
      <w:pPr>
        <w:rPr>
          <w:rFonts w:ascii="Arial" w:hAnsi="Arial" w:cs="Arial"/>
        </w:rPr>
      </w:pPr>
      <w:r w:rsidRPr="00C71354">
        <w:rPr>
          <w:rFonts w:ascii="Arial" w:hAnsi="Arial" w:cs="Arial"/>
        </w:rPr>
        <w:t>Common examples of conflicts of interest in the context of disability support may include, but are not limited to:</w:t>
      </w:r>
    </w:p>
    <w:p w14:paraId="500C2EC5" w14:textId="77777777" w:rsidR="00C71354" w:rsidRPr="00C71354" w:rsidRDefault="00C71354" w:rsidP="00C71354">
      <w:pPr>
        <w:rPr>
          <w:rFonts w:ascii="Arial" w:hAnsi="Arial" w:cs="Arial"/>
        </w:rPr>
      </w:pPr>
    </w:p>
    <w:p w14:paraId="7E6B29B5" w14:textId="244E23A9" w:rsidR="00C71354" w:rsidRPr="00C71354" w:rsidRDefault="00C71354" w:rsidP="00C71354">
      <w:pPr>
        <w:pStyle w:val="ListParagraph"/>
        <w:numPr>
          <w:ilvl w:val="0"/>
          <w:numId w:val="17"/>
        </w:numPr>
        <w:rPr>
          <w:rFonts w:ascii="Arial" w:hAnsi="Arial" w:cs="Arial"/>
        </w:rPr>
      </w:pPr>
      <w:r w:rsidRPr="00C71354">
        <w:rPr>
          <w:rFonts w:ascii="Arial" w:hAnsi="Arial" w:cs="Arial"/>
        </w:rPr>
        <w:t>Financial interests in organizations that provide services or products related to disability support.</w:t>
      </w:r>
    </w:p>
    <w:p w14:paraId="702C0567" w14:textId="47E454C2" w:rsidR="00C71354" w:rsidRPr="005537F3" w:rsidRDefault="00C71354" w:rsidP="005537F3">
      <w:pPr>
        <w:pStyle w:val="ListParagraph"/>
        <w:numPr>
          <w:ilvl w:val="0"/>
          <w:numId w:val="17"/>
        </w:numPr>
        <w:rPr>
          <w:rFonts w:ascii="Arial" w:hAnsi="Arial" w:cs="Arial"/>
        </w:rPr>
      </w:pPr>
      <w:r w:rsidRPr="005537F3">
        <w:rPr>
          <w:rFonts w:ascii="Arial" w:hAnsi="Arial" w:cs="Arial"/>
        </w:rPr>
        <w:t>Personal relationships that may compromise professional judgment.</w:t>
      </w:r>
    </w:p>
    <w:p w14:paraId="63D83BF9" w14:textId="6B08C648" w:rsidR="00C71354" w:rsidRPr="005537F3" w:rsidRDefault="005537F3" w:rsidP="005537F3">
      <w:pPr>
        <w:pStyle w:val="ListParagraph"/>
        <w:numPr>
          <w:ilvl w:val="0"/>
          <w:numId w:val="17"/>
        </w:numPr>
        <w:rPr>
          <w:rFonts w:ascii="Arial" w:hAnsi="Arial" w:cs="Arial"/>
        </w:rPr>
      </w:pPr>
      <w:r>
        <w:rPr>
          <w:rFonts w:ascii="Arial" w:hAnsi="Arial" w:cs="Arial"/>
        </w:rPr>
        <w:t>Giving/</w:t>
      </w:r>
      <w:r w:rsidR="00C71354" w:rsidRPr="005537F3">
        <w:rPr>
          <w:rFonts w:ascii="Arial" w:hAnsi="Arial" w:cs="Arial"/>
        </w:rPr>
        <w:t xml:space="preserve">Accepting gifts, gratuities, or </w:t>
      </w:r>
      <w:r w:rsidR="00C71354" w:rsidRPr="005537F3">
        <w:rPr>
          <w:rFonts w:ascii="Arial" w:hAnsi="Arial" w:cs="Arial"/>
        </w:rPr>
        <w:t>favours</w:t>
      </w:r>
      <w:r w:rsidR="00C71354" w:rsidRPr="005537F3">
        <w:rPr>
          <w:rFonts w:ascii="Arial" w:hAnsi="Arial" w:cs="Arial"/>
        </w:rPr>
        <w:t xml:space="preserve"> from individuals or entities associated with disability support services</w:t>
      </w:r>
      <w:r>
        <w:rPr>
          <w:rFonts w:ascii="Arial" w:hAnsi="Arial" w:cs="Arial"/>
        </w:rPr>
        <w:t xml:space="preserve"> that are over $50/year.</w:t>
      </w:r>
    </w:p>
    <w:p w14:paraId="7A7C00E7" w14:textId="77777777" w:rsidR="00C71354" w:rsidRPr="00C71354" w:rsidRDefault="00C71354" w:rsidP="00C71354">
      <w:pPr>
        <w:rPr>
          <w:rFonts w:ascii="Arial" w:hAnsi="Arial" w:cs="Arial"/>
        </w:rPr>
      </w:pPr>
    </w:p>
    <w:p w14:paraId="7981AD86" w14:textId="77777777" w:rsidR="00C71354" w:rsidRPr="00C71354" w:rsidRDefault="00C71354" w:rsidP="00C71354">
      <w:pPr>
        <w:rPr>
          <w:rFonts w:ascii="Arial" w:hAnsi="Arial" w:cs="Arial"/>
          <w:b/>
          <w:bCs/>
        </w:rPr>
      </w:pPr>
      <w:r w:rsidRPr="00C71354">
        <w:rPr>
          <w:rFonts w:ascii="Arial" w:hAnsi="Arial" w:cs="Arial"/>
          <w:b/>
          <w:bCs/>
        </w:rPr>
        <w:t>5. Assessment and Management</w:t>
      </w:r>
    </w:p>
    <w:p w14:paraId="7EEAE75C" w14:textId="77777777" w:rsidR="00C71354" w:rsidRPr="00C71354" w:rsidRDefault="00C71354" w:rsidP="00C71354">
      <w:pPr>
        <w:rPr>
          <w:rFonts w:ascii="Arial" w:hAnsi="Arial" w:cs="Arial"/>
        </w:rPr>
      </w:pPr>
    </w:p>
    <w:p w14:paraId="14BAB407" w14:textId="21491968" w:rsidR="00C71354" w:rsidRPr="00C71354" w:rsidRDefault="00C71354" w:rsidP="00C71354">
      <w:pPr>
        <w:rPr>
          <w:rFonts w:ascii="Arial" w:hAnsi="Arial" w:cs="Arial"/>
        </w:rPr>
      </w:pPr>
      <w:r w:rsidRPr="00C71354">
        <w:rPr>
          <w:rFonts w:ascii="Arial" w:hAnsi="Arial" w:cs="Arial"/>
        </w:rPr>
        <w:t>Upon disclosure</w:t>
      </w:r>
      <w:r>
        <w:rPr>
          <w:rFonts w:ascii="Arial" w:hAnsi="Arial" w:cs="Arial"/>
        </w:rPr>
        <w:t>,</w:t>
      </w:r>
      <w:r w:rsidRPr="00C71354">
        <w:rPr>
          <w:rFonts w:ascii="Arial" w:hAnsi="Arial" w:cs="Arial"/>
        </w:rPr>
        <w:t xml:space="preserve"> </w:t>
      </w:r>
      <w:r w:rsidRPr="00C71354">
        <w:rPr>
          <w:rFonts w:ascii="Arial" w:hAnsi="Arial" w:cs="Arial"/>
        </w:rPr>
        <w:t>Pathway To Potential will assess the disclosed conflict of interest to determine its nature and severity. Depending on the situation, actions may be taken to manage, mitigate, or eliminate the conflict, which may include:</w:t>
      </w:r>
    </w:p>
    <w:p w14:paraId="599930E8" w14:textId="77777777" w:rsidR="00C71354" w:rsidRPr="00C71354" w:rsidRDefault="00C71354" w:rsidP="00C71354">
      <w:pPr>
        <w:rPr>
          <w:rFonts w:ascii="Arial" w:hAnsi="Arial" w:cs="Arial"/>
        </w:rPr>
      </w:pPr>
    </w:p>
    <w:p w14:paraId="64F60F3E" w14:textId="59F4DA1F" w:rsidR="00C71354" w:rsidRPr="00C71354" w:rsidRDefault="00C71354" w:rsidP="00C71354">
      <w:pPr>
        <w:pStyle w:val="ListParagraph"/>
        <w:numPr>
          <w:ilvl w:val="0"/>
          <w:numId w:val="16"/>
        </w:numPr>
        <w:rPr>
          <w:rFonts w:ascii="Arial" w:hAnsi="Arial" w:cs="Arial"/>
        </w:rPr>
      </w:pPr>
      <w:r w:rsidRPr="00C71354">
        <w:rPr>
          <w:rFonts w:ascii="Arial" w:hAnsi="Arial" w:cs="Arial"/>
        </w:rPr>
        <w:t>Adjusting roles and responsibilities.</w:t>
      </w:r>
    </w:p>
    <w:p w14:paraId="4EB3AAFE" w14:textId="447ED0AB" w:rsidR="00C71354" w:rsidRPr="00C71354" w:rsidRDefault="00C71354" w:rsidP="00C71354">
      <w:pPr>
        <w:pStyle w:val="ListParagraph"/>
        <w:numPr>
          <w:ilvl w:val="0"/>
          <w:numId w:val="16"/>
        </w:numPr>
        <w:rPr>
          <w:rFonts w:ascii="Arial" w:hAnsi="Arial" w:cs="Arial"/>
        </w:rPr>
      </w:pPr>
      <w:r w:rsidRPr="00C71354">
        <w:rPr>
          <w:rFonts w:ascii="Arial" w:hAnsi="Arial" w:cs="Arial"/>
        </w:rPr>
        <w:t>Recusal from decision-making processes.</w:t>
      </w:r>
    </w:p>
    <w:p w14:paraId="5DB3BA92" w14:textId="1462F44E" w:rsidR="00C71354" w:rsidRPr="00C71354" w:rsidRDefault="00C71354" w:rsidP="00C71354">
      <w:pPr>
        <w:pStyle w:val="ListParagraph"/>
        <w:numPr>
          <w:ilvl w:val="0"/>
          <w:numId w:val="16"/>
        </w:numPr>
        <w:rPr>
          <w:rFonts w:ascii="Arial" w:hAnsi="Arial" w:cs="Arial"/>
        </w:rPr>
      </w:pPr>
      <w:r w:rsidRPr="00C71354">
        <w:rPr>
          <w:rFonts w:ascii="Arial" w:hAnsi="Arial" w:cs="Arial"/>
        </w:rPr>
        <w:t>Divestment of financial interests.</w:t>
      </w:r>
    </w:p>
    <w:p w14:paraId="53096D3F" w14:textId="4814C54A" w:rsidR="00C71354" w:rsidRPr="00C71354" w:rsidRDefault="00C71354" w:rsidP="00C71354">
      <w:pPr>
        <w:pStyle w:val="ListParagraph"/>
        <w:numPr>
          <w:ilvl w:val="0"/>
          <w:numId w:val="16"/>
        </w:numPr>
        <w:rPr>
          <w:rFonts w:ascii="Arial" w:hAnsi="Arial" w:cs="Arial"/>
        </w:rPr>
      </w:pPr>
      <w:r w:rsidRPr="00C71354">
        <w:rPr>
          <w:rFonts w:ascii="Arial" w:hAnsi="Arial" w:cs="Arial"/>
        </w:rPr>
        <w:t>Establishing clear boundaries and guidelines.</w:t>
      </w:r>
    </w:p>
    <w:p w14:paraId="44A9775F" w14:textId="77777777" w:rsidR="00C71354" w:rsidRDefault="00C71354" w:rsidP="00C71354">
      <w:pPr>
        <w:rPr>
          <w:rFonts w:ascii="Arial" w:hAnsi="Arial" w:cs="Arial"/>
        </w:rPr>
      </w:pPr>
    </w:p>
    <w:p w14:paraId="3B167D34" w14:textId="77777777" w:rsidR="00C71354" w:rsidRDefault="00C71354" w:rsidP="00C71354">
      <w:pPr>
        <w:rPr>
          <w:rFonts w:ascii="Arial" w:hAnsi="Arial" w:cs="Arial"/>
          <w:b/>
          <w:bCs/>
        </w:rPr>
      </w:pPr>
    </w:p>
    <w:p w14:paraId="4586DE5F" w14:textId="77777777" w:rsidR="00C71354" w:rsidRDefault="00C71354" w:rsidP="00C71354">
      <w:pPr>
        <w:rPr>
          <w:rFonts w:ascii="Arial" w:hAnsi="Arial" w:cs="Arial"/>
          <w:b/>
          <w:bCs/>
        </w:rPr>
      </w:pPr>
    </w:p>
    <w:p w14:paraId="4316C4D8" w14:textId="77777777" w:rsidR="00C71354" w:rsidRDefault="00C71354" w:rsidP="00C71354">
      <w:pPr>
        <w:rPr>
          <w:rFonts w:ascii="Arial" w:hAnsi="Arial" w:cs="Arial"/>
          <w:b/>
          <w:bCs/>
        </w:rPr>
      </w:pPr>
    </w:p>
    <w:p w14:paraId="66A0D8EF" w14:textId="77777777" w:rsidR="00C71354" w:rsidRDefault="00C71354" w:rsidP="00C71354">
      <w:pPr>
        <w:rPr>
          <w:rFonts w:ascii="Arial" w:hAnsi="Arial" w:cs="Arial"/>
          <w:b/>
          <w:bCs/>
        </w:rPr>
      </w:pPr>
    </w:p>
    <w:p w14:paraId="2BB0ED8B" w14:textId="5B8A6065" w:rsidR="00C71354" w:rsidRPr="00C71354" w:rsidRDefault="00C71354" w:rsidP="00C71354">
      <w:pPr>
        <w:rPr>
          <w:rFonts w:ascii="Arial" w:hAnsi="Arial" w:cs="Arial"/>
          <w:b/>
          <w:bCs/>
        </w:rPr>
      </w:pPr>
      <w:r w:rsidRPr="00C71354">
        <w:rPr>
          <w:rFonts w:ascii="Arial" w:hAnsi="Arial" w:cs="Arial"/>
          <w:b/>
          <w:bCs/>
        </w:rPr>
        <w:lastRenderedPageBreak/>
        <w:t>6. Reporting Violations</w:t>
      </w:r>
    </w:p>
    <w:p w14:paraId="3D95B74D" w14:textId="77777777" w:rsidR="00C71354" w:rsidRPr="00C71354" w:rsidRDefault="00C71354" w:rsidP="00C71354">
      <w:pPr>
        <w:rPr>
          <w:rFonts w:ascii="Arial" w:hAnsi="Arial" w:cs="Arial"/>
        </w:rPr>
      </w:pPr>
    </w:p>
    <w:p w14:paraId="33A5DB97" w14:textId="0D5B986B" w:rsidR="00C71354" w:rsidRPr="00C71354" w:rsidRDefault="00C71354" w:rsidP="00C71354">
      <w:pPr>
        <w:rPr>
          <w:rFonts w:ascii="Arial" w:hAnsi="Arial" w:cs="Arial"/>
        </w:rPr>
      </w:pPr>
      <w:r w:rsidRPr="00C71354">
        <w:rPr>
          <w:rFonts w:ascii="Arial" w:hAnsi="Arial" w:cs="Arial"/>
        </w:rPr>
        <w:t xml:space="preserve">Employees, contractors, and volunteers are encouraged to promptly report any violations or concerns related to conflicts of interest to their supervisor, manager, or the designated conflict of interest officer within the organization. </w:t>
      </w:r>
      <w:r w:rsidRPr="00C71354">
        <w:rPr>
          <w:rFonts w:ascii="Arial" w:hAnsi="Arial" w:cs="Arial"/>
        </w:rPr>
        <w:t>Whistle blower</w:t>
      </w:r>
      <w:r w:rsidRPr="00C71354">
        <w:rPr>
          <w:rFonts w:ascii="Arial" w:hAnsi="Arial" w:cs="Arial"/>
        </w:rPr>
        <w:t xml:space="preserve"> protection will be provided to those who report in good faith.</w:t>
      </w:r>
    </w:p>
    <w:p w14:paraId="7CE608CB" w14:textId="77777777" w:rsidR="00C71354" w:rsidRPr="00C71354" w:rsidRDefault="00C71354" w:rsidP="00C71354">
      <w:pPr>
        <w:rPr>
          <w:rFonts w:ascii="Arial" w:hAnsi="Arial" w:cs="Arial"/>
        </w:rPr>
      </w:pPr>
    </w:p>
    <w:p w14:paraId="1FEC44E4" w14:textId="77777777" w:rsidR="00C71354" w:rsidRPr="00C71354" w:rsidRDefault="00C71354" w:rsidP="00C71354">
      <w:pPr>
        <w:rPr>
          <w:rFonts w:ascii="Arial" w:hAnsi="Arial" w:cs="Arial"/>
          <w:b/>
          <w:bCs/>
        </w:rPr>
      </w:pPr>
      <w:r w:rsidRPr="00C71354">
        <w:rPr>
          <w:rFonts w:ascii="Arial" w:hAnsi="Arial" w:cs="Arial"/>
          <w:b/>
          <w:bCs/>
        </w:rPr>
        <w:t>7. Non-Retaliation</w:t>
      </w:r>
    </w:p>
    <w:p w14:paraId="461B9CF2" w14:textId="77777777" w:rsidR="00C71354" w:rsidRPr="00C71354" w:rsidRDefault="00C71354" w:rsidP="00C71354">
      <w:pPr>
        <w:rPr>
          <w:rFonts w:ascii="Arial" w:hAnsi="Arial" w:cs="Arial"/>
        </w:rPr>
      </w:pPr>
    </w:p>
    <w:p w14:paraId="2C60B9A5" w14:textId="2EB3EFF8" w:rsidR="00C71354" w:rsidRPr="00C71354" w:rsidRDefault="00C71354" w:rsidP="00C71354">
      <w:pPr>
        <w:rPr>
          <w:rFonts w:ascii="Arial" w:hAnsi="Arial" w:cs="Arial"/>
        </w:rPr>
      </w:pPr>
      <w:r w:rsidRPr="00C71354">
        <w:rPr>
          <w:rFonts w:ascii="Arial" w:hAnsi="Arial" w:cs="Arial"/>
        </w:rPr>
        <w:t>Pathway To Potential strictly prohibits retaliation against individuals who report conflicts of interest in good faith or participate in investigations related to conflicts of interest.</w:t>
      </w:r>
    </w:p>
    <w:p w14:paraId="15BEBE98" w14:textId="77777777" w:rsidR="00C71354" w:rsidRPr="00C71354" w:rsidRDefault="00C71354" w:rsidP="00C71354">
      <w:pPr>
        <w:rPr>
          <w:rFonts w:ascii="Arial" w:hAnsi="Arial" w:cs="Arial"/>
        </w:rPr>
      </w:pPr>
    </w:p>
    <w:p w14:paraId="51A283EA" w14:textId="77777777" w:rsidR="00C71354" w:rsidRPr="00C71354" w:rsidRDefault="00C71354" w:rsidP="00C71354">
      <w:pPr>
        <w:rPr>
          <w:rFonts w:ascii="Arial" w:hAnsi="Arial" w:cs="Arial"/>
          <w:b/>
          <w:bCs/>
        </w:rPr>
      </w:pPr>
      <w:r w:rsidRPr="00C71354">
        <w:rPr>
          <w:rFonts w:ascii="Arial" w:hAnsi="Arial" w:cs="Arial"/>
          <w:b/>
          <w:bCs/>
        </w:rPr>
        <w:t>8. Recordkeeping</w:t>
      </w:r>
    </w:p>
    <w:p w14:paraId="62AB98C6" w14:textId="77777777" w:rsidR="00C71354" w:rsidRPr="00C71354" w:rsidRDefault="00C71354" w:rsidP="00C71354">
      <w:pPr>
        <w:rPr>
          <w:rFonts w:ascii="Arial" w:hAnsi="Arial" w:cs="Arial"/>
        </w:rPr>
      </w:pPr>
    </w:p>
    <w:p w14:paraId="6C10CBEE" w14:textId="7B8818D6" w:rsidR="00C71354" w:rsidRPr="00C71354" w:rsidRDefault="00C71354" w:rsidP="00C71354">
      <w:pPr>
        <w:rPr>
          <w:rFonts w:ascii="Arial" w:hAnsi="Arial" w:cs="Arial"/>
        </w:rPr>
      </w:pPr>
      <w:r>
        <w:rPr>
          <w:rFonts w:ascii="Arial" w:hAnsi="Arial" w:cs="Arial"/>
        </w:rPr>
        <w:t xml:space="preserve">Pathway To Potential </w:t>
      </w:r>
      <w:r w:rsidRPr="00C71354">
        <w:rPr>
          <w:rFonts w:ascii="Arial" w:hAnsi="Arial" w:cs="Arial"/>
        </w:rPr>
        <w:t>will maintain records of disclosed conflicts of interest, the actions taken to address them, and any related decisions or resolutions.</w:t>
      </w:r>
    </w:p>
    <w:p w14:paraId="5B6C47CB" w14:textId="77777777" w:rsidR="00C71354" w:rsidRPr="00C71354" w:rsidRDefault="00C71354" w:rsidP="00C71354">
      <w:pPr>
        <w:rPr>
          <w:rFonts w:ascii="Arial" w:hAnsi="Arial" w:cs="Arial"/>
        </w:rPr>
      </w:pPr>
    </w:p>
    <w:p w14:paraId="640B2AF5" w14:textId="77777777" w:rsidR="00C71354" w:rsidRPr="00C71354" w:rsidRDefault="00C71354" w:rsidP="00C71354">
      <w:pPr>
        <w:rPr>
          <w:rFonts w:ascii="Arial" w:hAnsi="Arial" w:cs="Arial"/>
          <w:b/>
          <w:bCs/>
        </w:rPr>
      </w:pPr>
      <w:r w:rsidRPr="00C71354">
        <w:rPr>
          <w:rFonts w:ascii="Arial" w:hAnsi="Arial" w:cs="Arial"/>
          <w:b/>
          <w:bCs/>
        </w:rPr>
        <w:t>9. Policy Review</w:t>
      </w:r>
    </w:p>
    <w:p w14:paraId="1B7BEEA5" w14:textId="77777777" w:rsidR="00C71354" w:rsidRPr="00C71354" w:rsidRDefault="00C71354" w:rsidP="00C71354">
      <w:pPr>
        <w:rPr>
          <w:rFonts w:ascii="Arial" w:hAnsi="Arial" w:cs="Arial"/>
        </w:rPr>
      </w:pPr>
    </w:p>
    <w:p w14:paraId="7C7EEA28" w14:textId="63A0B583" w:rsidR="00C71354" w:rsidRPr="00C71354" w:rsidRDefault="00C71354" w:rsidP="00C71354">
      <w:pPr>
        <w:rPr>
          <w:rFonts w:ascii="Arial" w:hAnsi="Arial" w:cs="Arial"/>
        </w:rPr>
      </w:pPr>
      <w:r w:rsidRPr="00C71354">
        <w:rPr>
          <w:rFonts w:ascii="Arial" w:hAnsi="Arial" w:cs="Arial"/>
        </w:rPr>
        <w:t xml:space="preserve">This </w:t>
      </w:r>
      <w:r w:rsidRPr="00C71354">
        <w:rPr>
          <w:rFonts w:ascii="Arial" w:hAnsi="Arial" w:cs="Arial"/>
        </w:rPr>
        <w:t>Conflict-of-Interest</w:t>
      </w:r>
      <w:r w:rsidRPr="00C71354">
        <w:rPr>
          <w:rFonts w:ascii="Arial" w:hAnsi="Arial" w:cs="Arial"/>
        </w:rPr>
        <w:t xml:space="preserve"> Policy will be reviewed periodically and updated as necessary to ensure its effectiveness and compliance with evolving laws and regulations. All employees, contractors, and volunteers will be notified of any policy changes.</w:t>
      </w:r>
    </w:p>
    <w:p w14:paraId="2BEA05E8" w14:textId="77777777" w:rsidR="00C71354" w:rsidRPr="00C71354" w:rsidRDefault="00C71354" w:rsidP="00C71354">
      <w:pPr>
        <w:rPr>
          <w:rFonts w:ascii="Arial" w:hAnsi="Arial" w:cs="Arial"/>
        </w:rPr>
      </w:pPr>
    </w:p>
    <w:p w14:paraId="4BF1550B" w14:textId="77777777" w:rsidR="00C71354" w:rsidRPr="00C71354" w:rsidRDefault="00C71354" w:rsidP="00C71354">
      <w:pPr>
        <w:rPr>
          <w:rFonts w:ascii="Arial" w:hAnsi="Arial" w:cs="Arial"/>
          <w:b/>
          <w:bCs/>
        </w:rPr>
      </w:pPr>
      <w:r w:rsidRPr="00C71354">
        <w:rPr>
          <w:rFonts w:ascii="Arial" w:hAnsi="Arial" w:cs="Arial"/>
          <w:b/>
          <w:bCs/>
        </w:rPr>
        <w:t>10. Acknowledgment</w:t>
      </w:r>
    </w:p>
    <w:p w14:paraId="045876F1" w14:textId="77777777" w:rsidR="00C71354" w:rsidRPr="00C71354" w:rsidRDefault="00C71354" w:rsidP="00C71354">
      <w:pPr>
        <w:rPr>
          <w:rFonts w:ascii="Arial" w:hAnsi="Arial" w:cs="Arial"/>
        </w:rPr>
      </w:pPr>
    </w:p>
    <w:p w14:paraId="50D7BD43" w14:textId="3C8B40B3" w:rsidR="00C71354" w:rsidRPr="00C71354" w:rsidRDefault="00C71354" w:rsidP="00C71354">
      <w:pPr>
        <w:rPr>
          <w:rFonts w:ascii="Arial" w:hAnsi="Arial" w:cs="Arial"/>
        </w:rPr>
      </w:pPr>
      <w:r w:rsidRPr="00C71354">
        <w:rPr>
          <w:rFonts w:ascii="Arial" w:hAnsi="Arial" w:cs="Arial"/>
        </w:rPr>
        <w:t xml:space="preserve">By continuing employment, engagement, or volunteer service </w:t>
      </w:r>
      <w:r w:rsidRPr="00C71354">
        <w:rPr>
          <w:rFonts w:ascii="Arial" w:hAnsi="Arial" w:cs="Arial"/>
        </w:rPr>
        <w:t>with</w:t>
      </w:r>
      <w:r>
        <w:rPr>
          <w:rFonts w:ascii="Arial" w:hAnsi="Arial" w:cs="Arial"/>
        </w:rPr>
        <w:t xml:space="preserve"> Pathway </w:t>
      </w:r>
      <w:proofErr w:type="gramStart"/>
      <w:r>
        <w:rPr>
          <w:rFonts w:ascii="Arial" w:hAnsi="Arial" w:cs="Arial"/>
        </w:rPr>
        <w:t>To</w:t>
      </w:r>
      <w:proofErr w:type="gramEnd"/>
      <w:r>
        <w:rPr>
          <w:rFonts w:ascii="Arial" w:hAnsi="Arial" w:cs="Arial"/>
        </w:rPr>
        <w:t xml:space="preserve"> Potential </w:t>
      </w:r>
      <w:r w:rsidRPr="00C71354">
        <w:rPr>
          <w:rFonts w:ascii="Arial" w:hAnsi="Arial" w:cs="Arial"/>
        </w:rPr>
        <w:t>individuals acknowledge that they have read, understood, and agree to comply with this Conflict of Interest Policy.</w:t>
      </w:r>
    </w:p>
    <w:p w14:paraId="7F8498A4" w14:textId="77777777" w:rsidR="00C71354" w:rsidRPr="00C71354" w:rsidRDefault="00C71354" w:rsidP="00C71354">
      <w:pPr>
        <w:rPr>
          <w:rFonts w:ascii="Arial" w:hAnsi="Arial" w:cs="Arial"/>
        </w:rPr>
      </w:pPr>
    </w:p>
    <w:p w14:paraId="5291A797" w14:textId="77777777" w:rsidR="005537F3" w:rsidRDefault="005537F3" w:rsidP="00C71354">
      <w:pPr>
        <w:rPr>
          <w:rFonts w:ascii="Arial" w:hAnsi="Arial" w:cs="Arial"/>
          <w:b/>
          <w:bCs/>
        </w:rPr>
      </w:pPr>
    </w:p>
    <w:p w14:paraId="3188C6EE" w14:textId="77777777" w:rsidR="005537F3" w:rsidRDefault="005537F3" w:rsidP="00C71354">
      <w:pPr>
        <w:rPr>
          <w:rFonts w:ascii="Arial" w:hAnsi="Arial" w:cs="Arial"/>
          <w:b/>
          <w:bCs/>
        </w:rPr>
      </w:pPr>
    </w:p>
    <w:p w14:paraId="1DCB51B8" w14:textId="38D72A91" w:rsidR="00A604ED" w:rsidRPr="00C71354" w:rsidRDefault="00C71354" w:rsidP="00C71354">
      <w:pPr>
        <w:rPr>
          <w:rFonts w:ascii="Arial" w:hAnsi="Arial" w:cs="Arial"/>
          <w:b/>
          <w:bCs/>
        </w:rPr>
      </w:pPr>
      <w:r w:rsidRPr="00C71354">
        <w:rPr>
          <w:rFonts w:ascii="Arial" w:hAnsi="Arial" w:cs="Arial"/>
          <w:b/>
          <w:bCs/>
        </w:rPr>
        <w:t xml:space="preserve">Date of Policy: </w:t>
      </w:r>
      <w:r>
        <w:rPr>
          <w:rFonts w:ascii="Arial" w:hAnsi="Arial" w:cs="Arial"/>
          <w:b/>
          <w:bCs/>
        </w:rPr>
        <w:t>03/10/2023</w:t>
      </w:r>
    </w:p>
    <w:sectPr w:rsidR="00A604ED" w:rsidRPr="00C71354">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2CA7" w14:textId="77777777" w:rsidR="00C77384" w:rsidRDefault="00C77384" w:rsidP="00A57EAB">
      <w:r>
        <w:separator/>
      </w:r>
    </w:p>
  </w:endnote>
  <w:endnote w:type="continuationSeparator" w:id="0">
    <w:p w14:paraId="2924970D" w14:textId="77777777" w:rsidR="00C77384" w:rsidRDefault="00C77384" w:rsidP="00A5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130982"/>
      <w:docPartObj>
        <w:docPartGallery w:val="Page Numbers (Bottom of Page)"/>
        <w:docPartUnique/>
      </w:docPartObj>
    </w:sdtPr>
    <w:sdtContent>
      <w:p w14:paraId="7CA5980C" w14:textId="25860269" w:rsidR="005537F3" w:rsidRDefault="005537F3" w:rsidP="005C5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CA93E" w14:textId="77777777" w:rsidR="005537F3" w:rsidRDefault="005537F3" w:rsidP="00553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4304065"/>
      <w:docPartObj>
        <w:docPartGallery w:val="Page Numbers (Bottom of Page)"/>
        <w:docPartUnique/>
      </w:docPartObj>
    </w:sdtPr>
    <w:sdtContent>
      <w:p w14:paraId="1A0DB454" w14:textId="4FDCE526" w:rsidR="005537F3" w:rsidRDefault="005537F3" w:rsidP="005C57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0B8C2F" w14:textId="77777777" w:rsidR="005537F3" w:rsidRDefault="005537F3" w:rsidP="00553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AB18" w14:textId="77777777" w:rsidR="00C77384" w:rsidRDefault="00C77384" w:rsidP="00A57EAB">
      <w:r>
        <w:separator/>
      </w:r>
    </w:p>
  </w:footnote>
  <w:footnote w:type="continuationSeparator" w:id="0">
    <w:p w14:paraId="3ADC576A" w14:textId="77777777" w:rsidR="00C77384" w:rsidRDefault="00C77384" w:rsidP="00A5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9ED" w14:textId="7DA19E61" w:rsidR="00A57EAB" w:rsidRDefault="00A57EAB" w:rsidP="00A57EAB">
    <w:pPr>
      <w:pStyle w:val="Header"/>
      <w:tabs>
        <w:tab w:val="clear" w:pos="4513"/>
      </w:tabs>
    </w:pPr>
    <w:r>
      <w:rPr>
        <w:noProof/>
      </w:rPr>
      <w:drawing>
        <wp:anchor distT="0" distB="0" distL="114300" distR="114300" simplePos="0" relativeHeight="251661312" behindDoc="1" locked="0" layoutInCell="1" allowOverlap="1" wp14:anchorId="569CBB60" wp14:editId="2A78EA5C">
          <wp:simplePos x="0" y="0"/>
          <wp:positionH relativeFrom="column">
            <wp:posOffset>4513608</wp:posOffset>
          </wp:positionH>
          <wp:positionV relativeFrom="paragraph">
            <wp:posOffset>-353887</wp:posOffset>
          </wp:positionV>
          <wp:extent cx="2039559" cy="786809"/>
          <wp:effectExtent l="0" t="0" r="5715" b="635"/>
          <wp:wrapNone/>
          <wp:docPr id="1979947305" name="Picture 197994730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3204" cy="79207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AD87497" wp14:editId="107F7AFB">
              <wp:simplePos x="0" y="0"/>
              <wp:positionH relativeFrom="column">
                <wp:posOffset>-866236</wp:posOffset>
              </wp:positionH>
              <wp:positionV relativeFrom="paragraph">
                <wp:posOffset>-539640</wp:posOffset>
              </wp:positionV>
              <wp:extent cx="1363264" cy="1474995"/>
              <wp:effectExtent l="0" t="5080" r="29210" b="29210"/>
              <wp:wrapNone/>
              <wp:docPr id="1105750580" name="Right Triangle 1105750580"/>
              <wp:cNvGraphicFramePr/>
              <a:graphic xmlns:a="http://schemas.openxmlformats.org/drawingml/2006/main">
                <a:graphicData uri="http://schemas.microsoft.com/office/word/2010/wordprocessingShape">
                  <wps:wsp>
                    <wps:cNvSpPr/>
                    <wps:spPr>
                      <a:xfrm rot="5400000">
                        <a:off x="0" y="0"/>
                        <a:ext cx="1363264" cy="1474995"/>
                      </a:xfrm>
                      <a:prstGeom prst="r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D45617" id="_x0000_t6" coordsize="21600,21600" o:spt="6" path="m,l,21600r21600,xe">
              <v:stroke joinstyle="miter"/>
              <v:path gradientshapeok="t" o:connecttype="custom" o:connectlocs="0,0;0,10800;0,21600;10800,21600;21600,21600;10800,10800" textboxrect="1800,12600,12600,19800"/>
            </v:shapetype>
            <v:shape id="Right Triangle 1105750580" o:spid="_x0000_s1026" type="#_x0000_t6" style="position:absolute;margin-left:-68.2pt;margin-top:-42.5pt;width:107.35pt;height:116.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" fillcolor="#00b0f0" strokecolor="#00b0f0" strokeweight="1pt"/>
          </w:pict>
        </mc:Fallback>
      </mc:AlternateContent>
    </w:r>
    <w:r>
      <w:tab/>
    </w:r>
  </w:p>
  <w:p w14:paraId="356629DA" w14:textId="77777777" w:rsidR="00A57EAB" w:rsidRDefault="00A5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3F9"/>
    <w:multiLevelType w:val="multilevel"/>
    <w:tmpl w:val="D41E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10DC3"/>
    <w:multiLevelType w:val="multilevel"/>
    <w:tmpl w:val="39167B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30BC9"/>
    <w:multiLevelType w:val="multilevel"/>
    <w:tmpl w:val="B3CC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D39C0"/>
    <w:multiLevelType w:val="multilevel"/>
    <w:tmpl w:val="6D8A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955B1"/>
    <w:multiLevelType w:val="multilevel"/>
    <w:tmpl w:val="64CC77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370F5"/>
    <w:multiLevelType w:val="multilevel"/>
    <w:tmpl w:val="89A28B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01532"/>
    <w:multiLevelType w:val="multilevel"/>
    <w:tmpl w:val="95C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63C18"/>
    <w:multiLevelType w:val="multilevel"/>
    <w:tmpl w:val="2C1235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4215A3"/>
    <w:multiLevelType w:val="multilevel"/>
    <w:tmpl w:val="9F0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E21FC"/>
    <w:multiLevelType w:val="multilevel"/>
    <w:tmpl w:val="F828D9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2F3384"/>
    <w:multiLevelType w:val="multilevel"/>
    <w:tmpl w:val="249260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60A5C"/>
    <w:multiLevelType w:val="multilevel"/>
    <w:tmpl w:val="2692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B3C2B"/>
    <w:multiLevelType w:val="hybridMultilevel"/>
    <w:tmpl w:val="4DF064B4"/>
    <w:lvl w:ilvl="0" w:tplc="6AEC42F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95313"/>
    <w:multiLevelType w:val="multilevel"/>
    <w:tmpl w:val="6FBE62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714C8B"/>
    <w:multiLevelType w:val="multilevel"/>
    <w:tmpl w:val="5130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1A58F2"/>
    <w:multiLevelType w:val="multilevel"/>
    <w:tmpl w:val="EF0C3D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1D49D8"/>
    <w:multiLevelType w:val="hybridMultilevel"/>
    <w:tmpl w:val="946C797E"/>
    <w:lvl w:ilvl="0" w:tplc="8440FF7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215213">
    <w:abstractNumId w:val="7"/>
  </w:num>
  <w:num w:numId="2" w16cid:durableId="706108132">
    <w:abstractNumId w:val="15"/>
  </w:num>
  <w:num w:numId="3" w16cid:durableId="727732254">
    <w:abstractNumId w:val="6"/>
  </w:num>
  <w:num w:numId="4" w16cid:durableId="1114666102">
    <w:abstractNumId w:val="10"/>
  </w:num>
  <w:num w:numId="5" w16cid:durableId="469440400">
    <w:abstractNumId w:val="8"/>
  </w:num>
  <w:num w:numId="6" w16cid:durableId="538396982">
    <w:abstractNumId w:val="9"/>
  </w:num>
  <w:num w:numId="7" w16cid:durableId="1417168895">
    <w:abstractNumId w:val="11"/>
  </w:num>
  <w:num w:numId="8" w16cid:durableId="979381110">
    <w:abstractNumId w:val="13"/>
  </w:num>
  <w:num w:numId="9" w16cid:durableId="296497062">
    <w:abstractNumId w:val="0"/>
  </w:num>
  <w:num w:numId="10" w16cid:durableId="603730549">
    <w:abstractNumId w:val="5"/>
  </w:num>
  <w:num w:numId="11" w16cid:durableId="1930696415">
    <w:abstractNumId w:val="2"/>
  </w:num>
  <w:num w:numId="12" w16cid:durableId="417144239">
    <w:abstractNumId w:val="1"/>
  </w:num>
  <w:num w:numId="13" w16cid:durableId="2016347101">
    <w:abstractNumId w:val="3"/>
  </w:num>
  <w:num w:numId="14" w16cid:durableId="1465586121">
    <w:abstractNumId w:val="4"/>
  </w:num>
  <w:num w:numId="15" w16cid:durableId="192694117">
    <w:abstractNumId w:val="14"/>
  </w:num>
  <w:num w:numId="16" w16cid:durableId="1534148923">
    <w:abstractNumId w:val="16"/>
  </w:num>
  <w:num w:numId="17" w16cid:durableId="1747919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63"/>
    <w:rsid w:val="000F3848"/>
    <w:rsid w:val="00114E63"/>
    <w:rsid w:val="001F4BF9"/>
    <w:rsid w:val="00233304"/>
    <w:rsid w:val="004C74C8"/>
    <w:rsid w:val="005537F3"/>
    <w:rsid w:val="00893ADF"/>
    <w:rsid w:val="00A57EAB"/>
    <w:rsid w:val="00A604ED"/>
    <w:rsid w:val="00B62772"/>
    <w:rsid w:val="00C71354"/>
    <w:rsid w:val="00C77384"/>
    <w:rsid w:val="00CD345A"/>
    <w:rsid w:val="00E21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97F2"/>
  <w15:chartTrackingRefBased/>
  <w15:docId w15:val="{A480184E-9B33-6748-8B94-DC4B65DB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EAB"/>
    <w:pPr>
      <w:tabs>
        <w:tab w:val="center" w:pos="4513"/>
        <w:tab w:val="right" w:pos="9026"/>
      </w:tabs>
    </w:pPr>
  </w:style>
  <w:style w:type="character" w:customStyle="1" w:styleId="HeaderChar">
    <w:name w:val="Header Char"/>
    <w:basedOn w:val="DefaultParagraphFont"/>
    <w:link w:val="Header"/>
    <w:uiPriority w:val="99"/>
    <w:rsid w:val="00A57EAB"/>
  </w:style>
  <w:style w:type="paragraph" w:styleId="Footer">
    <w:name w:val="footer"/>
    <w:basedOn w:val="Normal"/>
    <w:link w:val="FooterChar"/>
    <w:uiPriority w:val="99"/>
    <w:unhideWhenUsed/>
    <w:rsid w:val="00A57EAB"/>
    <w:pPr>
      <w:tabs>
        <w:tab w:val="center" w:pos="4513"/>
        <w:tab w:val="right" w:pos="9026"/>
      </w:tabs>
    </w:pPr>
  </w:style>
  <w:style w:type="character" w:customStyle="1" w:styleId="FooterChar">
    <w:name w:val="Footer Char"/>
    <w:basedOn w:val="DefaultParagraphFont"/>
    <w:link w:val="Footer"/>
    <w:uiPriority w:val="99"/>
    <w:rsid w:val="00A57EAB"/>
  </w:style>
  <w:style w:type="character" w:styleId="Hyperlink">
    <w:name w:val="Hyperlink"/>
    <w:basedOn w:val="DefaultParagraphFont"/>
    <w:uiPriority w:val="99"/>
    <w:unhideWhenUsed/>
    <w:rsid w:val="00B62772"/>
    <w:rPr>
      <w:color w:val="0563C1" w:themeColor="hyperlink"/>
      <w:u w:val="single"/>
    </w:rPr>
  </w:style>
  <w:style w:type="character" w:styleId="UnresolvedMention">
    <w:name w:val="Unresolved Mention"/>
    <w:basedOn w:val="DefaultParagraphFont"/>
    <w:uiPriority w:val="99"/>
    <w:semiHidden/>
    <w:unhideWhenUsed/>
    <w:rsid w:val="00B62772"/>
    <w:rPr>
      <w:color w:val="605E5C"/>
      <w:shd w:val="clear" w:color="auto" w:fill="E1DFDD"/>
    </w:rPr>
  </w:style>
  <w:style w:type="paragraph" w:styleId="ListParagraph">
    <w:name w:val="List Paragraph"/>
    <w:basedOn w:val="Normal"/>
    <w:uiPriority w:val="34"/>
    <w:qFormat/>
    <w:rsid w:val="00C71354"/>
    <w:pPr>
      <w:ind w:left="720"/>
      <w:contextualSpacing/>
    </w:pPr>
  </w:style>
  <w:style w:type="character" w:styleId="PageNumber">
    <w:name w:val="page number"/>
    <w:basedOn w:val="DefaultParagraphFont"/>
    <w:uiPriority w:val="99"/>
    <w:semiHidden/>
    <w:unhideWhenUsed/>
    <w:rsid w:val="0055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2410">
      <w:bodyDiv w:val="1"/>
      <w:marLeft w:val="0"/>
      <w:marRight w:val="0"/>
      <w:marTop w:val="0"/>
      <w:marBottom w:val="0"/>
      <w:divBdr>
        <w:top w:val="none" w:sz="0" w:space="0" w:color="auto"/>
        <w:left w:val="none" w:sz="0" w:space="0" w:color="auto"/>
        <w:bottom w:val="none" w:sz="0" w:space="0" w:color="auto"/>
        <w:right w:val="none" w:sz="0" w:space="0" w:color="auto"/>
      </w:divBdr>
    </w:div>
    <w:div w:id="485635300">
      <w:bodyDiv w:val="1"/>
      <w:marLeft w:val="0"/>
      <w:marRight w:val="0"/>
      <w:marTop w:val="0"/>
      <w:marBottom w:val="0"/>
      <w:divBdr>
        <w:top w:val="none" w:sz="0" w:space="0" w:color="auto"/>
        <w:left w:val="none" w:sz="0" w:space="0" w:color="auto"/>
        <w:bottom w:val="none" w:sz="0" w:space="0" w:color="auto"/>
        <w:right w:val="none" w:sz="0" w:space="0" w:color="auto"/>
      </w:divBdr>
    </w:div>
    <w:div w:id="530647815">
      <w:bodyDiv w:val="1"/>
      <w:marLeft w:val="0"/>
      <w:marRight w:val="0"/>
      <w:marTop w:val="0"/>
      <w:marBottom w:val="0"/>
      <w:divBdr>
        <w:top w:val="none" w:sz="0" w:space="0" w:color="auto"/>
        <w:left w:val="none" w:sz="0" w:space="0" w:color="auto"/>
        <w:bottom w:val="none" w:sz="0" w:space="0" w:color="auto"/>
        <w:right w:val="none" w:sz="0" w:space="0" w:color="auto"/>
      </w:divBdr>
    </w:div>
    <w:div w:id="655765384">
      <w:bodyDiv w:val="1"/>
      <w:marLeft w:val="0"/>
      <w:marRight w:val="0"/>
      <w:marTop w:val="0"/>
      <w:marBottom w:val="0"/>
      <w:divBdr>
        <w:top w:val="none" w:sz="0" w:space="0" w:color="auto"/>
        <w:left w:val="none" w:sz="0" w:space="0" w:color="auto"/>
        <w:bottom w:val="none" w:sz="0" w:space="0" w:color="auto"/>
        <w:right w:val="none" w:sz="0" w:space="0" w:color="auto"/>
      </w:divBdr>
    </w:div>
    <w:div w:id="931667482">
      <w:bodyDiv w:val="1"/>
      <w:marLeft w:val="0"/>
      <w:marRight w:val="0"/>
      <w:marTop w:val="0"/>
      <w:marBottom w:val="0"/>
      <w:divBdr>
        <w:top w:val="none" w:sz="0" w:space="0" w:color="auto"/>
        <w:left w:val="none" w:sz="0" w:space="0" w:color="auto"/>
        <w:bottom w:val="none" w:sz="0" w:space="0" w:color="auto"/>
        <w:right w:val="none" w:sz="0" w:space="0" w:color="auto"/>
      </w:divBdr>
    </w:div>
    <w:div w:id="1144737833">
      <w:bodyDiv w:val="1"/>
      <w:marLeft w:val="0"/>
      <w:marRight w:val="0"/>
      <w:marTop w:val="0"/>
      <w:marBottom w:val="0"/>
      <w:divBdr>
        <w:top w:val="none" w:sz="0" w:space="0" w:color="auto"/>
        <w:left w:val="none" w:sz="0" w:space="0" w:color="auto"/>
        <w:bottom w:val="none" w:sz="0" w:space="0" w:color="auto"/>
        <w:right w:val="none" w:sz="0" w:space="0" w:color="auto"/>
      </w:divBdr>
    </w:div>
    <w:div w:id="1191726552">
      <w:bodyDiv w:val="1"/>
      <w:marLeft w:val="0"/>
      <w:marRight w:val="0"/>
      <w:marTop w:val="0"/>
      <w:marBottom w:val="0"/>
      <w:divBdr>
        <w:top w:val="none" w:sz="0" w:space="0" w:color="auto"/>
        <w:left w:val="none" w:sz="0" w:space="0" w:color="auto"/>
        <w:bottom w:val="none" w:sz="0" w:space="0" w:color="auto"/>
        <w:right w:val="none" w:sz="0" w:space="0" w:color="auto"/>
      </w:divBdr>
    </w:div>
    <w:div w:id="1449156409">
      <w:bodyDiv w:val="1"/>
      <w:marLeft w:val="0"/>
      <w:marRight w:val="0"/>
      <w:marTop w:val="0"/>
      <w:marBottom w:val="0"/>
      <w:divBdr>
        <w:top w:val="none" w:sz="0" w:space="0" w:color="auto"/>
        <w:left w:val="none" w:sz="0" w:space="0" w:color="auto"/>
        <w:bottom w:val="none" w:sz="0" w:space="0" w:color="auto"/>
        <w:right w:val="none" w:sz="0" w:space="0" w:color="auto"/>
      </w:divBdr>
    </w:div>
    <w:div w:id="1456631385">
      <w:bodyDiv w:val="1"/>
      <w:marLeft w:val="0"/>
      <w:marRight w:val="0"/>
      <w:marTop w:val="0"/>
      <w:marBottom w:val="0"/>
      <w:divBdr>
        <w:top w:val="none" w:sz="0" w:space="0" w:color="auto"/>
        <w:left w:val="none" w:sz="0" w:space="0" w:color="auto"/>
        <w:bottom w:val="none" w:sz="0" w:space="0" w:color="auto"/>
        <w:right w:val="none" w:sz="0" w:space="0" w:color="auto"/>
      </w:divBdr>
    </w:div>
    <w:div w:id="1763841909">
      <w:bodyDiv w:val="1"/>
      <w:marLeft w:val="0"/>
      <w:marRight w:val="0"/>
      <w:marTop w:val="0"/>
      <w:marBottom w:val="0"/>
      <w:divBdr>
        <w:top w:val="none" w:sz="0" w:space="0" w:color="auto"/>
        <w:left w:val="none" w:sz="0" w:space="0" w:color="auto"/>
        <w:bottom w:val="none" w:sz="0" w:space="0" w:color="auto"/>
        <w:right w:val="none" w:sz="0" w:space="0" w:color="auto"/>
      </w:divBdr>
    </w:div>
    <w:div w:id="1774741352">
      <w:bodyDiv w:val="1"/>
      <w:marLeft w:val="0"/>
      <w:marRight w:val="0"/>
      <w:marTop w:val="0"/>
      <w:marBottom w:val="0"/>
      <w:divBdr>
        <w:top w:val="none" w:sz="0" w:space="0" w:color="auto"/>
        <w:left w:val="none" w:sz="0" w:space="0" w:color="auto"/>
        <w:bottom w:val="none" w:sz="0" w:space="0" w:color="auto"/>
        <w:right w:val="none" w:sz="0" w:space="0" w:color="auto"/>
      </w:divBdr>
    </w:div>
    <w:div w:id="1899168801">
      <w:bodyDiv w:val="1"/>
      <w:marLeft w:val="0"/>
      <w:marRight w:val="0"/>
      <w:marTop w:val="0"/>
      <w:marBottom w:val="0"/>
      <w:divBdr>
        <w:top w:val="none" w:sz="0" w:space="0" w:color="auto"/>
        <w:left w:val="none" w:sz="0" w:space="0" w:color="auto"/>
        <w:bottom w:val="none" w:sz="0" w:space="0" w:color="auto"/>
        <w:right w:val="none" w:sz="0" w:space="0" w:color="auto"/>
      </w:divBdr>
    </w:div>
    <w:div w:id="20855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ptp.pathwaytopotential@gmail.com</dc:creator>
  <cp:keywords/>
  <dc:description/>
  <cp:lastModifiedBy>ptp.pathwaytopotential@gmail.com</cp:lastModifiedBy>
  <cp:revision>2</cp:revision>
  <dcterms:created xsi:type="dcterms:W3CDTF">2023-10-03T01:06:00Z</dcterms:created>
  <dcterms:modified xsi:type="dcterms:W3CDTF">2023-10-03T01:06:00Z</dcterms:modified>
</cp:coreProperties>
</file>