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FDA4" w14:textId="77777777" w:rsidR="00EE2CA6" w:rsidRPr="00230643" w:rsidRDefault="00EE2CA6" w:rsidP="00EE2CA6">
      <w:pPr>
        <w:rPr>
          <w:b/>
          <w:bCs/>
        </w:rPr>
      </w:pPr>
      <w:r w:rsidRPr="00230643">
        <w:rPr>
          <w:b/>
          <w:bCs/>
        </w:rPr>
        <w:t>Session 3: Having Beliefs and Following Rules</w:t>
      </w:r>
    </w:p>
    <w:p w14:paraId="26EBF5CD" w14:textId="77777777" w:rsidR="007C7AFF" w:rsidRPr="00327DC4" w:rsidRDefault="007C7AFF">
      <w:pPr>
        <w:rPr>
          <w:b/>
          <w:bCs/>
        </w:rPr>
      </w:pPr>
    </w:p>
    <w:p w14:paraId="59DF2F18" w14:textId="706E519A" w:rsidR="00230643" w:rsidRDefault="00230643" w:rsidP="00230643">
      <w:pPr>
        <w:pStyle w:val="ListParagraph"/>
        <w:numPr>
          <w:ilvl w:val="0"/>
          <w:numId w:val="1"/>
        </w:numPr>
      </w:pPr>
      <w:r>
        <w:t xml:space="preserve">When God created Adam, he whispered in his ear, ‘In all contexts of action you will recognize rules, if only the rule to grope for rules to recognize. When you cease to recognize rules, you will walk on four feet.’ </w:t>
      </w:r>
      <w:r>
        <w:t>(</w:t>
      </w:r>
      <w:r>
        <w:t xml:space="preserve">Sellars, Language, Rules and </w:t>
      </w:r>
      <w:r>
        <w:t>Behaviour</w:t>
      </w:r>
      <w:r>
        <w:t>, p. 122</w:t>
      </w:r>
      <w:r>
        <w:t>)</w:t>
      </w:r>
    </w:p>
    <w:p w14:paraId="776E391F" w14:textId="6B0F6E91" w:rsidR="00230643" w:rsidRDefault="00230643" w:rsidP="00230643">
      <w:pPr>
        <w:pStyle w:val="ListParagraph"/>
        <w:ind w:left="360"/>
      </w:pPr>
    </w:p>
    <w:p w14:paraId="779E9F96" w14:textId="49249944" w:rsidR="00230643" w:rsidRDefault="00230643" w:rsidP="00230643">
      <w:pPr>
        <w:pStyle w:val="ListParagraph"/>
        <w:numPr>
          <w:ilvl w:val="0"/>
          <w:numId w:val="1"/>
        </w:numPr>
      </w:pPr>
      <w:r>
        <w:t>[T]here is a simple and straightforward way of preserving the essential claim of the thesis [that learning a language is learning to obey its rules] while freeing it from the refutation. It consists in substituting the phrase ‘learning to conform to the rules …’ for ‘learning to obey the rules …’ where ‘conforming to a rule enjoining the doing of A in circumstances C’ is to be equated simply with ‘doing A when the circumstances are C’—regardless of how one comes to do it. (</w:t>
      </w:r>
      <w:r>
        <w:t xml:space="preserve">Sellars, Some Reflections on Language Games, </w:t>
      </w:r>
      <w:r>
        <w:t>p. 322)</w:t>
      </w:r>
    </w:p>
    <w:p w14:paraId="1B5D3A40" w14:textId="28157A4C" w:rsidR="00230643" w:rsidRDefault="00230643" w:rsidP="00230643">
      <w:pPr>
        <w:pStyle w:val="ListParagraph"/>
        <w:ind w:left="360"/>
      </w:pPr>
    </w:p>
    <w:p w14:paraId="6761A412" w14:textId="13E91037" w:rsidR="00230643" w:rsidRDefault="00230643" w:rsidP="00230643">
      <w:pPr>
        <w:pStyle w:val="ListParagraph"/>
        <w:numPr>
          <w:ilvl w:val="0"/>
          <w:numId w:val="1"/>
        </w:numPr>
      </w:pPr>
      <w:r>
        <w:t xml:space="preserve">[T]here are many modes of human activity for which there are rules (let us stretch the word ‘game’ to cover them all) and yet in which people participate (play) without being able to formulate the rules to which they conform in so doing. Should we not conclude that playing these games is a matter of </w:t>
      </w:r>
      <w:r w:rsidRPr="00230643">
        <w:rPr>
          <w:i/>
          <w:iCs/>
        </w:rPr>
        <w:t>doing A when the circumstances are C, doing A´</w:t>
      </w:r>
      <w:r>
        <w:rPr>
          <w:i/>
          <w:iCs/>
        </w:rPr>
        <w:t xml:space="preserve"> </w:t>
      </w:r>
      <w:r w:rsidRPr="00230643">
        <w:rPr>
          <w:i/>
          <w:iCs/>
        </w:rPr>
        <w:t>when the circumstances are C´</w:t>
      </w:r>
      <w:r>
        <w:t xml:space="preserve"> etc., and that the ability to formulate and obey the rules, although it may be a necessary condition of playing ‘in a critical and self-conscious manner’ cannot be essential to playing tout court. (Sellars, Some Reflections on Language Games, p. 322)</w:t>
      </w:r>
    </w:p>
    <w:p w14:paraId="27E03882" w14:textId="560293A1" w:rsidR="00230643" w:rsidRDefault="00230643" w:rsidP="00230643">
      <w:pPr>
        <w:pStyle w:val="ListParagraph"/>
        <w:ind w:left="360"/>
      </w:pPr>
    </w:p>
    <w:p w14:paraId="4F6F1ECF" w14:textId="27725145" w:rsidR="00230643" w:rsidRDefault="00230643" w:rsidP="00230643">
      <w:pPr>
        <w:pStyle w:val="ListParagraph"/>
        <w:numPr>
          <w:ilvl w:val="0"/>
          <w:numId w:val="1"/>
        </w:numPr>
      </w:pPr>
      <w:r>
        <w:t xml:space="preserve">Norms explicit as rules presuppose norms implicit in practices because a rule specifying how something is correctly done (how a word ought to be used, how a piano ought to be tuned) must be applied to </w:t>
      </w:r>
      <w:proofErr w:type="gramStart"/>
      <w:r>
        <w:t>particular circumstances</w:t>
      </w:r>
      <w:proofErr w:type="gramEnd"/>
      <w:r>
        <w:t xml:space="preserve">, and applying a rule in particular circumstances is itself essentially something that can be done correctly or incorrectly. … For any </w:t>
      </w:r>
      <w:proofErr w:type="gramStart"/>
      <w:r>
        <w:t>particular performance</w:t>
      </w:r>
      <w:proofErr w:type="gramEnd"/>
      <w:r>
        <w:t xml:space="preserve"> and any rule, there will be ways of applying the rule </w:t>
      </w:r>
      <w:proofErr w:type="gramStart"/>
      <w:r>
        <w:t>so as to</w:t>
      </w:r>
      <w:proofErr w:type="gramEnd"/>
      <w:r>
        <w:t xml:space="preserve"> forbid performance, and ways of applying the rule </w:t>
      </w:r>
      <w:proofErr w:type="gramStart"/>
      <w:r>
        <w:t>so as to</w:t>
      </w:r>
      <w:proofErr w:type="gramEnd"/>
      <w:r>
        <w:t xml:space="preserve"> permit or require it</w:t>
      </w:r>
      <w:r>
        <w:t xml:space="preserve"> </w:t>
      </w:r>
      <w:r>
        <w:t>(</w:t>
      </w:r>
      <w:r>
        <w:t>Brandom, Making it Explicit</w:t>
      </w:r>
      <w:r>
        <w:t xml:space="preserve">, p. 20). </w:t>
      </w:r>
    </w:p>
    <w:p w14:paraId="74FDC154" w14:textId="77777777" w:rsidR="00230643" w:rsidRDefault="00230643" w:rsidP="00230643">
      <w:pPr>
        <w:pStyle w:val="ListParagraph"/>
      </w:pPr>
    </w:p>
    <w:p w14:paraId="5CB94A0D" w14:textId="67A47B49" w:rsidR="00230643" w:rsidRDefault="00230643" w:rsidP="00230643">
      <w:pPr>
        <w:pStyle w:val="ListParagraph"/>
        <w:numPr>
          <w:ilvl w:val="0"/>
          <w:numId w:val="1"/>
        </w:numPr>
      </w:pPr>
      <w:r>
        <w:t>there must be some meta … metalevel at which one has some understanding of rules that does not consist of offering another interpretation of them … but which consists in being able to distinguish correct applications in practice (</w:t>
      </w:r>
      <w:r>
        <w:t>Brandom, Making it Explicit</w:t>
      </w:r>
      <w:r>
        <w:t>, p. 25).</w:t>
      </w:r>
    </w:p>
    <w:p w14:paraId="4B5AC8DC" w14:textId="0132C7CD" w:rsidR="00230643" w:rsidRDefault="00230643" w:rsidP="00230643">
      <w:pPr>
        <w:pStyle w:val="ListParagraph"/>
        <w:ind w:left="360"/>
      </w:pPr>
    </w:p>
    <w:p w14:paraId="0FBD9195" w14:textId="22E36DA6" w:rsidR="00DC5E72" w:rsidRDefault="00230643" w:rsidP="00230643">
      <w:pPr>
        <w:pStyle w:val="ListParagraph"/>
        <w:numPr>
          <w:ilvl w:val="0"/>
          <w:numId w:val="1"/>
        </w:numPr>
      </w:pPr>
      <w:r>
        <w:t>the key to finding the indispensable middle course is the idea of a custom or practice. How can a performance both be nothing but a ‘blind’ reaction to a situation, not an attempt to act on an interpretation (avoiding Scylla); and be a case of going by a rule (avoiding Charybdis)? The answer is: by belonging to a custom (PI §198), practice (PI §202), or institution (RFM VI–31)” (</w:t>
      </w:r>
      <w:r>
        <w:t xml:space="preserve">McDowell, </w:t>
      </w:r>
      <w:r>
        <w:t>W</w:t>
      </w:r>
      <w:r>
        <w:t xml:space="preserve">ittgenstein on Following a Rule, </w:t>
      </w:r>
      <w:r>
        <w:t>p. 342).</w:t>
      </w:r>
    </w:p>
    <w:sectPr w:rsidR="00DC5E72" w:rsidSect="00F85F0F">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5FBA"/>
    <w:multiLevelType w:val="hybridMultilevel"/>
    <w:tmpl w:val="01F4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482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0F"/>
    <w:rsid w:val="0007273D"/>
    <w:rsid w:val="000F0691"/>
    <w:rsid w:val="00100265"/>
    <w:rsid w:val="00137A1D"/>
    <w:rsid w:val="00140CA9"/>
    <w:rsid w:val="00230643"/>
    <w:rsid w:val="002D0AEF"/>
    <w:rsid w:val="002E36D6"/>
    <w:rsid w:val="00327DC4"/>
    <w:rsid w:val="00407415"/>
    <w:rsid w:val="00451E17"/>
    <w:rsid w:val="004C3E1A"/>
    <w:rsid w:val="005E49BF"/>
    <w:rsid w:val="005F6013"/>
    <w:rsid w:val="00660B45"/>
    <w:rsid w:val="00666EC8"/>
    <w:rsid w:val="0077354A"/>
    <w:rsid w:val="00775297"/>
    <w:rsid w:val="007C7AFF"/>
    <w:rsid w:val="0083271E"/>
    <w:rsid w:val="00842F96"/>
    <w:rsid w:val="008F3F23"/>
    <w:rsid w:val="00906DE2"/>
    <w:rsid w:val="00A60C27"/>
    <w:rsid w:val="00AB5CBB"/>
    <w:rsid w:val="00B964C6"/>
    <w:rsid w:val="00BD289A"/>
    <w:rsid w:val="00BE44BE"/>
    <w:rsid w:val="00C12B68"/>
    <w:rsid w:val="00C27204"/>
    <w:rsid w:val="00CA7008"/>
    <w:rsid w:val="00CC5755"/>
    <w:rsid w:val="00D810AF"/>
    <w:rsid w:val="00D95DA5"/>
    <w:rsid w:val="00DC5E72"/>
    <w:rsid w:val="00E1470F"/>
    <w:rsid w:val="00EA386F"/>
    <w:rsid w:val="00EB2A9F"/>
    <w:rsid w:val="00EE2CA6"/>
    <w:rsid w:val="00F32681"/>
    <w:rsid w:val="00F85F0F"/>
    <w:rsid w:val="00F86FC3"/>
    <w:rsid w:val="00FB79F8"/>
    <w:rsid w:val="00FF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8FAC"/>
  <w15:chartTrackingRefBased/>
  <w15:docId w15:val="{B69B3BEE-AC2B-4FFA-830F-835660D8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0F"/>
  </w:style>
  <w:style w:type="paragraph" w:styleId="Heading1">
    <w:name w:val="heading 1"/>
    <w:basedOn w:val="Normal"/>
    <w:next w:val="Normal"/>
    <w:link w:val="Heading1Char"/>
    <w:uiPriority w:val="9"/>
    <w:qFormat/>
    <w:rsid w:val="00E1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70F"/>
    <w:rPr>
      <w:rFonts w:eastAsiaTheme="majorEastAsia" w:cstheme="majorBidi"/>
      <w:color w:val="272727" w:themeColor="text1" w:themeTint="D8"/>
    </w:rPr>
  </w:style>
  <w:style w:type="paragraph" w:styleId="Title">
    <w:name w:val="Title"/>
    <w:basedOn w:val="Normal"/>
    <w:next w:val="Normal"/>
    <w:link w:val="TitleChar"/>
    <w:uiPriority w:val="10"/>
    <w:qFormat/>
    <w:rsid w:val="00E1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70F"/>
    <w:pPr>
      <w:spacing w:before="160"/>
      <w:jc w:val="center"/>
    </w:pPr>
    <w:rPr>
      <w:i/>
      <w:iCs/>
      <w:color w:val="404040" w:themeColor="text1" w:themeTint="BF"/>
    </w:rPr>
  </w:style>
  <w:style w:type="character" w:customStyle="1" w:styleId="QuoteChar">
    <w:name w:val="Quote Char"/>
    <w:basedOn w:val="DefaultParagraphFont"/>
    <w:link w:val="Quote"/>
    <w:uiPriority w:val="29"/>
    <w:rsid w:val="00E1470F"/>
    <w:rPr>
      <w:i/>
      <w:iCs/>
      <w:color w:val="404040" w:themeColor="text1" w:themeTint="BF"/>
    </w:rPr>
  </w:style>
  <w:style w:type="paragraph" w:styleId="ListParagraph">
    <w:name w:val="List Paragraph"/>
    <w:basedOn w:val="Normal"/>
    <w:uiPriority w:val="34"/>
    <w:qFormat/>
    <w:rsid w:val="00E1470F"/>
    <w:pPr>
      <w:ind w:left="720"/>
      <w:contextualSpacing/>
    </w:pPr>
  </w:style>
  <w:style w:type="character" w:styleId="IntenseEmphasis">
    <w:name w:val="Intense Emphasis"/>
    <w:basedOn w:val="DefaultParagraphFont"/>
    <w:uiPriority w:val="21"/>
    <w:qFormat/>
    <w:rsid w:val="00E1470F"/>
    <w:rPr>
      <w:i/>
      <w:iCs/>
      <w:color w:val="0F4761" w:themeColor="accent1" w:themeShade="BF"/>
    </w:rPr>
  </w:style>
  <w:style w:type="paragraph" w:styleId="IntenseQuote">
    <w:name w:val="Intense Quote"/>
    <w:basedOn w:val="Normal"/>
    <w:next w:val="Normal"/>
    <w:link w:val="IntenseQuoteChar"/>
    <w:uiPriority w:val="30"/>
    <w:qFormat/>
    <w:rsid w:val="00E1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70F"/>
    <w:rPr>
      <w:i/>
      <w:iCs/>
      <w:color w:val="0F4761" w:themeColor="accent1" w:themeShade="BF"/>
    </w:rPr>
  </w:style>
  <w:style w:type="character" w:styleId="IntenseReference">
    <w:name w:val="Intense Reference"/>
    <w:basedOn w:val="DefaultParagraphFont"/>
    <w:uiPriority w:val="32"/>
    <w:qFormat/>
    <w:rsid w:val="00E14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400</Words>
  <Characters>2343</Characters>
  <Application>Microsoft Office Word</Application>
  <DocSecurity>0</DocSecurity>
  <Lines>42</Lines>
  <Paragraphs>9</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Creamer, Patrick</dc:creator>
  <cp:keywords/>
  <dc:description/>
  <cp:lastModifiedBy>Creamer, Patrick</cp:lastModifiedBy>
  <cp:revision>4</cp:revision>
  <dcterms:created xsi:type="dcterms:W3CDTF">2026-01-27T08:04:00Z</dcterms:created>
  <dcterms:modified xsi:type="dcterms:W3CDTF">2026-01-27T08:15:00Z</dcterms:modified>
</cp:coreProperties>
</file>