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4EFE9" w14:textId="2D42EFF3" w:rsidR="001B2BAD" w:rsidRDefault="005450DD">
      <w:r w:rsidRPr="005450DD">
        <w:t xml:space="preserve">Language, Rules and </w:t>
      </w:r>
      <w:proofErr w:type="spellStart"/>
      <w:r w:rsidRPr="005450DD">
        <w:t>Behavior</w:t>
      </w:r>
      <w:proofErr w:type="spellEnd"/>
      <w:r>
        <w:t xml:space="preserve"> (rules and ‘tied </w:t>
      </w:r>
      <w:proofErr w:type="spellStart"/>
      <w:r>
        <w:t>behavior</w:t>
      </w:r>
      <w:proofErr w:type="spellEnd"/>
      <w:r>
        <w:t>’)</w:t>
      </w:r>
    </w:p>
    <w:p w14:paraId="3E4DCEE6" w14:textId="77777777" w:rsidR="00AF0ABD" w:rsidRDefault="00AF0ABD"/>
    <w:p w14:paraId="2FE9FFAE" w14:textId="77777777" w:rsidR="00AF0ABD" w:rsidRDefault="00AF0ABD" w:rsidP="00AF0ABD">
      <w:r>
        <w:t xml:space="preserve">I suspect that my trouble with the concept of a rule is in large part due to my ignorance of the psychology of the higher processes. Yet certain things seem clear. In the first place, we must distinguish between action which merely </w:t>
      </w:r>
      <w:r w:rsidRPr="00AF0ABD">
        <w:rPr>
          <w:i/>
          <w:iCs/>
        </w:rPr>
        <w:t>conforms</w:t>
      </w:r>
      <w:r>
        <w:t xml:space="preserve"> </w:t>
      </w:r>
      <w:r w:rsidRPr="00AF0ABD">
        <w:rPr>
          <w:i/>
          <w:iCs/>
        </w:rPr>
        <w:t>to</w:t>
      </w:r>
      <w:r>
        <w:t xml:space="preserve"> a rule, and action which occurs </w:t>
      </w:r>
      <w:r w:rsidRPr="00AF0ABD">
        <w:rPr>
          <w:i/>
          <w:iCs/>
        </w:rPr>
        <w:t>because of</w:t>
      </w:r>
      <w:r>
        <w:t xml:space="preserve"> a rule. A rule isn't functioning as a rule unless it is in some sense internal to action. </w:t>
      </w:r>
      <w:proofErr w:type="gramStart"/>
      <w:r>
        <w:t>Otherwise</w:t>
      </w:r>
      <w:proofErr w:type="gramEnd"/>
      <w:r>
        <w:t xml:space="preserve"> it is a mere generalization. Thus, if I train an animal to sit up when I snap my fingers, the animal's </w:t>
      </w:r>
      <w:proofErr w:type="spellStart"/>
      <w:r>
        <w:t>behavior</w:t>
      </w:r>
      <w:proofErr w:type="spellEnd"/>
      <w:r>
        <w:t xml:space="preserve"> conforms to the generalization "This animal sits up when my fingers snap," but we should scarcely say that the animal acts on the rule of sitting up when I snap my fingers. Clearly the type of activity which is rule-regulated is of a higher level than that which is produced by simple animal learning procedures. One way of bringing this out is to say that most if not all animal </w:t>
      </w:r>
      <w:proofErr w:type="spellStart"/>
      <w:r>
        <w:t>behavior</w:t>
      </w:r>
      <w:proofErr w:type="spellEnd"/>
      <w:r>
        <w:t xml:space="preserve"> is tied to the environment in a way in which much characteristically human </w:t>
      </w:r>
      <w:proofErr w:type="spellStart"/>
      <w:r>
        <w:t>behavior</w:t>
      </w:r>
      <w:proofErr w:type="spellEnd"/>
      <w:r>
        <w:t xml:space="preserve"> is not. Certainly, we learn habits of response to our environment in a way which is essentially identical with that in which the dog learns to sit up when I snap my fingers. And </w:t>
      </w:r>
      <w:proofErr w:type="gramStart"/>
      <w:r>
        <w:t>certainly</w:t>
      </w:r>
      <w:proofErr w:type="gramEnd"/>
      <w:r>
        <w:t xml:space="preserve"> these learned habits of response -- though modifiable by rule-regulated symbol activity -- remain the basic tie between all the complex rule-regulated symbol </w:t>
      </w:r>
      <w:proofErr w:type="spellStart"/>
      <w:r>
        <w:t>behavior</w:t>
      </w:r>
      <w:proofErr w:type="spellEnd"/>
      <w:r>
        <w:t xml:space="preserve"> which is the human mind in action, and the environment in which the individual lives and acts. Yet above the foundation of man's learned responses to environmental stimuli -- let us call this his </w:t>
      </w:r>
      <w:r w:rsidRPr="00AF0ABD">
        <w:rPr>
          <w:i/>
          <w:iCs/>
        </w:rPr>
        <w:t xml:space="preserve">tied </w:t>
      </w:r>
      <w:proofErr w:type="spellStart"/>
      <w:r w:rsidRPr="00AF0ABD">
        <w:rPr>
          <w:i/>
          <w:iCs/>
        </w:rPr>
        <w:t>behavior</w:t>
      </w:r>
      <w:proofErr w:type="spellEnd"/>
      <w:r>
        <w:t xml:space="preserve"> -- there towers a superstructure of </w:t>
      </w:r>
      <w:proofErr w:type="gramStart"/>
      <w:r>
        <w:t>more or less developed</w:t>
      </w:r>
      <w:proofErr w:type="gramEnd"/>
      <w:r>
        <w:t xml:space="preserve"> systems of rule-regulated symbol activity </w:t>
      </w:r>
      <w:proofErr w:type="spellStart"/>
      <w:r>
        <w:t>wrhich</w:t>
      </w:r>
      <w:proofErr w:type="spellEnd"/>
      <w:r>
        <w:t xml:space="preserve"> constitutes man's intellectual vision. It is in terms of such systems of rule-regulated symbol activity that we are to understand an Einstein's grasp of alternative structures of natural law, a Leibnitz' vision of the totality of all possible worlds, a logician's exploration of the most diversified postulate systems, a Cantor's march into the trans-finite. Such symbol activity may well be characterized as free -- by which, of course, I do not mean </w:t>
      </w:r>
      <w:r w:rsidRPr="00AF0ABD">
        <w:rPr>
          <w:i/>
          <w:iCs/>
        </w:rPr>
        <w:t>uncaused</w:t>
      </w:r>
      <w:r>
        <w:t xml:space="preserve"> -- in contrast to the </w:t>
      </w:r>
      <w:proofErr w:type="spellStart"/>
      <w:r>
        <w:t>behavior</w:t>
      </w:r>
      <w:proofErr w:type="spellEnd"/>
      <w:r>
        <w:t xml:space="preserve"> that is learned as a dog learns to sit up, or a white rat to run a maze. On the other hand, a structure of rule-regulated symbol activity, which as such is free, constitutes a man's understanding of this world, the world in which he lives, its history and future, the laws according to which it operates, by meshing in with his </w:t>
      </w:r>
      <w:r w:rsidRPr="00AF0ABD">
        <w:t xml:space="preserve">tied </w:t>
      </w:r>
      <w:proofErr w:type="spellStart"/>
      <w:r w:rsidRPr="00AF0ABD">
        <w:t>behavior</w:t>
      </w:r>
      <w:proofErr w:type="spellEnd"/>
      <w:r>
        <w:t xml:space="preserve">, his learned habits of response to his environment. To say that man is a rational animal, is to say that man is a creature not of </w:t>
      </w:r>
      <w:r w:rsidRPr="00AF0ABD">
        <w:rPr>
          <w:i/>
          <w:iCs/>
        </w:rPr>
        <w:t>habits</w:t>
      </w:r>
      <w:r>
        <w:t xml:space="preserve">, but of </w:t>
      </w:r>
      <w:r w:rsidRPr="00AF0ABD">
        <w:rPr>
          <w:i/>
          <w:iCs/>
        </w:rPr>
        <w:t>rules</w:t>
      </w:r>
      <w:r>
        <w:t>. When God created Adam, he whispered in his ear, "In all contexts of action you will recognize rules, if only the rule to grope for rules to recognize. When you cease to recognize rules, you will walk on four feet."</w:t>
      </w:r>
    </w:p>
    <w:p w14:paraId="3F0279A6" w14:textId="77777777" w:rsidR="00AF0ABD" w:rsidRDefault="00AF0ABD" w:rsidP="00AF0ABD"/>
    <w:p w14:paraId="5D019B10" w14:textId="77777777" w:rsidR="00AF0ABD" w:rsidRDefault="00AF0ABD" w:rsidP="00AF0ABD">
      <w:r>
        <w:t xml:space="preserve">If what I have just said appears to be rhetoric and not philosophy, I can only plead that it ought to be psychology, but that if an adequate psychology of rule-governed symbol </w:t>
      </w:r>
      <w:proofErr w:type="spellStart"/>
      <w:r>
        <w:t>behavior</w:t>
      </w:r>
      <w:proofErr w:type="spellEnd"/>
      <w:r>
        <w:t xml:space="preserve"> exists, I have not yet made its acquaintance. This, however, may well be just another example of the philosopher's characteristic ignorance of the science of his day (as opposed to the science of yesterday, with which he is notoriously well acquainted). But if what we have been saying belongs to psychology, then, once again, we must ask, "How does it concern us, who are philosophers and not psychologists?" What would be the relevance of an adequate empirical psychology of rule-regulated symbol activity to the task of the philosopher? Now, that psychology is neither the whole nor even a part of philosophy is granted. Yet bad psychology may give aid and comfort to bad philosophy. This is most clear in connection with the rationalistic pseudo-psychologies which we </w:t>
      </w:r>
      <w:r>
        <w:lastRenderedPageBreak/>
        <w:t>shall be criticizing in a moment. I want now to point out that if there is any truth in what we have said, then much of what (among philosophers) passes for tough-minded psychology is an over-simplified extension to the higher processes of the dog--</w:t>
      </w:r>
      <w:proofErr w:type="spellStart"/>
      <w:r>
        <w:t>fingersnap</w:t>
      </w:r>
      <w:proofErr w:type="spellEnd"/>
      <w:r>
        <w:t xml:space="preserve">--sit-up--sugar schema of tied responses to environmental stimuli. Not that I should deny for one moment that animal learning theory provides the key to all psychological phenomena. On the contrary I am convinced that this is the case. And not that I should deny that the laws of animal learning (if we had them) would explain even the mathematician's </w:t>
      </w:r>
      <w:proofErr w:type="spellStart"/>
      <w:r>
        <w:t>behavior</w:t>
      </w:r>
      <w:proofErr w:type="spellEnd"/>
      <w:r>
        <w:t xml:space="preserve"> in developing alternative postulate sets for n-dimensional geometries. I am even prepared to endorse this promissory note. Yet the fact remains that the distinction between tied </w:t>
      </w:r>
      <w:proofErr w:type="spellStart"/>
      <w:r>
        <w:t>behavior</w:t>
      </w:r>
      <w:proofErr w:type="spellEnd"/>
      <w:r>
        <w:t xml:space="preserve"> and free, rule-regulated symbol activity, whatever they may have in common, is a fact of experience, one that the philosopher cannot afford to neglect.</w:t>
      </w:r>
    </w:p>
    <w:p w14:paraId="21A692C6" w14:textId="77777777" w:rsidR="00AF0ABD" w:rsidRDefault="00AF0ABD" w:rsidP="00AF0ABD"/>
    <w:p w14:paraId="0D4BB8B7" w14:textId="20271C1C" w:rsidR="00AF0ABD" w:rsidRDefault="00AF0ABD" w:rsidP="00AF0ABD">
      <w:r>
        <w:t xml:space="preserve">We distinguished above between action which merely conforms to a rule and action which occurs because of a rule and pointed out that in so far as actions merely conform to it, a rule is not a rule but a mere generalization. On the other hand, we must not say that a rule is something completely other than a generalization. The mode of existence of a rule is as a generalization written in flesh and blood, or nerve and sinew, rather than in pen and ink. A rule, existing in its proper element, has the logical form of a generalization. Yet a rule is not </w:t>
      </w:r>
      <w:r w:rsidRPr="00AF0ABD">
        <w:rPr>
          <w:i/>
          <w:iCs/>
        </w:rPr>
        <w:t>merely</w:t>
      </w:r>
      <w:r>
        <w:t xml:space="preserve"> a generalization which is formulated in the language of intra-organic process. Such a generalization would find its overt expression in a declarative sentence. A rule, on the other hand, finds its expression either in what are classified as non-declarative grammatical forms, or else in declarative sentences with certain special terms such as "correct," "proper," "right," etc., serving to distinguish them, from generalizations. What do these special features in the formulation of rules indicate? They give expression to the fact that a rule is an embodied generalization which to speak loosely but suggestively, tends to make itself true. Better, it tends to inhibit the occurrence of such events as would falsify it -- if it weren't already false, that is, for the generalizations which lie at the core of rules are rarely if ever true, and unless they </w:t>
      </w:r>
      <w:r w:rsidRPr="00AF0ABD">
        <w:rPr>
          <w:i/>
          <w:iCs/>
        </w:rPr>
        <w:t>could</w:t>
      </w:r>
      <w:r>
        <w:t xml:space="preserve"> (logical </w:t>
      </w:r>
      <w:r w:rsidRPr="00AF0ABD">
        <w:rPr>
          <w:i/>
          <w:iCs/>
        </w:rPr>
        <w:t>or</w:t>
      </w:r>
      <w:r>
        <w:t xml:space="preserve"> physical possibility) be false, they could scarcely function as rules. Thus, consider the moral rule, "One ought to tell the truth." The core-generalization on which this rule is built is "People always say what they believe" which is, of course, false.</w:t>
      </w:r>
      <w:r>
        <w:t xml:space="preserve"> </w:t>
      </w:r>
    </w:p>
    <w:p w14:paraId="013DEF25" w14:textId="77777777" w:rsidR="00AF0ABD" w:rsidRDefault="00AF0ABD" w:rsidP="00AF0ABD"/>
    <w:p w14:paraId="10ABAA61" w14:textId="77777777" w:rsidR="00A11A8C" w:rsidRDefault="00A11A8C" w:rsidP="00AF0ABD"/>
    <w:p w14:paraId="176E1459" w14:textId="77777777" w:rsidR="00A11A8C" w:rsidRDefault="00A11A8C" w:rsidP="00A11A8C">
      <w:r w:rsidRPr="005450DD">
        <w:t xml:space="preserve">Wilfrid Sellars, "Language, Rules and </w:t>
      </w:r>
      <w:proofErr w:type="spellStart"/>
      <w:r w:rsidRPr="005450DD">
        <w:t>Behavior</w:t>
      </w:r>
      <w:proofErr w:type="spellEnd"/>
      <w:r w:rsidRPr="005450DD">
        <w:t xml:space="preserve">," in John Dewey: Philosopher of Science and Freedom, edited by Sidney Hook (New York: The Dial Press,1949): 289-315. Reprinted in Pure Pragmatics and Possible Worlds: The Early Essays of Wilfrid Sellars, ed. and intro. by Jeffrey F. </w:t>
      </w:r>
      <w:proofErr w:type="spellStart"/>
      <w:r w:rsidRPr="005450DD">
        <w:t>Sicha</w:t>
      </w:r>
      <w:proofErr w:type="spellEnd"/>
      <w:r w:rsidRPr="005450DD">
        <w:t xml:space="preserve"> (Reseda, California: Ridgeview Publishing Company, 1980).</w:t>
      </w:r>
    </w:p>
    <w:p w14:paraId="750F5A51" w14:textId="77777777" w:rsidR="00A11A8C" w:rsidRDefault="00A11A8C" w:rsidP="00A11A8C"/>
    <w:p w14:paraId="6908DA45" w14:textId="77777777" w:rsidR="00A11A8C" w:rsidRDefault="00A11A8C" w:rsidP="00A11A8C">
      <w:hyperlink r:id="rId4" w:history="1">
        <w:r w:rsidRPr="00E05BC8">
          <w:rPr>
            <w:rStyle w:val="Hyperlink"/>
          </w:rPr>
          <w:t>https://www.ditext.com/sellars/lrb.html</w:t>
        </w:r>
      </w:hyperlink>
      <w:r>
        <w:t xml:space="preserve"> </w:t>
      </w:r>
    </w:p>
    <w:p w14:paraId="2C823A3E" w14:textId="77777777" w:rsidR="00AF0ABD" w:rsidRDefault="00AF0ABD" w:rsidP="00AF0ABD"/>
    <w:p w14:paraId="003B6E00" w14:textId="77777777" w:rsidR="00A11A8C" w:rsidRDefault="00A11A8C" w:rsidP="00AF0ABD"/>
    <w:p w14:paraId="76E4C816" w14:textId="77777777" w:rsidR="005450DD" w:rsidRDefault="005450DD" w:rsidP="00AF0ABD"/>
    <w:sectPr w:rsidR="005450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7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ABD"/>
    <w:rsid w:val="00056A78"/>
    <w:rsid w:val="00180D1D"/>
    <w:rsid w:val="001B2BAD"/>
    <w:rsid w:val="004A19AE"/>
    <w:rsid w:val="005450DD"/>
    <w:rsid w:val="0054710E"/>
    <w:rsid w:val="006D4A8C"/>
    <w:rsid w:val="00A11A8C"/>
    <w:rsid w:val="00AF0ABD"/>
    <w:rsid w:val="00C65B5D"/>
    <w:rsid w:val="00DE45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A8AAFB2"/>
  <w15:chartTrackingRefBased/>
  <w15:docId w15:val="{3B425839-6C61-EA4A-B458-99D423E4F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0A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0A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0A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0A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0A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0AB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0AB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0AB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0AB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A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0A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0A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0A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0A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0A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0A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0A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0ABD"/>
    <w:rPr>
      <w:rFonts w:eastAsiaTheme="majorEastAsia" w:cstheme="majorBidi"/>
      <w:color w:val="272727" w:themeColor="text1" w:themeTint="D8"/>
    </w:rPr>
  </w:style>
  <w:style w:type="paragraph" w:styleId="Title">
    <w:name w:val="Title"/>
    <w:basedOn w:val="Normal"/>
    <w:next w:val="Normal"/>
    <w:link w:val="TitleChar"/>
    <w:uiPriority w:val="10"/>
    <w:qFormat/>
    <w:rsid w:val="00AF0AB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0A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0AB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0A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0AB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F0ABD"/>
    <w:rPr>
      <w:i/>
      <w:iCs/>
      <w:color w:val="404040" w:themeColor="text1" w:themeTint="BF"/>
    </w:rPr>
  </w:style>
  <w:style w:type="paragraph" w:styleId="ListParagraph">
    <w:name w:val="List Paragraph"/>
    <w:basedOn w:val="Normal"/>
    <w:uiPriority w:val="34"/>
    <w:qFormat/>
    <w:rsid w:val="00AF0ABD"/>
    <w:pPr>
      <w:ind w:left="720"/>
      <w:contextualSpacing/>
    </w:pPr>
  </w:style>
  <w:style w:type="character" w:styleId="IntenseEmphasis">
    <w:name w:val="Intense Emphasis"/>
    <w:basedOn w:val="DefaultParagraphFont"/>
    <w:uiPriority w:val="21"/>
    <w:qFormat/>
    <w:rsid w:val="00AF0ABD"/>
    <w:rPr>
      <w:i/>
      <w:iCs/>
      <w:color w:val="0F4761" w:themeColor="accent1" w:themeShade="BF"/>
    </w:rPr>
  </w:style>
  <w:style w:type="paragraph" w:styleId="IntenseQuote">
    <w:name w:val="Intense Quote"/>
    <w:basedOn w:val="Normal"/>
    <w:next w:val="Normal"/>
    <w:link w:val="IntenseQuoteChar"/>
    <w:uiPriority w:val="30"/>
    <w:qFormat/>
    <w:rsid w:val="00AF0A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0ABD"/>
    <w:rPr>
      <w:i/>
      <w:iCs/>
      <w:color w:val="0F4761" w:themeColor="accent1" w:themeShade="BF"/>
    </w:rPr>
  </w:style>
  <w:style w:type="character" w:styleId="IntenseReference">
    <w:name w:val="Intense Reference"/>
    <w:basedOn w:val="DefaultParagraphFont"/>
    <w:uiPriority w:val="32"/>
    <w:qFormat/>
    <w:rsid w:val="00AF0ABD"/>
    <w:rPr>
      <w:b/>
      <w:bCs/>
      <w:smallCaps/>
      <w:color w:val="0F4761" w:themeColor="accent1" w:themeShade="BF"/>
      <w:spacing w:val="5"/>
    </w:rPr>
  </w:style>
  <w:style w:type="character" w:styleId="Hyperlink">
    <w:name w:val="Hyperlink"/>
    <w:basedOn w:val="DefaultParagraphFont"/>
    <w:uiPriority w:val="99"/>
    <w:unhideWhenUsed/>
    <w:rsid w:val="005450DD"/>
    <w:rPr>
      <w:color w:val="467886" w:themeColor="hyperlink"/>
      <w:u w:val="single"/>
    </w:rPr>
  </w:style>
  <w:style w:type="character" w:styleId="UnresolvedMention">
    <w:name w:val="Unresolved Mention"/>
    <w:basedOn w:val="DefaultParagraphFont"/>
    <w:uiPriority w:val="99"/>
    <w:semiHidden/>
    <w:unhideWhenUsed/>
    <w:rsid w:val="005450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ditext.com/sellars/lr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1038</Words>
  <Characters>5922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Creamer</dc:creator>
  <cp:keywords/>
  <dc:description/>
  <cp:lastModifiedBy>Patrick Creamer</cp:lastModifiedBy>
  <cp:revision>3</cp:revision>
  <dcterms:created xsi:type="dcterms:W3CDTF">2026-06-23T08:42:00Z</dcterms:created>
  <dcterms:modified xsi:type="dcterms:W3CDTF">2026-06-23T08:43:00Z</dcterms:modified>
</cp:coreProperties>
</file>