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C4C9A" w14:textId="77668D50" w:rsidR="001B2BAD" w:rsidRDefault="003A744A">
      <w:r>
        <w:t>‘How is meaning possible?’</w:t>
      </w:r>
    </w:p>
    <w:p w14:paraId="528FF247" w14:textId="77777777" w:rsidR="003A744A" w:rsidRDefault="003A744A"/>
    <w:p w14:paraId="573A8518" w14:textId="77777777" w:rsidR="00FA5DD6" w:rsidRDefault="00FA5DD6" w:rsidP="00FA5DD6">
      <w:r>
        <w:t xml:space="preserve">Commentators often suggest that the concept of </w:t>
      </w:r>
      <w:r w:rsidRPr="00FA5DD6">
        <w:rPr>
          <w:i/>
          <w:iCs/>
        </w:rPr>
        <w:t>custom</w:t>
      </w:r>
      <w:r>
        <w:t xml:space="preserve"> and its cognates figure in Wittgenstein as elements in a constructive philosophical response to questions like “How is meaning possible?” According to some versions of this reading, Wittgenstein </w:t>
      </w:r>
      <w:proofErr w:type="gramStart"/>
      <w:r>
        <w:t>actually gives</w:t>
      </w:r>
      <w:proofErr w:type="gramEnd"/>
      <w:r>
        <w:t xml:space="preserve"> the response; according to others, he points towards it but does not give it, out of a quietism that must stand exposed as inappropriate by the sheer fact that the questions are (supposedly) good ones. I am committed to regarding this as a misreading.</w:t>
      </w:r>
    </w:p>
    <w:p w14:paraId="512D4873" w14:textId="77777777" w:rsidR="00FA5DD6" w:rsidRDefault="00FA5DD6" w:rsidP="00FA5DD6"/>
    <w:p w14:paraId="4F97A231" w14:textId="77777777" w:rsidR="00FA5DD6" w:rsidRDefault="00FA5DD6" w:rsidP="00FA5DD6">
      <w:r>
        <w:t>The role of the concept of custom in Wittgenstein’s thinking is crystallized in this central text (§198):</w:t>
      </w:r>
    </w:p>
    <w:p w14:paraId="426BC197" w14:textId="77777777" w:rsidR="00FA5DD6" w:rsidRDefault="00FA5DD6" w:rsidP="00FA5DD6"/>
    <w:p w14:paraId="1A324A89" w14:textId="77777777" w:rsidR="00FA5DD6" w:rsidRDefault="00FA5DD6" w:rsidP="00FA5DD6">
      <w:pPr>
        <w:ind w:left="720"/>
      </w:pPr>
      <w:r>
        <w:t xml:space="preserve">“Then can whatever I do be brought into accord with the rule?”— Let me ask this: what has the expression of a rule—say a sign-post— got to do with my actions? What sort of connexion is there </w:t>
      </w:r>
      <w:proofErr w:type="gramStart"/>
      <w:r>
        <w:t>here?—</w:t>
      </w:r>
      <w:proofErr w:type="gramEnd"/>
      <w:r>
        <w:t xml:space="preserve"> Well, perhaps this one: I have been trained to react to this sign in a particular way, and now I do so react to it. “But that is only to give a causal connexion: to tell how it has come about that we go by the sign-post; not what this going-by-the-sign really consists in.”—On the contrary; I have further indicated that a person goes by a sign-post only in so far as there exists a regular use of sign-posts, a custom. </w:t>
      </w:r>
    </w:p>
    <w:p w14:paraId="5172F270" w14:textId="77777777" w:rsidR="00FA5DD6" w:rsidRDefault="00FA5DD6" w:rsidP="00FA5DD6"/>
    <w:p w14:paraId="7666E42F" w14:textId="77777777" w:rsidR="009C23F3" w:rsidRDefault="00FA5DD6" w:rsidP="00FA5DD6">
      <w:r>
        <w:t xml:space="preserve">This passage starts by formulating the threat posed by the regress of interpretations to the very idea of accord between a rule and the performances that count as following it. I have been urging that we should avoid the threat by not letting the regress start—by not letting it seem that the concept of interpretation must be in play if the concept of accord is to be secured its application. The passage suggests that we can avoid that appearance by insisting on a bit of common sense about following a </w:t>
      </w:r>
      <w:proofErr w:type="gramStart"/>
      <w:r>
        <w:t>sign-post</w:t>
      </w:r>
      <w:proofErr w:type="gramEnd"/>
      <w:r>
        <w:t xml:space="preserve">. When one follows an ordinary </w:t>
      </w:r>
      <w:proofErr w:type="gramStart"/>
      <w:r>
        <w:t>sign-post</w:t>
      </w:r>
      <w:proofErr w:type="gramEnd"/>
      <w:r>
        <w:t xml:space="preserve">, one is not acting on an </w:t>
      </w:r>
      <w:r w:rsidRPr="009C23F3">
        <w:rPr>
          <w:i/>
          <w:iCs/>
        </w:rPr>
        <w:t>interpretation</w:t>
      </w:r>
      <w:r>
        <w:t xml:space="preserve">. That gives an overly cerebral cast to such routine behaviour. Ordinary cases of following a </w:t>
      </w:r>
      <w:proofErr w:type="gramStart"/>
      <w:r>
        <w:t>sign-post</w:t>
      </w:r>
      <w:proofErr w:type="gramEnd"/>
      <w:r>
        <w:t xml:space="preserve"> involve simply acting in the way that comes naturally to one in such circumstances, in consequence of some training that one underwent in one’s upbringing. (Compare §506: “The absent-minded man who at the order ‘Right turn!’ turns left, and then, clutching his forehead, says ‘Oh! right turn’ and does a right </w:t>
      </w:r>
      <w:proofErr w:type="gramStart"/>
      <w:r>
        <w:t>turn.—</w:t>
      </w:r>
      <w:proofErr w:type="gramEnd"/>
      <w:r>
        <w:t xml:space="preserve"> What has struck him? An interpretation?”) But if we give this corrective to an over-mentalizing of the behaviour, perpetrated by giving the concept of interpretation an unwarranted role in our conception of it, we run the risk of being taken to overbalance in the opposite direction, into under-mentalizing the behaviour—adopting a picture in which notions like that of accord cannot be in play, because the behaviour is understood as nothing but the outcome of a causal mechanism set up by the training. Such a picture might fit an acquired automatism, in which there is no question of acting on an understanding of the sign-post’s instructions at all. Wittgenstein averts this risk, that if we exploit the concept of training to exorcize the idea of interpretation, we shall lose our entitlement to the idea of understanding as well, by adding another bit of common sense, that the training is initiation into a custom. </w:t>
      </w:r>
    </w:p>
    <w:p w14:paraId="70FF5C7D" w14:textId="77777777" w:rsidR="009C23F3" w:rsidRDefault="009C23F3" w:rsidP="00FA5DD6"/>
    <w:p w14:paraId="0F096183" w14:textId="77777777" w:rsidR="009C23F3" w:rsidRDefault="00FA5DD6" w:rsidP="00FA5DD6">
      <w:r>
        <w:lastRenderedPageBreak/>
        <w:t xml:space="preserve">If the concept of custom figured here as the beginning of a constructive philosophical account of how the meaning of </w:t>
      </w:r>
      <w:proofErr w:type="gramStart"/>
      <w:r>
        <w:t>sign-posts</w:t>
      </w:r>
      <w:proofErr w:type="gramEnd"/>
      <w:r>
        <w:t xml:space="preserve">, and our understanding of their meaning, are constituted, the custom that Wittgenstein mentions would need to be characterizable in terms that do not presuppose meaning and understanding. But the concept of custom can do the work it does here without being capable of being put to that sort of philosophical service. The concept of custom can do the work it does here even if the only answer to the question “What custom?” is “The custom of erecting and </w:t>
      </w:r>
      <w:r w:rsidRPr="003D6C2F">
        <w:t>following</w:t>
      </w:r>
      <w:r>
        <w:t xml:space="preserve"> sign-posts”, or perhaps more specifically “The custom of erecting and </w:t>
      </w:r>
      <w:r w:rsidRPr="003D6C2F">
        <w:t>following</w:t>
      </w:r>
      <w:r>
        <w:t xml:space="preserve"> sign-posts of just this style and configuration”; that is, an answer that, with the talk of </w:t>
      </w:r>
      <w:r w:rsidRPr="003D6C2F">
        <w:rPr>
          <w:i/>
          <w:iCs/>
        </w:rPr>
        <w:t>following</w:t>
      </w:r>
      <w:r>
        <w:t xml:space="preserve">, simply presupposes the supposedly problematic notion of accord. What made the notion of accord seem problematic was the regress of interpretations, and the first move in the passage, the appeal to training, has ensured that we need not begin on the regress of interpretations. The point of the appeal to custom is just to make sure that that first move is not misunderstood in such a way as to eliminate accord, and with it understanding, altogether. </w:t>
      </w:r>
    </w:p>
    <w:p w14:paraId="5D54FD1D" w14:textId="77777777" w:rsidR="009C23F3" w:rsidRDefault="009C23F3" w:rsidP="00FA5DD6"/>
    <w:p w14:paraId="2ED1B517" w14:textId="75EE9848" w:rsidR="00FA5DD6" w:rsidRDefault="00FA5DD6" w:rsidP="00FA5DD6">
      <w:r>
        <w:t>Readers of Wittgenstein often suppose that when he mentions customs, forms of life, and the like, he is making programmatic gestures towards a certain style of positive philosophy: one that purports to make room for talk of meaning and understanding, in the face of supposedly genuine obstacles, by locating such talk in a context of human interactions conceived as describable otherwise than in terms of meaning or understanding. But there is no reason to credit Wittgenstein with any sympathy for this style of philosophy. When he says “What has to be accepted, the given, is—so one could say— forms of life” (p. 226), his point is not to adumbrate a philosophical response, on such lines, to supposedly good questions about the possibility of meaning and understanding, or intentionality generally, but to remind us of something we can take in the proper way only after we are equipped to see that such questions are based on a mistake. His point is to remind us that the natural phenomenon that is normal human life is itself already shaped by meaning and understanding. As he says: “Commanding, questioning, recounting, chatting, are as much part of our natural history as walking, eating, drinking, playing” (§25).</w:t>
      </w:r>
    </w:p>
    <w:p w14:paraId="3E1D0FF8" w14:textId="77777777" w:rsidR="00FA5DD6" w:rsidRDefault="00FA5DD6" w:rsidP="00FA5DD6"/>
    <w:p w14:paraId="17859108" w14:textId="4FDD2116" w:rsidR="003A744A" w:rsidRDefault="00FA5DD6" w:rsidP="00FA5DD6">
      <w:r>
        <w:t xml:space="preserve">McDowell, John. Mind, Value, and Reality (pp. 247-249). Harvard University Press. </w:t>
      </w:r>
    </w:p>
    <w:sectPr w:rsidR="003A74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7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44A"/>
    <w:rsid w:val="00056A78"/>
    <w:rsid w:val="00180D1D"/>
    <w:rsid w:val="001B2BAD"/>
    <w:rsid w:val="003A744A"/>
    <w:rsid w:val="003D6C2F"/>
    <w:rsid w:val="004A19AE"/>
    <w:rsid w:val="006D4A8C"/>
    <w:rsid w:val="009C23F3"/>
    <w:rsid w:val="00DE4581"/>
    <w:rsid w:val="00FA5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C74E64"/>
  <w15:chartTrackingRefBased/>
  <w15:docId w15:val="{2D2E3E7B-D6AF-2A46-8406-866CA5019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74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4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74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4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74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74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4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4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4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4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4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74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4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74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74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4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4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44A"/>
    <w:rPr>
      <w:rFonts w:eastAsiaTheme="majorEastAsia" w:cstheme="majorBidi"/>
      <w:color w:val="272727" w:themeColor="text1" w:themeTint="D8"/>
    </w:rPr>
  </w:style>
  <w:style w:type="paragraph" w:styleId="Title">
    <w:name w:val="Title"/>
    <w:basedOn w:val="Normal"/>
    <w:next w:val="Normal"/>
    <w:link w:val="TitleChar"/>
    <w:uiPriority w:val="10"/>
    <w:qFormat/>
    <w:rsid w:val="003A74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4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44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4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44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744A"/>
    <w:rPr>
      <w:i/>
      <w:iCs/>
      <w:color w:val="404040" w:themeColor="text1" w:themeTint="BF"/>
    </w:rPr>
  </w:style>
  <w:style w:type="paragraph" w:styleId="ListParagraph">
    <w:name w:val="List Paragraph"/>
    <w:basedOn w:val="Normal"/>
    <w:uiPriority w:val="34"/>
    <w:qFormat/>
    <w:rsid w:val="003A744A"/>
    <w:pPr>
      <w:ind w:left="720"/>
      <w:contextualSpacing/>
    </w:pPr>
  </w:style>
  <w:style w:type="character" w:styleId="IntenseEmphasis">
    <w:name w:val="Intense Emphasis"/>
    <w:basedOn w:val="DefaultParagraphFont"/>
    <w:uiPriority w:val="21"/>
    <w:qFormat/>
    <w:rsid w:val="003A744A"/>
    <w:rPr>
      <w:i/>
      <w:iCs/>
      <w:color w:val="0F4761" w:themeColor="accent1" w:themeShade="BF"/>
    </w:rPr>
  </w:style>
  <w:style w:type="paragraph" w:styleId="IntenseQuote">
    <w:name w:val="Intense Quote"/>
    <w:basedOn w:val="Normal"/>
    <w:next w:val="Normal"/>
    <w:link w:val="IntenseQuoteChar"/>
    <w:uiPriority w:val="30"/>
    <w:qFormat/>
    <w:rsid w:val="003A74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44A"/>
    <w:rPr>
      <w:i/>
      <w:iCs/>
      <w:color w:val="0F4761" w:themeColor="accent1" w:themeShade="BF"/>
    </w:rPr>
  </w:style>
  <w:style w:type="character" w:styleId="IntenseReference">
    <w:name w:val="Intense Reference"/>
    <w:basedOn w:val="DefaultParagraphFont"/>
    <w:uiPriority w:val="32"/>
    <w:qFormat/>
    <w:rsid w:val="003A74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857</Words>
  <Characters>4887</Characters>
  <Application>Microsoft Office Word</Application>
  <DocSecurity>0</DocSecurity>
  <Lines>40</Lines>
  <Paragraphs>11</Paragraphs>
  <ScaleCrop>false</ScaleCrop>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Creamer</dc:creator>
  <cp:keywords/>
  <dc:description/>
  <cp:lastModifiedBy>Patrick Creamer</cp:lastModifiedBy>
  <cp:revision>4</cp:revision>
  <dcterms:created xsi:type="dcterms:W3CDTF">2026-06-23T08:06:00Z</dcterms:created>
  <dcterms:modified xsi:type="dcterms:W3CDTF">2026-06-23T08:12:00Z</dcterms:modified>
</cp:coreProperties>
</file>