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B98D9" w14:textId="56D989A7" w:rsidR="00920823" w:rsidRDefault="00920823" w:rsidP="00920823">
      <w:r w:rsidRPr="00920823">
        <w:rPr>
          <w:i/>
          <w:iCs/>
        </w:rPr>
        <w:t>Bottom-up</w:t>
      </w:r>
      <w:r>
        <w:t xml:space="preserve"> or </w:t>
      </w:r>
      <w:r w:rsidRPr="00920823">
        <w:rPr>
          <w:i/>
          <w:iCs/>
        </w:rPr>
        <w:t>Top-down</w:t>
      </w:r>
      <w:r>
        <w:t xml:space="preserve"> Semantic Explanation?</w:t>
      </w:r>
    </w:p>
    <w:p w14:paraId="1245B15A" w14:textId="77777777" w:rsidR="00920823" w:rsidRDefault="00920823" w:rsidP="00920823"/>
    <w:p w14:paraId="7AE5DEB7" w14:textId="77777777" w:rsidR="00920823" w:rsidRDefault="00920823" w:rsidP="00920823">
      <w:r>
        <w:t xml:space="preserve">According to such an </w:t>
      </w:r>
      <w:proofErr w:type="spellStart"/>
      <w:r>
        <w:t>inferentialist</w:t>
      </w:r>
      <w:proofErr w:type="spellEnd"/>
      <w:r>
        <w:t xml:space="preserve"> line of thought, the fundamental form of the conceptual is the </w:t>
      </w:r>
      <w:r w:rsidRPr="00920823">
        <w:rPr>
          <w:i/>
          <w:iCs/>
        </w:rPr>
        <w:t>propositional</w:t>
      </w:r>
      <w:r>
        <w:t xml:space="preserve">, and the core of concept use is applying concepts in propositionally </w:t>
      </w:r>
      <w:proofErr w:type="spellStart"/>
      <w:r>
        <w:t>contentful</w:t>
      </w:r>
      <w:proofErr w:type="spellEnd"/>
      <w:r>
        <w:t xml:space="preserve"> </w:t>
      </w:r>
      <w:r w:rsidRPr="00920823">
        <w:rPr>
          <w:i/>
          <w:iCs/>
        </w:rPr>
        <w:t>assertions</w:t>
      </w:r>
      <w:r>
        <w:t xml:space="preserve">, </w:t>
      </w:r>
      <w:r w:rsidRPr="00920823">
        <w:rPr>
          <w:i/>
          <w:iCs/>
        </w:rPr>
        <w:t>beliefs</w:t>
      </w:r>
      <w:r>
        <w:t xml:space="preserve">, and </w:t>
      </w:r>
      <w:r w:rsidRPr="00920823">
        <w:rPr>
          <w:i/>
          <w:iCs/>
        </w:rPr>
        <w:t>thoughts</w:t>
      </w:r>
      <w:r>
        <w:t xml:space="preserve">. It claims that to be propositionally </w:t>
      </w:r>
      <w:proofErr w:type="spellStart"/>
      <w:r>
        <w:t>contentful</w:t>
      </w:r>
      <w:proofErr w:type="spellEnd"/>
      <w:r>
        <w:t xml:space="preserve"> is to be able to play the basic inferential roles of both premise and conclusion in inferences. Demarcating the conceptual realm by appeal to inference accordingly involves coming down firmly on one side of another abstract methodological divide. For it entails treating the sort of conceptual content that is expressed by whole declarative sentences as prior in the order of explanation to the sort of content that is expressed by </w:t>
      </w:r>
      <w:proofErr w:type="spellStart"/>
      <w:r>
        <w:t>subsentential</w:t>
      </w:r>
      <w:proofErr w:type="spellEnd"/>
      <w:r>
        <w:t xml:space="preserve"> expressions such as singular terms and predicates. Traditional term logics built up from below, offering first accounts of the meanings of the concepts associated with singular and general terms (in a </w:t>
      </w:r>
      <w:proofErr w:type="spellStart"/>
      <w:r>
        <w:t>nominalistic</w:t>
      </w:r>
      <w:proofErr w:type="spellEnd"/>
      <w:r>
        <w:t xml:space="preserve"> representational way: in terms of what they name or stand for), then of </w:t>
      </w:r>
      <w:r w:rsidRPr="00920823">
        <w:rPr>
          <w:i/>
          <w:iCs/>
        </w:rPr>
        <w:t>judgments</w:t>
      </w:r>
      <w:r>
        <w:t xml:space="preserve"> constructed by relating those terms, and finally of proprieties of </w:t>
      </w:r>
      <w:r w:rsidRPr="00920823">
        <w:rPr>
          <w:i/>
          <w:iCs/>
        </w:rPr>
        <w:t>inferences</w:t>
      </w:r>
      <w:r>
        <w:t xml:space="preserve"> relating those judgments. This order of explanation is still typical of contemporary representational approaches to semantics (paradigmatically Tarskian model-theoretic ones). There are, however, </w:t>
      </w:r>
      <w:proofErr w:type="spellStart"/>
      <w:r>
        <w:t>platonistic</w:t>
      </w:r>
      <w:proofErr w:type="spellEnd"/>
      <w:r>
        <w:t xml:space="preserve"> representational semantic theories that begin by assigning semantic interpretants (for instance, sets of possible worlds) to declarative sentences. Pragmatist semantic theories typically adopt a top-down approach because they start from the </w:t>
      </w:r>
      <w:r w:rsidRPr="00920823">
        <w:rPr>
          <w:i/>
          <w:iCs/>
        </w:rPr>
        <w:t>use</w:t>
      </w:r>
      <w:r>
        <w:t xml:space="preserve"> of concepts, and what one does with concepts is apply them in judgment and action. </w:t>
      </w:r>
      <w:proofErr w:type="gramStart"/>
      <w:r>
        <w:t>Thus</w:t>
      </w:r>
      <w:proofErr w:type="gramEnd"/>
      <w:r>
        <w:t xml:space="preserve"> Kant takes the judgment to be the minimal unit of experience (and so of awareness in his discursive sense) because it is the first element in the traditional logical hierarchy that one can take </w:t>
      </w:r>
      <w:r w:rsidRPr="00920823">
        <w:rPr>
          <w:i/>
          <w:iCs/>
        </w:rPr>
        <w:t>responsibility</w:t>
      </w:r>
      <w:r>
        <w:t xml:space="preserve"> for. (Naming is not a doing that makes one answerable to anything.) Frege starts with judgeable conceptual contents because that is what pragmatic force can attach to. And Wittgenstein's focus on use leads him to privilege sentences as bits of language the utterance of which can make a move in a language game. I take these to be three ways of making essentially the same pragmatist point about the priority of the propositional. Again, the connection between </w:t>
      </w:r>
      <w:proofErr w:type="spellStart"/>
      <w:r>
        <w:t>propositionalism</w:t>
      </w:r>
      <w:proofErr w:type="spellEnd"/>
      <w:r>
        <w:t xml:space="preserve"> and pragmatism in the broad sense of approaching meaning from the side of use is not a coercive one, since a functionalist version of this approach might privilege contents associated with </w:t>
      </w:r>
      <w:proofErr w:type="spellStart"/>
      <w:r>
        <w:t>subsentential</w:t>
      </w:r>
      <w:proofErr w:type="spellEnd"/>
      <w:r>
        <w:t xml:space="preserve"> expressions. Inferentialism, however, is an essentially propositional doctrine. </w:t>
      </w:r>
    </w:p>
    <w:p w14:paraId="4BCA1191" w14:textId="77777777" w:rsidR="00920823" w:rsidRDefault="00920823" w:rsidP="00920823"/>
    <w:p w14:paraId="21FC23E9" w14:textId="77777777" w:rsidR="00920823" w:rsidRDefault="00920823" w:rsidP="00920823">
      <w:r>
        <w:t xml:space="preserve">In this respect, inferentialism and expressivism dovetail neatly. For the paradigm of expression is </w:t>
      </w:r>
      <w:r w:rsidRPr="00920823">
        <w:rPr>
          <w:i/>
          <w:iCs/>
        </w:rPr>
        <w:t>saying</w:t>
      </w:r>
      <w:r>
        <w:t xml:space="preserve"> something. And what can play the role of premise and conclusion of inference is a saying in the sense of a </w:t>
      </w:r>
      <w:r w:rsidRPr="00920823">
        <w:rPr>
          <w:i/>
          <w:iCs/>
        </w:rPr>
        <w:t>claiming</w:t>
      </w:r>
      <w:r>
        <w:t xml:space="preserve">. Expressivism, like inferentialism, directs our attention in the first place to </w:t>
      </w:r>
      <w:r w:rsidRPr="00920823">
        <w:rPr>
          <w:i/>
          <w:iCs/>
        </w:rPr>
        <w:t>propositional</w:t>
      </w:r>
      <w:r>
        <w:t xml:space="preserve"> conceptual contents. A further story must then be told about the </w:t>
      </w:r>
      <w:r w:rsidRPr="00920823">
        <w:rPr>
          <w:i/>
          <w:iCs/>
        </w:rPr>
        <w:t>de</w:t>
      </w:r>
      <w:r>
        <w:t xml:space="preserve">composition of such contents into the sort of conceptual contents that are expressed (in a derivative sense) by </w:t>
      </w:r>
      <w:proofErr w:type="spellStart"/>
      <w:r>
        <w:t>subsentential</w:t>
      </w:r>
      <w:proofErr w:type="spellEnd"/>
      <w:r>
        <w:t xml:space="preserve"> expressions such as singular terms and predicates. (And about their subsequent </w:t>
      </w:r>
      <w:proofErr w:type="spellStart"/>
      <w:r w:rsidRPr="00920823">
        <w:rPr>
          <w:i/>
          <w:iCs/>
        </w:rPr>
        <w:t>re</w:t>
      </w:r>
      <w:r>
        <w:t>composition</w:t>
      </w:r>
      <w:proofErr w:type="spellEnd"/>
      <w:r>
        <w:t xml:space="preserve"> to produce novel contents. Such a story is presented in Chapter 4.) Representationalism, by contrast, is motivated by a </w:t>
      </w:r>
      <w:proofErr w:type="spellStart"/>
      <w:r>
        <w:t>designational</w:t>
      </w:r>
      <w:proofErr w:type="spellEnd"/>
      <w:r>
        <w:t xml:space="preserve"> paradigm: the relation of a name to its bearer. In one standard way of pursuing this direction of explanation, one must then introduce a special ontological category of states of affairs, thought of as being represented by declarative sentences in something like the same way that objects are represented by singular terms. </w:t>
      </w:r>
    </w:p>
    <w:p w14:paraId="011B9B5B" w14:textId="77777777" w:rsidR="00920823" w:rsidRDefault="00920823" w:rsidP="00920823"/>
    <w:p w14:paraId="45536698" w14:textId="54EC350C" w:rsidR="00920823" w:rsidRDefault="00920823" w:rsidP="00920823">
      <w:r w:rsidRPr="00920823">
        <w:rPr>
          <w:i/>
          <w:iCs/>
        </w:rPr>
        <w:t>Rationalist</w:t>
      </w:r>
      <w:r>
        <w:t xml:space="preserve"> expressivism understands the explicit (the sayable in the sense of claimable, the form something must be in to count as having been expressed) in terms of its inferential role. Coupled with a linguistic pragmatism, such a view entails that practices of giving and asking for reasons have a privileged, indeed defining, role with respect to linguistic practice generally. What makes something a specifically </w:t>
      </w:r>
      <w:r w:rsidRPr="00920823">
        <w:rPr>
          <w:i/>
          <w:iCs/>
        </w:rPr>
        <w:t>linguistic</w:t>
      </w:r>
      <w:r>
        <w:t xml:space="preserve"> (and therefore, according to this view discursive) practice is that it accords some performances the force or significance of </w:t>
      </w:r>
      <w:proofErr w:type="spellStart"/>
      <w:r w:rsidRPr="00920823">
        <w:rPr>
          <w:i/>
          <w:iCs/>
        </w:rPr>
        <w:t>claimings</w:t>
      </w:r>
      <w:proofErr w:type="spellEnd"/>
      <w:r>
        <w:t xml:space="preserve">, of </w:t>
      </w:r>
      <w:r w:rsidRPr="00920823">
        <w:rPr>
          <w:i/>
          <w:iCs/>
        </w:rPr>
        <w:t>propositionally</w:t>
      </w:r>
      <w:r>
        <w:t xml:space="preserve"> </w:t>
      </w:r>
      <w:proofErr w:type="spellStart"/>
      <w:r>
        <w:t>contentful</w:t>
      </w:r>
      <w:proofErr w:type="spellEnd"/>
      <w:r>
        <w:t xml:space="preserve"> commitments, which can both serve as and stand in need of reasons. Practices that do not involve reasoning are not linguistic or (therefore) discursive practices. Thus the ‘Slab’ </w:t>
      </w:r>
      <w:proofErr w:type="spellStart"/>
      <w:r w:rsidRPr="00920823">
        <w:rPr>
          <w:i/>
          <w:iCs/>
        </w:rPr>
        <w:t>Sprachspiel</w:t>
      </w:r>
      <w:proofErr w:type="spellEnd"/>
      <w:r>
        <w:t xml:space="preserve"> that Wittgenstein introduces in the opening sections of the </w:t>
      </w:r>
      <w:r w:rsidRPr="00920823">
        <w:rPr>
          <w:i/>
          <w:iCs/>
        </w:rPr>
        <w:t>Philosophical Investigations</w:t>
      </w:r>
      <w:r>
        <w:t xml:space="preserve"> should not, by these standards of demarcation, count as a genuine </w:t>
      </w:r>
      <w:proofErr w:type="spellStart"/>
      <w:r w:rsidRPr="00920823">
        <w:rPr>
          <w:i/>
          <w:iCs/>
        </w:rPr>
        <w:t>Sprach</w:t>
      </w:r>
      <w:r>
        <w:t>spiel</w:t>
      </w:r>
      <w:proofErr w:type="spellEnd"/>
      <w:r>
        <w:t xml:space="preserve">. It is a </w:t>
      </w:r>
      <w:r w:rsidRPr="00920823">
        <w:rPr>
          <w:i/>
          <w:iCs/>
        </w:rPr>
        <w:t>vocal</w:t>
      </w:r>
      <w:r>
        <w:t xml:space="preserve"> but not yet a </w:t>
      </w:r>
      <w:r w:rsidRPr="00920823">
        <w:rPr>
          <w:i/>
          <w:iCs/>
        </w:rPr>
        <w:t>verbal</w:t>
      </w:r>
      <w:r>
        <w:t xml:space="preserve"> practice. By contrast to Wittgenstein, the inferential identification of the conceptual claims that language (discursive practice) has a </w:t>
      </w:r>
      <w:proofErr w:type="spellStart"/>
      <w:r w:rsidRPr="00920823">
        <w:rPr>
          <w:i/>
          <w:iCs/>
        </w:rPr>
        <w:t>center</w:t>
      </w:r>
      <w:proofErr w:type="spellEnd"/>
      <w:r>
        <w:t xml:space="preserve">; it is not a motley. Inferential practices of producing and consuming </w:t>
      </w:r>
      <w:r w:rsidRPr="00920823">
        <w:rPr>
          <w:i/>
          <w:iCs/>
        </w:rPr>
        <w:t>reasons</w:t>
      </w:r>
      <w:r>
        <w:t xml:space="preserve"> are </w:t>
      </w:r>
      <w:r w:rsidRPr="00920823">
        <w:rPr>
          <w:i/>
          <w:iCs/>
        </w:rPr>
        <w:t>downtown</w:t>
      </w:r>
      <w:r>
        <w:t xml:space="preserve"> in the region of linguistic practice. Suburban linguistic practices utilize and depend on the conceptual contents forged in the game of giving and asking for reasons, are parasitic on it. Claiming, being able to justify one's claims, and using one's claims to justify other claims and actions are not just one among other sets of things one can do with language. They are not on a par with other ‘games’ one can play. They are what in the first place make possible </w:t>
      </w:r>
      <w:proofErr w:type="gramStart"/>
      <w:r>
        <w:t>talking, and</w:t>
      </w:r>
      <w:proofErr w:type="gramEnd"/>
      <w:r>
        <w:t xml:space="preserve"> therefore thinking: sapience in general. </w:t>
      </w:r>
      <w:proofErr w:type="gramStart"/>
      <w:r>
        <w:t>Of course</w:t>
      </w:r>
      <w:proofErr w:type="gramEnd"/>
      <w:r>
        <w:t xml:space="preserve"> we do </w:t>
      </w:r>
      <w:r w:rsidRPr="00920823">
        <w:rPr>
          <w:i/>
          <w:iCs/>
        </w:rPr>
        <w:t>many</w:t>
      </w:r>
      <w:r>
        <w:t xml:space="preserve"> other things as concept users besides applying concepts in judgment and action and justifying those applications. But (by contrast to the indiscriminately egalitarian picture presented by contemporary neo-Romantic theorists such as Derrida) according to this sort of semantic rationalism, those sophisticated, </w:t>
      </w:r>
      <w:proofErr w:type="spellStart"/>
      <w:r>
        <w:t>latecoming</w:t>
      </w:r>
      <w:proofErr w:type="spellEnd"/>
      <w:r>
        <w:t xml:space="preserve"> linguistic and more generally discursive activities are intelligible in principle only against the background of the core practices of inference-and-assertion.</w:t>
      </w:r>
    </w:p>
    <w:p w14:paraId="2B93A1DF" w14:textId="77777777" w:rsidR="00920823" w:rsidRDefault="00920823" w:rsidP="00920823"/>
    <w:p w14:paraId="62213200" w14:textId="77777777" w:rsidR="00920823" w:rsidRDefault="00920823" w:rsidP="00920823"/>
    <w:p w14:paraId="327DCCAE" w14:textId="2EF3EC11" w:rsidR="00920823" w:rsidRDefault="00920823" w:rsidP="00920823">
      <w:r>
        <w:t>BRANDOM, Robert. Articulating Reasons: An Introduction to Inferentialism.</w:t>
      </w:r>
      <w:r w:rsidR="00CA587C">
        <w:t xml:space="preserve"> (from the Introduction)</w:t>
      </w:r>
    </w:p>
    <w:p w14:paraId="1F220E26" w14:textId="77777777" w:rsidR="00920823" w:rsidRDefault="00920823" w:rsidP="00920823"/>
    <w:p w14:paraId="2B77B3FA" w14:textId="77777777" w:rsidR="00920823" w:rsidRDefault="00920823" w:rsidP="00920823"/>
    <w:p w14:paraId="45A3A090" w14:textId="77777777" w:rsidR="00920823" w:rsidRDefault="00920823" w:rsidP="00920823"/>
    <w:p w14:paraId="37C407A3" w14:textId="6C256F7C" w:rsidR="001B2BAD" w:rsidRDefault="001B2BAD" w:rsidP="00920823"/>
    <w:sectPr w:rsidR="001B2B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7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23"/>
    <w:rsid w:val="00056A78"/>
    <w:rsid w:val="00180D1D"/>
    <w:rsid w:val="001B2BAD"/>
    <w:rsid w:val="001F1648"/>
    <w:rsid w:val="003A3B45"/>
    <w:rsid w:val="004A19AE"/>
    <w:rsid w:val="004C26E8"/>
    <w:rsid w:val="006D4A8C"/>
    <w:rsid w:val="00920823"/>
    <w:rsid w:val="00CA587C"/>
    <w:rsid w:val="00DE4581"/>
    <w:rsid w:val="00F77C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4F906B"/>
  <w15:chartTrackingRefBased/>
  <w15:docId w15:val="{9B5FBD03-D93E-5546-B1EF-E8E8A2B4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0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0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0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0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0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0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0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0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0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0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0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0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0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0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0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0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0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0823"/>
    <w:rPr>
      <w:rFonts w:eastAsiaTheme="majorEastAsia" w:cstheme="majorBidi"/>
      <w:color w:val="272727" w:themeColor="text1" w:themeTint="D8"/>
    </w:rPr>
  </w:style>
  <w:style w:type="paragraph" w:styleId="Title">
    <w:name w:val="Title"/>
    <w:basedOn w:val="Normal"/>
    <w:next w:val="Normal"/>
    <w:link w:val="TitleChar"/>
    <w:uiPriority w:val="10"/>
    <w:qFormat/>
    <w:rsid w:val="00920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0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08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0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08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20823"/>
    <w:rPr>
      <w:i/>
      <w:iCs/>
      <w:color w:val="404040" w:themeColor="text1" w:themeTint="BF"/>
    </w:rPr>
  </w:style>
  <w:style w:type="paragraph" w:styleId="ListParagraph">
    <w:name w:val="List Paragraph"/>
    <w:basedOn w:val="Normal"/>
    <w:uiPriority w:val="34"/>
    <w:qFormat/>
    <w:rsid w:val="00920823"/>
    <w:pPr>
      <w:ind w:left="720"/>
      <w:contextualSpacing/>
    </w:pPr>
  </w:style>
  <w:style w:type="character" w:styleId="IntenseEmphasis">
    <w:name w:val="Intense Emphasis"/>
    <w:basedOn w:val="DefaultParagraphFont"/>
    <w:uiPriority w:val="21"/>
    <w:qFormat/>
    <w:rsid w:val="00920823"/>
    <w:rPr>
      <w:i/>
      <w:iCs/>
      <w:color w:val="0F4761" w:themeColor="accent1" w:themeShade="BF"/>
    </w:rPr>
  </w:style>
  <w:style w:type="paragraph" w:styleId="IntenseQuote">
    <w:name w:val="Intense Quote"/>
    <w:basedOn w:val="Normal"/>
    <w:next w:val="Normal"/>
    <w:link w:val="IntenseQuoteChar"/>
    <w:uiPriority w:val="30"/>
    <w:qFormat/>
    <w:rsid w:val="00920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0823"/>
    <w:rPr>
      <w:i/>
      <w:iCs/>
      <w:color w:val="0F4761" w:themeColor="accent1" w:themeShade="BF"/>
    </w:rPr>
  </w:style>
  <w:style w:type="character" w:styleId="IntenseReference">
    <w:name w:val="Intense Reference"/>
    <w:basedOn w:val="DefaultParagraphFont"/>
    <w:uiPriority w:val="32"/>
    <w:qFormat/>
    <w:rsid w:val="009208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932</Words>
  <Characters>5136</Characters>
  <Application>Microsoft Office Word</Application>
  <DocSecurity>0</DocSecurity>
  <Lines>84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Creamer</dc:creator>
  <cp:keywords/>
  <dc:description/>
  <cp:lastModifiedBy>Patrick Creamer</cp:lastModifiedBy>
  <cp:revision>3</cp:revision>
  <dcterms:created xsi:type="dcterms:W3CDTF">2026-06-23T07:39:00Z</dcterms:created>
  <dcterms:modified xsi:type="dcterms:W3CDTF">2026-09-02T15:43:00Z</dcterms:modified>
</cp:coreProperties>
</file>