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4B64" w14:textId="34FE0B6D" w:rsidR="00261389" w:rsidRDefault="00B957B1" w:rsidP="00A86A66">
      <w:pPr>
        <w:rPr>
          <w:b/>
          <w:bCs/>
          <w:sz w:val="22"/>
          <w:szCs w:val="22"/>
        </w:rPr>
      </w:pPr>
      <w:r w:rsidRPr="005818DB">
        <w:rPr>
          <w:b/>
          <w:bCs/>
          <w:sz w:val="22"/>
          <w:szCs w:val="22"/>
        </w:rPr>
        <w:t>Session 5: Knowledge without the Given – positive views from Pittsburgh School</w:t>
      </w:r>
    </w:p>
    <w:p w14:paraId="583DFCC1" w14:textId="77777777" w:rsidR="005818DB" w:rsidRPr="005818DB" w:rsidRDefault="005818DB" w:rsidP="00A86A66">
      <w:pPr>
        <w:rPr>
          <w:b/>
          <w:bCs/>
          <w:sz w:val="22"/>
          <w:szCs w:val="22"/>
        </w:rPr>
      </w:pPr>
    </w:p>
    <w:p w14:paraId="6B5E8448" w14:textId="7D4463F3" w:rsidR="00A86A66" w:rsidRPr="005818DB" w:rsidRDefault="00A86A66" w:rsidP="00A86A66">
      <w:pPr>
        <w:pStyle w:val="ListParagraph"/>
        <w:numPr>
          <w:ilvl w:val="0"/>
          <w:numId w:val="1"/>
        </w:numPr>
        <w:rPr>
          <w:sz w:val="22"/>
          <w:szCs w:val="22"/>
        </w:rPr>
      </w:pPr>
      <w:r w:rsidRPr="005818DB">
        <w:rPr>
          <w:sz w:val="22"/>
          <w:szCs w:val="22"/>
        </w:rPr>
        <w:t>We might begin by trying something like the following: An overt or covert token of ‘This is green’ … expresses observational knowledge if and only if it is a manifestation of a tendency to produce overt or covert tokens of ‘This is green’—given a certain set—if and only if a green object is being looked at in standard conditions. (EPM §35)</w:t>
      </w:r>
    </w:p>
    <w:p w14:paraId="040AD8A3" w14:textId="5418D55A" w:rsidR="00A86A66" w:rsidRPr="005818DB" w:rsidRDefault="00A86A66" w:rsidP="00A86A66">
      <w:pPr>
        <w:pStyle w:val="ListParagraph"/>
        <w:ind w:left="360"/>
        <w:rPr>
          <w:sz w:val="22"/>
          <w:szCs w:val="22"/>
        </w:rPr>
      </w:pPr>
    </w:p>
    <w:p w14:paraId="7992BA3B" w14:textId="7A90F4AE" w:rsidR="00A86A66" w:rsidRPr="005818DB" w:rsidRDefault="00A86A66" w:rsidP="00A86A66">
      <w:pPr>
        <w:pStyle w:val="ListParagraph"/>
        <w:numPr>
          <w:ilvl w:val="0"/>
          <w:numId w:val="1"/>
        </w:numPr>
        <w:rPr>
          <w:sz w:val="22"/>
          <w:szCs w:val="22"/>
        </w:rPr>
      </w:pPr>
      <w:r w:rsidRPr="005818DB">
        <w:rPr>
          <w:sz w:val="22"/>
          <w:szCs w:val="22"/>
        </w:rPr>
        <w:t>I</w:t>
      </w:r>
      <w:r w:rsidRPr="005818DB">
        <w:rPr>
          <w:sz w:val="22"/>
          <w:szCs w:val="22"/>
        </w:rPr>
        <w:t>t might be thought that there is something obviously absurd in the idea that before a token uttered by, say, Jones could be the expression of observational knowledge, Jones would have to know that overt verbal episodes of this kind are reliable indicators of the existence, suitably related to the speaker, of green objects. (EPM, §36)</w:t>
      </w:r>
    </w:p>
    <w:p w14:paraId="0CFF587B" w14:textId="7CD4B040" w:rsidR="00A86A66" w:rsidRPr="005818DB" w:rsidRDefault="00A86A66" w:rsidP="00A86A66">
      <w:pPr>
        <w:pStyle w:val="ListParagraph"/>
        <w:ind w:left="360"/>
        <w:rPr>
          <w:sz w:val="22"/>
          <w:szCs w:val="22"/>
        </w:rPr>
      </w:pPr>
    </w:p>
    <w:p w14:paraId="2F736EBA" w14:textId="213488AC" w:rsidR="00A86A66" w:rsidRPr="005818DB" w:rsidRDefault="00A86A66" w:rsidP="00A86A66">
      <w:pPr>
        <w:pStyle w:val="ListParagraph"/>
        <w:numPr>
          <w:ilvl w:val="0"/>
          <w:numId w:val="1"/>
        </w:numPr>
        <w:rPr>
          <w:sz w:val="22"/>
          <w:szCs w:val="22"/>
        </w:rPr>
      </w:pPr>
      <w:r w:rsidRPr="005818DB">
        <w:rPr>
          <w:sz w:val="22"/>
          <w:szCs w:val="22"/>
        </w:rPr>
        <w:t>I</w:t>
      </w:r>
      <w:r w:rsidRPr="005818DB">
        <w:rPr>
          <w:sz w:val="22"/>
          <w:szCs w:val="22"/>
        </w:rPr>
        <w:t xml:space="preserve">t might be thought there is an obvious regress in the view we are examining. Does it not tell us that observational knowledge at time t presupposes knowledge of the form </w:t>
      </w:r>
      <w:r w:rsidRPr="005818DB">
        <w:rPr>
          <w:i/>
          <w:iCs/>
          <w:sz w:val="22"/>
          <w:szCs w:val="22"/>
        </w:rPr>
        <w:t>X is a reliable symptom of Y</w:t>
      </w:r>
      <w:r w:rsidRPr="005818DB">
        <w:rPr>
          <w:sz w:val="22"/>
          <w:szCs w:val="22"/>
        </w:rPr>
        <w:t xml:space="preserve">, which presupposes </w:t>
      </w:r>
      <w:r w:rsidRPr="005818DB">
        <w:rPr>
          <w:i/>
          <w:iCs/>
          <w:sz w:val="22"/>
          <w:szCs w:val="22"/>
        </w:rPr>
        <w:t>prior</w:t>
      </w:r>
      <w:r w:rsidRPr="005818DB">
        <w:rPr>
          <w:sz w:val="22"/>
          <w:szCs w:val="22"/>
        </w:rPr>
        <w:t xml:space="preserve"> observational knowledge, which presupposes </w:t>
      </w:r>
      <w:r w:rsidRPr="005818DB">
        <w:rPr>
          <w:i/>
          <w:iCs/>
          <w:sz w:val="22"/>
          <w:szCs w:val="22"/>
        </w:rPr>
        <w:t>other</w:t>
      </w:r>
      <w:r w:rsidRPr="005818DB">
        <w:rPr>
          <w:sz w:val="22"/>
          <w:szCs w:val="22"/>
        </w:rPr>
        <w:t xml:space="preserve"> knowledge of the form </w:t>
      </w:r>
      <w:r w:rsidRPr="005818DB">
        <w:rPr>
          <w:i/>
          <w:iCs/>
          <w:sz w:val="22"/>
          <w:szCs w:val="22"/>
        </w:rPr>
        <w:t>X is a reliable symptom of Y</w:t>
      </w:r>
      <w:r w:rsidRPr="005818DB">
        <w:rPr>
          <w:sz w:val="22"/>
          <w:szCs w:val="22"/>
        </w:rPr>
        <w:t xml:space="preserve">, which presupposes still other, and </w:t>
      </w:r>
      <w:r w:rsidRPr="005818DB">
        <w:rPr>
          <w:i/>
          <w:iCs/>
          <w:sz w:val="22"/>
          <w:szCs w:val="22"/>
        </w:rPr>
        <w:t>prior</w:t>
      </w:r>
      <w:r w:rsidRPr="005818DB">
        <w:rPr>
          <w:sz w:val="22"/>
          <w:szCs w:val="22"/>
        </w:rPr>
        <w:t>, observational knowledge, and so on? (EPM, §36)</w:t>
      </w:r>
    </w:p>
    <w:p w14:paraId="7A6BA597" w14:textId="46D740EC" w:rsidR="00A86A66" w:rsidRPr="005818DB" w:rsidRDefault="00A86A66" w:rsidP="00A86A66">
      <w:pPr>
        <w:pStyle w:val="ListParagraph"/>
        <w:ind w:left="360"/>
        <w:rPr>
          <w:sz w:val="22"/>
          <w:szCs w:val="22"/>
        </w:rPr>
      </w:pPr>
    </w:p>
    <w:p w14:paraId="6C92A3D4" w14:textId="77777777" w:rsidR="00A86A66" w:rsidRPr="005818DB" w:rsidRDefault="00A86A66" w:rsidP="00A86A66">
      <w:pPr>
        <w:pStyle w:val="ListParagraph"/>
        <w:numPr>
          <w:ilvl w:val="0"/>
          <w:numId w:val="1"/>
        </w:numPr>
        <w:rPr>
          <w:sz w:val="22"/>
          <w:szCs w:val="22"/>
        </w:rPr>
      </w:pPr>
      <w:r w:rsidRPr="005818DB">
        <w:rPr>
          <w:sz w:val="22"/>
          <w:szCs w:val="22"/>
        </w:rPr>
        <w:t>This charge … rests on too simple, indeed a radically mistaken, conception of what one is saying of Jones when one says that he knows that-p. … The essential point is that in characterizing an episode or state as that of knowing, we are not giving an empirical description of that episode or state; we are placing it in the logical space of reasons, of justifying and being able to justify what one says. (EPM, §36)</w:t>
      </w:r>
    </w:p>
    <w:p w14:paraId="4B4F3E9E" w14:textId="77777777" w:rsidR="00A86A66" w:rsidRPr="005818DB" w:rsidRDefault="00A86A66" w:rsidP="00A86A66">
      <w:pPr>
        <w:pStyle w:val="ListParagraph"/>
        <w:rPr>
          <w:sz w:val="22"/>
          <w:szCs w:val="22"/>
        </w:rPr>
      </w:pPr>
    </w:p>
    <w:p w14:paraId="5C435684" w14:textId="202EFB3B" w:rsidR="00A86A66" w:rsidRPr="005818DB" w:rsidRDefault="00A86A66" w:rsidP="00A86A66">
      <w:pPr>
        <w:pStyle w:val="ListParagraph"/>
        <w:numPr>
          <w:ilvl w:val="0"/>
          <w:numId w:val="1"/>
        </w:numPr>
        <w:rPr>
          <w:sz w:val="22"/>
          <w:szCs w:val="22"/>
        </w:rPr>
      </w:pPr>
      <w:r w:rsidRPr="005818DB">
        <w:rPr>
          <w:sz w:val="22"/>
          <w:szCs w:val="22"/>
        </w:rPr>
        <w:t xml:space="preserve">If I reject the framework of traditional empiricism, it is not because I want to say empirical knowledge has no foundation. For to put it that way is to suggest that it is really ‘empirical knowledge so-called,’ and to put it in a box with </w:t>
      </w:r>
      <w:proofErr w:type="spellStart"/>
      <w:r w:rsidRPr="005818DB">
        <w:rPr>
          <w:sz w:val="22"/>
          <w:szCs w:val="22"/>
        </w:rPr>
        <w:t>rumors</w:t>
      </w:r>
      <w:proofErr w:type="spellEnd"/>
      <w:r w:rsidRPr="005818DB">
        <w:rPr>
          <w:sz w:val="22"/>
          <w:szCs w:val="22"/>
        </w:rPr>
        <w:t xml:space="preserve"> and hoaxes. There is clearly </w:t>
      </w:r>
      <w:r w:rsidRPr="005818DB">
        <w:rPr>
          <w:i/>
          <w:iCs/>
          <w:sz w:val="22"/>
          <w:szCs w:val="22"/>
        </w:rPr>
        <w:t>some</w:t>
      </w:r>
      <w:r w:rsidRPr="005818DB">
        <w:rPr>
          <w:sz w:val="22"/>
          <w:szCs w:val="22"/>
        </w:rPr>
        <w:t xml:space="preserve"> point to the picture of human knowledge resting on a level of propositions—[e.g.] observation reports—which do not rest on other propositions in the same way as other propositions rest on them. (EPM, §38)</w:t>
      </w:r>
    </w:p>
    <w:p w14:paraId="2B1FFD05" w14:textId="77777777" w:rsidR="00A86A66" w:rsidRPr="005818DB" w:rsidRDefault="00A86A66" w:rsidP="00A86A66">
      <w:pPr>
        <w:pStyle w:val="ListParagraph"/>
        <w:rPr>
          <w:sz w:val="22"/>
          <w:szCs w:val="22"/>
        </w:rPr>
      </w:pPr>
    </w:p>
    <w:p w14:paraId="5D9152BD" w14:textId="11FE2C26" w:rsidR="00A86A66" w:rsidRPr="005818DB" w:rsidRDefault="00A86A66" w:rsidP="00A86A66">
      <w:pPr>
        <w:pStyle w:val="ListParagraph"/>
        <w:numPr>
          <w:ilvl w:val="0"/>
          <w:numId w:val="1"/>
        </w:numPr>
        <w:rPr>
          <w:sz w:val="22"/>
          <w:szCs w:val="22"/>
        </w:rPr>
      </w:pPr>
      <w:r w:rsidRPr="005818DB">
        <w:rPr>
          <w:i/>
          <w:iCs/>
          <w:sz w:val="22"/>
          <w:szCs w:val="22"/>
        </w:rPr>
        <w:t>Above all</w:t>
      </w:r>
      <w:r w:rsidRPr="005818DB">
        <w:rPr>
          <w:sz w:val="22"/>
          <w:szCs w:val="22"/>
        </w:rPr>
        <w:t>, the picture [knowledge resting on a foundation] is misleading because of its static character. One seems forced to choose between a picture in which an elephant rests on a tortoise (What supports the tortoise?) and the picture of a great Hegelian serpent of knowledge with its tail in its mouth (Where does it begin?) Neither will do. (EPM, §38)</w:t>
      </w:r>
    </w:p>
    <w:p w14:paraId="50A3FD6B" w14:textId="792523D3" w:rsidR="00A86A66" w:rsidRPr="005818DB" w:rsidRDefault="00A86A66" w:rsidP="00A86A66">
      <w:pPr>
        <w:pStyle w:val="ListParagraph"/>
        <w:ind w:left="360"/>
        <w:rPr>
          <w:sz w:val="22"/>
          <w:szCs w:val="22"/>
        </w:rPr>
      </w:pPr>
    </w:p>
    <w:p w14:paraId="2A55B9E1" w14:textId="556DE68D" w:rsidR="00A86A66" w:rsidRPr="005818DB" w:rsidRDefault="00A86A66" w:rsidP="00A86A66">
      <w:pPr>
        <w:pStyle w:val="ListParagraph"/>
        <w:numPr>
          <w:ilvl w:val="0"/>
          <w:numId w:val="1"/>
        </w:numPr>
        <w:rPr>
          <w:sz w:val="22"/>
          <w:szCs w:val="22"/>
        </w:rPr>
      </w:pPr>
      <w:r w:rsidRPr="005818DB">
        <w:rPr>
          <w:sz w:val="22"/>
          <w:szCs w:val="22"/>
        </w:rPr>
        <w:t>T</w:t>
      </w:r>
      <w:r w:rsidRPr="005818DB">
        <w:rPr>
          <w:sz w:val="22"/>
          <w:szCs w:val="22"/>
        </w:rPr>
        <w:t xml:space="preserve">here is no reason to deny the externalist insight that, once one </w:t>
      </w:r>
      <w:proofErr w:type="gramStart"/>
      <w:r w:rsidRPr="005818DB">
        <w:rPr>
          <w:sz w:val="22"/>
          <w:szCs w:val="22"/>
        </w:rPr>
        <w:t>is capable of achieving</w:t>
      </w:r>
      <w:proofErr w:type="gramEnd"/>
      <w:r w:rsidRPr="005818DB">
        <w:rPr>
          <w:sz w:val="22"/>
          <w:szCs w:val="22"/>
        </w:rPr>
        <w:t xml:space="preserve"> standings in the space of reasons—for instance capable of committing oneself to the claim that there is a candle in the room—one can become entitled to such standings without being able to give reasons for them. (</w:t>
      </w:r>
      <w:r w:rsidRPr="005818DB">
        <w:rPr>
          <w:sz w:val="22"/>
          <w:szCs w:val="22"/>
        </w:rPr>
        <w:t xml:space="preserve">Brandom, </w:t>
      </w:r>
      <w:r w:rsidRPr="005818DB">
        <w:rPr>
          <w:sz w:val="22"/>
          <w:szCs w:val="22"/>
        </w:rPr>
        <w:t>Knowledge and the Social Articulation of the Space of Reasons</w:t>
      </w:r>
      <w:r w:rsidRPr="005818DB">
        <w:rPr>
          <w:sz w:val="22"/>
          <w:szCs w:val="22"/>
        </w:rPr>
        <w:t>, p. 905)</w:t>
      </w:r>
    </w:p>
    <w:p w14:paraId="5954EB4A" w14:textId="77777777" w:rsidR="00A86A66" w:rsidRPr="005818DB" w:rsidRDefault="00A86A66" w:rsidP="00A86A66">
      <w:pPr>
        <w:pStyle w:val="ListParagraph"/>
        <w:rPr>
          <w:sz w:val="22"/>
          <w:szCs w:val="22"/>
        </w:rPr>
      </w:pPr>
    </w:p>
    <w:p w14:paraId="515FB0F0" w14:textId="76E714B6" w:rsidR="002316C8" w:rsidRPr="005818DB" w:rsidRDefault="00261389" w:rsidP="001C24D4">
      <w:pPr>
        <w:pStyle w:val="ListParagraph"/>
        <w:numPr>
          <w:ilvl w:val="0"/>
          <w:numId w:val="1"/>
        </w:numPr>
        <w:rPr>
          <w:sz w:val="22"/>
          <w:szCs w:val="22"/>
        </w:rPr>
      </w:pPr>
      <w:r w:rsidRPr="005818DB">
        <w:rPr>
          <w:sz w:val="22"/>
          <w:szCs w:val="22"/>
        </w:rPr>
        <w:t>In the picture common to Davidson and Sellars [impressions] are opaque: if one knows enough about one's causal connections with the world, one can argue from them to conclusions about the world, but they do not themselves disclose the world to one (</w:t>
      </w:r>
      <w:r w:rsidRPr="005818DB">
        <w:rPr>
          <w:sz w:val="22"/>
          <w:szCs w:val="22"/>
        </w:rPr>
        <w:t xml:space="preserve">McDowell, Mind and World, </w:t>
      </w:r>
      <w:r w:rsidRPr="005818DB">
        <w:rPr>
          <w:sz w:val="22"/>
          <w:szCs w:val="22"/>
        </w:rPr>
        <w:t>p. I45)</w:t>
      </w:r>
    </w:p>
    <w:p w14:paraId="655CCD9C" w14:textId="77777777" w:rsidR="00E42824" w:rsidRPr="005818DB" w:rsidRDefault="00E42824" w:rsidP="00E42824">
      <w:pPr>
        <w:pStyle w:val="ListParagraph"/>
        <w:rPr>
          <w:sz w:val="22"/>
          <w:szCs w:val="22"/>
        </w:rPr>
      </w:pPr>
    </w:p>
    <w:p w14:paraId="07871C7E" w14:textId="7FAAF859" w:rsidR="00E42824" w:rsidRPr="005818DB" w:rsidRDefault="00E42824" w:rsidP="001C24D4">
      <w:pPr>
        <w:pStyle w:val="ListParagraph"/>
        <w:numPr>
          <w:ilvl w:val="0"/>
          <w:numId w:val="1"/>
        </w:numPr>
        <w:rPr>
          <w:sz w:val="22"/>
          <w:szCs w:val="22"/>
        </w:rPr>
      </w:pPr>
      <w:proofErr w:type="gramStart"/>
      <w:r w:rsidRPr="005818DB">
        <w:rPr>
          <w:sz w:val="22"/>
          <w:szCs w:val="22"/>
        </w:rPr>
        <w:t>Thus</w:t>
      </w:r>
      <w:proofErr w:type="gramEnd"/>
      <w:r w:rsidRPr="005818DB">
        <w:rPr>
          <w:sz w:val="22"/>
          <w:szCs w:val="22"/>
        </w:rPr>
        <w:t xml:space="preserve"> McDowell’s conception of experience, which is defensible against the Sellars–Davidson alternative only given an unexamined commitment to epistemological realism, reflects a rampant Platonism. McDowell’s two moves, his conception of experience offering rational control by the world and his naturalizing account of the status of the space of reasons, are in profound tension with one another. He should keep the latter by dropping the foundationalism on which the former ultimately depends. However, his wish to trace the </w:t>
      </w:r>
      <w:proofErr w:type="spellStart"/>
      <w:r w:rsidRPr="005818DB">
        <w:rPr>
          <w:sz w:val="22"/>
          <w:szCs w:val="22"/>
        </w:rPr>
        <w:t>skeptical</w:t>
      </w:r>
      <w:proofErr w:type="spellEnd"/>
      <w:r w:rsidRPr="005818DB">
        <w:rPr>
          <w:sz w:val="22"/>
          <w:szCs w:val="22"/>
        </w:rPr>
        <w:t xml:space="preserve"> predicament to modern naturalism, rather than to more directly epistemological ideas, stands in the way. It makes him want to re-enchant the world, when all we need to do is demystify epistemology.</w:t>
      </w:r>
      <w:r w:rsidRPr="005818DB">
        <w:rPr>
          <w:sz w:val="22"/>
          <w:szCs w:val="22"/>
        </w:rPr>
        <w:t xml:space="preserve"> (</w:t>
      </w:r>
      <w:r w:rsidRPr="005818DB">
        <w:rPr>
          <w:sz w:val="22"/>
          <w:szCs w:val="22"/>
        </w:rPr>
        <w:t>Williams, M.</w:t>
      </w:r>
      <w:r w:rsidRPr="005818DB">
        <w:rPr>
          <w:sz w:val="22"/>
          <w:szCs w:val="22"/>
        </w:rPr>
        <w:t>,</w:t>
      </w:r>
      <w:r w:rsidRPr="005818DB">
        <w:rPr>
          <w:sz w:val="22"/>
          <w:szCs w:val="22"/>
        </w:rPr>
        <w:t>1996</w:t>
      </w:r>
      <w:r w:rsidRPr="005818DB">
        <w:rPr>
          <w:sz w:val="22"/>
          <w:szCs w:val="22"/>
        </w:rPr>
        <w:t>,</w:t>
      </w:r>
      <w:r w:rsidRPr="005818DB">
        <w:rPr>
          <w:sz w:val="22"/>
          <w:szCs w:val="22"/>
        </w:rPr>
        <w:t xml:space="preserve"> Exorcism and Enchantment</w:t>
      </w:r>
      <w:r w:rsidRPr="005818DB">
        <w:rPr>
          <w:sz w:val="22"/>
          <w:szCs w:val="22"/>
        </w:rPr>
        <w:t xml:space="preserve">. </w:t>
      </w:r>
      <w:r w:rsidRPr="005818DB">
        <w:rPr>
          <w:sz w:val="22"/>
          <w:szCs w:val="22"/>
        </w:rPr>
        <w:t>The Philosophical quarterly 46 (182) p.99–109</w:t>
      </w:r>
      <w:r w:rsidRPr="005818DB">
        <w:rPr>
          <w:sz w:val="22"/>
          <w:szCs w:val="22"/>
        </w:rPr>
        <w:t>. [Review of Mind and World])</w:t>
      </w:r>
    </w:p>
    <w:sectPr w:rsidR="00E42824" w:rsidRPr="005818DB" w:rsidSect="005818DB">
      <w:pgSz w:w="11906" w:h="16838"/>
      <w:pgMar w:top="284" w:right="284" w:bottom="95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C5FBA"/>
    <w:multiLevelType w:val="hybridMultilevel"/>
    <w:tmpl w:val="01F427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64827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70F"/>
    <w:rsid w:val="0007273D"/>
    <w:rsid w:val="000F0691"/>
    <w:rsid w:val="00100265"/>
    <w:rsid w:val="00137A1D"/>
    <w:rsid w:val="00140CA9"/>
    <w:rsid w:val="001C24D4"/>
    <w:rsid w:val="00230643"/>
    <w:rsid w:val="002316C8"/>
    <w:rsid w:val="00261389"/>
    <w:rsid w:val="002D0AEF"/>
    <w:rsid w:val="002E36D6"/>
    <w:rsid w:val="00327DC4"/>
    <w:rsid w:val="003B32C6"/>
    <w:rsid w:val="00407415"/>
    <w:rsid w:val="00451E17"/>
    <w:rsid w:val="004C1927"/>
    <w:rsid w:val="004C3E1A"/>
    <w:rsid w:val="005661BC"/>
    <w:rsid w:val="005818DB"/>
    <w:rsid w:val="005E49BF"/>
    <w:rsid w:val="005F6013"/>
    <w:rsid w:val="00660B45"/>
    <w:rsid w:val="00666EC8"/>
    <w:rsid w:val="0077354A"/>
    <w:rsid w:val="00775297"/>
    <w:rsid w:val="007B3D7D"/>
    <w:rsid w:val="007C7AFF"/>
    <w:rsid w:val="0083271E"/>
    <w:rsid w:val="00842F96"/>
    <w:rsid w:val="008C7E85"/>
    <w:rsid w:val="008F3F23"/>
    <w:rsid w:val="00906DE2"/>
    <w:rsid w:val="00A60C27"/>
    <w:rsid w:val="00A86A66"/>
    <w:rsid w:val="00AB5CBB"/>
    <w:rsid w:val="00B358E3"/>
    <w:rsid w:val="00B957B1"/>
    <w:rsid w:val="00B964C6"/>
    <w:rsid w:val="00BD289A"/>
    <w:rsid w:val="00BE44BE"/>
    <w:rsid w:val="00C00433"/>
    <w:rsid w:val="00C10175"/>
    <w:rsid w:val="00C12B68"/>
    <w:rsid w:val="00C27204"/>
    <w:rsid w:val="00CA7008"/>
    <w:rsid w:val="00CC5755"/>
    <w:rsid w:val="00D810AF"/>
    <w:rsid w:val="00D95DA5"/>
    <w:rsid w:val="00DC5E72"/>
    <w:rsid w:val="00DD3CCE"/>
    <w:rsid w:val="00E1470F"/>
    <w:rsid w:val="00E42824"/>
    <w:rsid w:val="00E43786"/>
    <w:rsid w:val="00EA386F"/>
    <w:rsid w:val="00EB2A9F"/>
    <w:rsid w:val="00EE2CA6"/>
    <w:rsid w:val="00F32681"/>
    <w:rsid w:val="00F85F0F"/>
    <w:rsid w:val="00F86FC3"/>
    <w:rsid w:val="00FB79F8"/>
    <w:rsid w:val="00FF4E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8FAC"/>
  <w15:chartTrackingRefBased/>
  <w15:docId w15:val="{B69B3BEE-AC2B-4FFA-830F-835660D80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70F"/>
  </w:style>
  <w:style w:type="paragraph" w:styleId="Heading1">
    <w:name w:val="heading 1"/>
    <w:basedOn w:val="Normal"/>
    <w:next w:val="Normal"/>
    <w:link w:val="Heading1Char"/>
    <w:uiPriority w:val="9"/>
    <w:qFormat/>
    <w:rsid w:val="00E14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4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47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4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4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4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4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4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4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4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4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4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4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4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70F"/>
    <w:rPr>
      <w:rFonts w:eastAsiaTheme="majorEastAsia" w:cstheme="majorBidi"/>
      <w:color w:val="272727" w:themeColor="text1" w:themeTint="D8"/>
    </w:rPr>
  </w:style>
  <w:style w:type="paragraph" w:styleId="Title">
    <w:name w:val="Title"/>
    <w:basedOn w:val="Normal"/>
    <w:next w:val="Normal"/>
    <w:link w:val="TitleChar"/>
    <w:uiPriority w:val="10"/>
    <w:qFormat/>
    <w:rsid w:val="00E14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4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4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470F"/>
    <w:pPr>
      <w:spacing w:before="160"/>
      <w:jc w:val="center"/>
    </w:pPr>
    <w:rPr>
      <w:i/>
      <w:iCs/>
      <w:color w:val="404040" w:themeColor="text1" w:themeTint="BF"/>
    </w:rPr>
  </w:style>
  <w:style w:type="character" w:customStyle="1" w:styleId="QuoteChar">
    <w:name w:val="Quote Char"/>
    <w:basedOn w:val="DefaultParagraphFont"/>
    <w:link w:val="Quote"/>
    <w:uiPriority w:val="29"/>
    <w:rsid w:val="00E1470F"/>
    <w:rPr>
      <w:i/>
      <w:iCs/>
      <w:color w:val="404040" w:themeColor="text1" w:themeTint="BF"/>
    </w:rPr>
  </w:style>
  <w:style w:type="paragraph" w:styleId="ListParagraph">
    <w:name w:val="List Paragraph"/>
    <w:basedOn w:val="Normal"/>
    <w:uiPriority w:val="34"/>
    <w:qFormat/>
    <w:rsid w:val="00E1470F"/>
    <w:pPr>
      <w:ind w:left="720"/>
      <w:contextualSpacing/>
    </w:pPr>
  </w:style>
  <w:style w:type="character" w:styleId="IntenseEmphasis">
    <w:name w:val="Intense Emphasis"/>
    <w:basedOn w:val="DefaultParagraphFont"/>
    <w:uiPriority w:val="21"/>
    <w:qFormat/>
    <w:rsid w:val="00E1470F"/>
    <w:rPr>
      <w:i/>
      <w:iCs/>
      <w:color w:val="0F4761" w:themeColor="accent1" w:themeShade="BF"/>
    </w:rPr>
  </w:style>
  <w:style w:type="paragraph" w:styleId="IntenseQuote">
    <w:name w:val="Intense Quote"/>
    <w:basedOn w:val="Normal"/>
    <w:next w:val="Normal"/>
    <w:link w:val="IntenseQuoteChar"/>
    <w:uiPriority w:val="30"/>
    <w:qFormat/>
    <w:rsid w:val="00E14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470F"/>
    <w:rPr>
      <w:i/>
      <w:iCs/>
      <w:color w:val="0F4761" w:themeColor="accent1" w:themeShade="BF"/>
    </w:rPr>
  </w:style>
  <w:style w:type="character" w:styleId="IntenseReference">
    <w:name w:val="Intense Reference"/>
    <w:basedOn w:val="DefaultParagraphFont"/>
    <w:uiPriority w:val="32"/>
    <w:qFormat/>
    <w:rsid w:val="00E147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1</Pages>
  <Words>578</Words>
  <Characters>3384</Characters>
  <Application>Microsoft Office Word</Application>
  <DocSecurity>0</DocSecurity>
  <Lines>61</Lines>
  <Paragraphs>13</Paragraphs>
  <ScaleCrop>false</ScaleCrop>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Creamer, Patrick</dc:creator>
  <cp:keywords/>
  <dc:description/>
  <cp:lastModifiedBy>Creamer, Patrick</cp:lastModifiedBy>
  <cp:revision>9</cp:revision>
  <dcterms:created xsi:type="dcterms:W3CDTF">2026-01-27T08:48:00Z</dcterms:created>
  <dcterms:modified xsi:type="dcterms:W3CDTF">2026-01-27T09:20:00Z</dcterms:modified>
</cp:coreProperties>
</file>