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BF5CD" w14:textId="1433E3CF" w:rsidR="007C7AFF" w:rsidRPr="00327DC4" w:rsidRDefault="00E1470F">
      <w:pPr>
        <w:rPr>
          <w:b/>
          <w:bCs/>
        </w:rPr>
      </w:pPr>
      <w:r w:rsidRPr="00327DC4">
        <w:rPr>
          <w:b/>
          <w:bCs/>
        </w:rPr>
        <w:t>Session 1: The Given – and justification of knowledge</w:t>
      </w:r>
    </w:p>
    <w:p w14:paraId="0350BE07" w14:textId="011CF54E" w:rsidR="004C3E1A" w:rsidRDefault="00775297" w:rsidP="005F6013">
      <w:pPr>
        <w:pStyle w:val="ListParagraph"/>
        <w:numPr>
          <w:ilvl w:val="0"/>
          <w:numId w:val="1"/>
        </w:numPr>
      </w:pPr>
      <w:r>
        <w:t>the point of the epistemological category of the given is . . . to explicate the idea that empirical knowledge rests on a ‘foundation’ of non-inferential knowledge of matter of fact (EPM, §3)</w:t>
      </w:r>
    </w:p>
    <w:p w14:paraId="1A9710EC" w14:textId="77777777" w:rsidR="005F6013" w:rsidRDefault="005F6013" w:rsidP="005F6013">
      <w:pPr>
        <w:pStyle w:val="ListParagraph"/>
        <w:ind w:left="360"/>
      </w:pPr>
    </w:p>
    <w:p w14:paraId="5867A26B" w14:textId="3BFF47C3" w:rsidR="00C27204" w:rsidRDefault="0007273D" w:rsidP="004C3E1A">
      <w:pPr>
        <w:pStyle w:val="ListParagraph"/>
        <w:numPr>
          <w:ilvl w:val="0"/>
          <w:numId w:val="1"/>
        </w:numPr>
      </w:pPr>
      <w:r>
        <w:t xml:space="preserve">One of the forms taken by the Myth of the Given is that there is, indeed must be, a structure of particular matter of fact such that (a) each fact can not only be </w:t>
      </w:r>
      <w:proofErr w:type="spellStart"/>
      <w:r>
        <w:t>noninferentially</w:t>
      </w:r>
      <w:proofErr w:type="spellEnd"/>
      <w:r>
        <w:t xml:space="preserve"> known to be the case, but presupposes no other knowledge either of particular matter of fact, or of general truths; and (b) such that the non-inferential knowledge of facts belonging to this structure constitutes the ultimate court of appeals for all factual claims</w:t>
      </w:r>
      <w:r w:rsidR="00666EC8">
        <w:t xml:space="preserve"> – </w:t>
      </w:r>
      <w:r>
        <w:t>particular and general</w:t>
      </w:r>
      <w:r w:rsidR="00666EC8">
        <w:t xml:space="preserve"> – </w:t>
      </w:r>
      <w:r>
        <w:t>about the world. (EPM, §32)</w:t>
      </w:r>
    </w:p>
    <w:p w14:paraId="313A7314" w14:textId="77777777" w:rsidR="0007273D" w:rsidRDefault="0007273D" w:rsidP="0007273D">
      <w:pPr>
        <w:pStyle w:val="ListParagraph"/>
      </w:pPr>
    </w:p>
    <w:p w14:paraId="2496334A" w14:textId="3E0E94D5" w:rsidR="0007273D" w:rsidRDefault="00FF4E5D" w:rsidP="00EB2A9F">
      <w:pPr>
        <w:pStyle w:val="ListParagraph"/>
        <w:numPr>
          <w:ilvl w:val="0"/>
          <w:numId w:val="1"/>
        </w:numPr>
      </w:pPr>
      <w:r>
        <w:t>. . . we cannot really understand the relations in virtue of which a judgment i</w:t>
      </w:r>
      <w:r w:rsidR="00EB2A9F">
        <w:t xml:space="preserve">s </w:t>
      </w:r>
      <w:r>
        <w:t>warranted except as relations in the space of concepts: relations</w:t>
      </w:r>
      <w:r w:rsidR="00EB2A9F">
        <w:t xml:space="preserve"> </w:t>
      </w:r>
      <w:r>
        <w:t xml:space="preserve">such as implication or </w:t>
      </w:r>
      <w:proofErr w:type="spellStart"/>
      <w:r>
        <w:t>probabilification</w:t>
      </w:r>
      <w:proofErr w:type="spellEnd"/>
      <w:r>
        <w:t>, which hold between potential</w:t>
      </w:r>
      <w:r w:rsidR="00EB2A9F">
        <w:t xml:space="preserve"> </w:t>
      </w:r>
      <w:r>
        <w:t>exercises of conceptual capacities. (Mind and World, p. 7)</w:t>
      </w:r>
    </w:p>
    <w:p w14:paraId="2394271A" w14:textId="77777777" w:rsidR="00EB2A9F" w:rsidRDefault="00EB2A9F" w:rsidP="00EB2A9F">
      <w:pPr>
        <w:pStyle w:val="ListParagraph"/>
      </w:pPr>
    </w:p>
    <w:p w14:paraId="321157A5" w14:textId="1AA2B273" w:rsidR="00F86FC3" w:rsidRDefault="00CC5755" w:rsidP="00F86FC3">
      <w:pPr>
        <w:pStyle w:val="ListParagraph"/>
        <w:numPr>
          <w:ilvl w:val="0"/>
          <w:numId w:val="1"/>
        </w:numPr>
      </w:pPr>
      <w:r>
        <w:t xml:space="preserve">only what is propositionally </w:t>
      </w:r>
      <w:proofErr w:type="spellStart"/>
      <w:r>
        <w:t>contentful</w:t>
      </w:r>
      <w:proofErr w:type="spellEnd"/>
      <w:r>
        <w:t>, and so conceptually articulated, can serve as (or, for that matter, stand in need of) a justification (Brandom’s Study Guide to EPM, p. 122)</w:t>
      </w:r>
    </w:p>
    <w:p w14:paraId="2973D7E3" w14:textId="70980F56" w:rsidR="00100265" w:rsidRDefault="00100265" w:rsidP="00F86FC3">
      <w:pPr>
        <w:pStyle w:val="ListParagraph"/>
        <w:ind w:left="360"/>
      </w:pPr>
    </w:p>
    <w:p w14:paraId="7E0F8AE1" w14:textId="3AC6FDCF" w:rsidR="005F6013" w:rsidRDefault="005F6013" w:rsidP="005F6013">
      <w:pPr>
        <w:pStyle w:val="ListParagraph"/>
        <w:numPr>
          <w:ilvl w:val="0"/>
          <w:numId w:val="1"/>
        </w:numPr>
      </w:pPr>
      <w:r w:rsidRPr="00C27204">
        <w:t xml:space="preserve">[T]he idea that epistemic facts can be </w:t>
      </w:r>
      <w:proofErr w:type="spellStart"/>
      <w:r w:rsidRPr="00C27204">
        <w:t>analyzed</w:t>
      </w:r>
      <w:proofErr w:type="spellEnd"/>
      <w:r w:rsidRPr="00C27204">
        <w:t xml:space="preserve"> without remainder</w:t>
      </w:r>
      <w:r>
        <w:t xml:space="preserve"> – </w:t>
      </w:r>
      <w:r w:rsidRPr="00C27204">
        <w:t>even ‘in</w:t>
      </w:r>
      <w:r>
        <w:t xml:space="preserve"> </w:t>
      </w:r>
      <w:r w:rsidRPr="00C27204">
        <w:t>principle’</w:t>
      </w:r>
      <w:r w:rsidR="00D810AF">
        <w:t xml:space="preserve"> – </w:t>
      </w:r>
      <w:r w:rsidRPr="00C27204">
        <w:t>into non-epistemic facts, whether phenomenal or</w:t>
      </w:r>
      <w:r>
        <w:t xml:space="preserve"> </w:t>
      </w:r>
      <w:proofErr w:type="spellStart"/>
      <w:r w:rsidRPr="00C27204">
        <w:t>behavioral</w:t>
      </w:r>
      <w:proofErr w:type="spellEnd"/>
      <w:r w:rsidRPr="00C27204">
        <w:t>, public or private, with no matter how lavish a sprinkling</w:t>
      </w:r>
      <w:r>
        <w:t xml:space="preserve"> </w:t>
      </w:r>
      <w:r w:rsidRPr="00C27204">
        <w:t>of subjunctives and hypotheticals is, I believe, a radical mistake</w:t>
      </w:r>
      <w:r>
        <w:t xml:space="preserve"> – </w:t>
      </w:r>
      <w:r w:rsidRPr="00C27204">
        <w:t>a</w:t>
      </w:r>
      <w:r>
        <w:t xml:space="preserve"> </w:t>
      </w:r>
      <w:r w:rsidRPr="00C27204">
        <w:t>mistake of a piece with the so-called ‘naturalistic fallacy’ in ethics.</w:t>
      </w:r>
      <w:r>
        <w:t xml:space="preserve"> </w:t>
      </w:r>
      <w:r w:rsidRPr="00C27204">
        <w:t>(EPM, §5)</w:t>
      </w:r>
    </w:p>
    <w:p w14:paraId="3D7DBDF1" w14:textId="77777777" w:rsidR="005F6013" w:rsidRDefault="005F6013" w:rsidP="005F6013">
      <w:pPr>
        <w:pStyle w:val="ListParagraph"/>
      </w:pPr>
    </w:p>
    <w:p w14:paraId="1BAC5676" w14:textId="5431FAA6" w:rsidR="005F6013" w:rsidRDefault="00F32681" w:rsidP="00C12B68">
      <w:pPr>
        <w:pStyle w:val="ListParagraph"/>
        <w:numPr>
          <w:ilvl w:val="0"/>
          <w:numId w:val="1"/>
        </w:numPr>
      </w:pPr>
      <w:r>
        <w:t>Sellars</w:t>
      </w:r>
      <w:r w:rsidR="00C12B68">
        <w:t xml:space="preserve"> (above, EPM </w:t>
      </w:r>
      <w:r w:rsidR="00C12B68" w:rsidRPr="00C27204">
        <w:t>§5)</w:t>
      </w:r>
      <w:r>
        <w:t xml:space="preserve"> is proposing that there is a similar fallacy in thinking about “epistemic facts,” such as the fact that Sarah knows that the door is shut. The fallacy here would be the idea</w:t>
      </w:r>
      <w:r w:rsidR="00C12B68">
        <w:t xml:space="preserve"> </w:t>
      </w:r>
      <w:r>
        <w:t>that such facts could be defined in non-epistemic terms or “</w:t>
      </w:r>
      <w:proofErr w:type="spellStart"/>
      <w:r>
        <w:t>analyzed</w:t>
      </w:r>
      <w:proofErr w:type="spellEnd"/>
      <w:r>
        <w:t>” as</w:t>
      </w:r>
      <w:r w:rsidR="00C12B68">
        <w:t xml:space="preserve"> </w:t>
      </w:r>
      <w:r>
        <w:t>non-epistemic facts. Sellars insinuates that this idea is fallacious because</w:t>
      </w:r>
      <w:r w:rsidR="00C12B68">
        <w:t xml:space="preserve"> </w:t>
      </w:r>
      <w:r>
        <w:t xml:space="preserve">epistemic facts are normative, </w:t>
      </w:r>
      <w:r w:rsidR="00451E17">
        <w:t xml:space="preserve">… </w:t>
      </w:r>
      <w:r>
        <w:t>If that’s</w:t>
      </w:r>
      <w:r w:rsidR="00C12B68">
        <w:t xml:space="preserve"> </w:t>
      </w:r>
      <w:r>
        <w:t>right, both “fallacies” stand or fall together</w:t>
      </w:r>
      <w:r w:rsidR="00C12B68">
        <w:t xml:space="preserve"> </w:t>
      </w:r>
      <w:r w:rsidR="00327DC4">
        <w:t>(</w:t>
      </w:r>
      <w:r w:rsidR="00327DC4" w:rsidRPr="00327DC4">
        <w:t>Maher, C.</w:t>
      </w:r>
      <w:r w:rsidR="00327DC4">
        <w:t xml:space="preserve">, </w:t>
      </w:r>
      <w:r w:rsidR="00327DC4" w:rsidRPr="00327DC4">
        <w:t>2012</w:t>
      </w:r>
      <w:r w:rsidR="00327DC4">
        <w:t>, p. 19)</w:t>
      </w:r>
    </w:p>
    <w:p w14:paraId="1ABAD0AB" w14:textId="77777777" w:rsidR="00327DC4" w:rsidRDefault="00327DC4" w:rsidP="00327DC4">
      <w:pPr>
        <w:pStyle w:val="ListParagraph"/>
      </w:pPr>
    </w:p>
    <w:p w14:paraId="71429618" w14:textId="0576C357" w:rsidR="002B1351" w:rsidRDefault="000F0691" w:rsidP="002B1351">
      <w:pPr>
        <w:pStyle w:val="ListParagraph"/>
        <w:numPr>
          <w:ilvl w:val="0"/>
          <w:numId w:val="1"/>
        </w:numPr>
      </w:pPr>
      <w:r>
        <w:t>non-conceptual states of an individual are not “epistemic facts” about that individual: they can be had independently of any knowledge whatsoever, and they cannot support any knowledge. So, the attempt to ground knowledge on them is an attempt to “</w:t>
      </w:r>
      <w:proofErr w:type="spellStart"/>
      <w:r>
        <w:t>analyze</w:t>
      </w:r>
      <w:proofErr w:type="spellEnd"/>
      <w:r>
        <w:t>” epistemic facts into non-epistemic facts. In effect, a non-conceptual Given attempts to explain your authority to judge how things are by appeal to something that gives you no authority to judge at all. The rightness of something</w:t>
      </w:r>
      <w:r w:rsidR="00BE44BE">
        <w:t xml:space="preserve"> – </w:t>
      </w:r>
      <w:r>
        <w:t>your judgment</w:t>
      </w:r>
      <w:r w:rsidR="00BE44BE">
        <w:t xml:space="preserve"> – </w:t>
      </w:r>
      <w:r>
        <w:t>would rest upon or “reduce to” something that was neither right nor wrong</w:t>
      </w:r>
      <w:r w:rsidR="00407415">
        <w:t xml:space="preserve"> – </w:t>
      </w:r>
      <w:r>
        <w:t>a non-conceptual state of yours. That would be “a mistake of a piece with the so-called ‘naturalistic fallacy’ in ethics.”</w:t>
      </w:r>
      <w:r w:rsidR="00140CA9">
        <w:t xml:space="preserve"> (</w:t>
      </w:r>
      <w:r w:rsidR="00140CA9" w:rsidRPr="00327DC4">
        <w:t>Maher, C.</w:t>
      </w:r>
      <w:r w:rsidR="00140CA9">
        <w:t xml:space="preserve">, </w:t>
      </w:r>
      <w:r w:rsidR="00140CA9" w:rsidRPr="00327DC4">
        <w:t>2012</w:t>
      </w:r>
      <w:r w:rsidR="00140CA9">
        <w:t>, p. 19)</w:t>
      </w:r>
    </w:p>
    <w:p w14:paraId="5B707FC0" w14:textId="77777777" w:rsidR="002B1351" w:rsidRDefault="002B1351" w:rsidP="002B1351">
      <w:pPr>
        <w:pStyle w:val="ListParagraph"/>
      </w:pPr>
    </w:p>
    <w:p w14:paraId="4843A942" w14:textId="77777777" w:rsidR="002B1351" w:rsidRDefault="002B1351" w:rsidP="002B1351"/>
    <w:p w14:paraId="3CFAEE3C" w14:textId="58A49E8A" w:rsidR="002B1351" w:rsidRPr="002B1351" w:rsidRDefault="002B1351" w:rsidP="002B1351">
      <w:pPr>
        <w:shd w:val="clear" w:color="auto" w:fill="FFFFFF"/>
        <w:spacing w:after="0" w:line="240" w:lineRule="auto"/>
        <w:rPr>
          <w:rFonts w:ascii="Aptos" w:eastAsia="Times New Roman" w:hAnsi="Aptos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7345A2">
        <w:rPr>
          <w:rFonts w:ascii="Aptos" w:eastAsia="Times New Roman" w:hAnsi="Aptos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Re:</w:t>
      </w:r>
      <w:r w:rsidRPr="002B1351">
        <w:rPr>
          <w:rFonts w:ascii="Aptos" w:eastAsia="Times New Roman" w:hAnsi="Aptos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The Myth of the Given from Sellars' Carus Lectures. It's a different myth to the one in EPM.</w:t>
      </w:r>
    </w:p>
    <w:p w14:paraId="01923E81" w14:textId="77777777" w:rsidR="002B1351" w:rsidRPr="002B1351" w:rsidRDefault="002B1351" w:rsidP="002B135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62749202" w14:textId="77777777" w:rsidR="002B1351" w:rsidRDefault="002B1351" w:rsidP="002B135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2B1351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>42. But why should the child's conceptualization of his sense experience be thought to have the form</w:t>
      </w:r>
    </w:p>
    <w:p w14:paraId="2D1B22C8" w14:textId="77777777" w:rsidR="007345A2" w:rsidRPr="002B1351" w:rsidRDefault="007345A2" w:rsidP="002B135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2D124AF1" w14:textId="77777777" w:rsidR="002B1351" w:rsidRDefault="002B1351" w:rsidP="007345A2">
      <w:pPr>
        <w:shd w:val="clear" w:color="auto" w:fill="FFFFFF"/>
        <w:spacing w:after="0" w:line="240" w:lineRule="auto"/>
        <w:ind w:firstLine="720"/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2B1351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[subject] [verb] [verb modifier]</w:t>
      </w:r>
    </w:p>
    <w:p w14:paraId="22C97243" w14:textId="77777777" w:rsidR="007345A2" w:rsidRPr="002B1351" w:rsidRDefault="007345A2" w:rsidP="002B1351">
      <w:pPr>
        <w:shd w:val="clear" w:color="auto" w:fill="FFFFFF"/>
        <w:spacing w:after="0" w:line="240" w:lineRule="auto"/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</w:pPr>
    </w:p>
    <w:p w14:paraId="31D1DA4A" w14:textId="77777777" w:rsidR="002B1351" w:rsidRDefault="002B1351" w:rsidP="002B135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2B1351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rather than the form of adjectival or, say, sortal predication? The construal of 'red' as an adverb is so obviously a sophisticated theoretical </w:t>
      </w:r>
      <w:proofErr w:type="spellStart"/>
      <w:r w:rsidRPr="002B1351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>maneuver</w:t>
      </w:r>
      <w:proofErr w:type="spellEnd"/>
      <w:r w:rsidRPr="002B1351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-- a rational reconstruction -- that it is worth expostulating that if ordinary language contains anything like an expression which does the job of 'redly', it would be the phrase 'of red', a fact which strongly suggests that the root concept expressed by 'red' does </w:t>
      </w:r>
      <w:r w:rsidRPr="002B1351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lang w:eastAsia="en-GB"/>
          <w14:ligatures w14:val="none"/>
        </w:rPr>
        <w:t>not</w:t>
      </w:r>
      <w:r w:rsidRPr="002B1351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> have the form of an adverb.</w:t>
      </w:r>
    </w:p>
    <w:p w14:paraId="743C1C08" w14:textId="77777777" w:rsidR="002B1351" w:rsidRPr="002B1351" w:rsidRDefault="002B1351" w:rsidP="002B135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5AB02172" w14:textId="77777777" w:rsidR="002B1351" w:rsidRDefault="002B1351" w:rsidP="002B135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2B1351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43. </w:t>
      </w:r>
      <w:proofErr w:type="gramStart"/>
      <w:r w:rsidRPr="002B1351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>Thus</w:t>
      </w:r>
      <w:proofErr w:type="gramEnd"/>
      <w:r w:rsidRPr="002B1351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the idea thy our </w:t>
      </w:r>
      <w:proofErr w:type="spellStart"/>
      <w:r w:rsidRPr="002B1351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>ur</w:t>
      </w:r>
      <w:proofErr w:type="spellEnd"/>
      <w:r w:rsidRPr="002B1351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>[pseudo]-concept of red is that of a manner of experiencing strikes me as most implausible. I can only account for the fact that philosophers have talked themselves into it by attributing to them the following line of thought</w:t>
      </w:r>
    </w:p>
    <w:p w14:paraId="37DE7556" w14:textId="77777777" w:rsidR="007345A2" w:rsidRPr="002B1351" w:rsidRDefault="007345A2" w:rsidP="002B135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32000714" w14:textId="77777777" w:rsidR="002B1351" w:rsidRDefault="002B1351" w:rsidP="007345A2">
      <w:pPr>
        <w:shd w:val="clear" w:color="auto" w:fill="FFFFFF"/>
        <w:spacing w:after="0" w:line="240" w:lineRule="auto"/>
        <w:ind w:left="720"/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2B1351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When a child has an experience of the kind which it is useful to baptize by saying that "O looks red to Junior," </w:t>
      </w:r>
      <w:r w:rsidRPr="002B1351">
        <w:rPr>
          <w:rFonts w:ascii="Aptos" w:eastAsia="Times New Roman" w:hAnsi="Aptos" w:cs="Arial"/>
          <w:i/>
          <w:iCs/>
          <w:color w:val="000000"/>
          <w:kern w:val="0"/>
          <w:sz w:val="22"/>
          <w:szCs w:val="22"/>
          <w:lang w:eastAsia="en-GB"/>
          <w14:ligatures w14:val="none"/>
        </w:rPr>
        <w:t>what is really going on</w:t>
      </w:r>
      <w:r w:rsidRPr="002B1351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 is that O is causing Junior to sense redly. Junior is </w:t>
      </w:r>
      <w:r w:rsidRPr="002B1351">
        <w:rPr>
          <w:rFonts w:ascii="Aptos" w:eastAsia="Times New Roman" w:hAnsi="Aptos" w:cs="Arial"/>
          <w:i/>
          <w:iCs/>
          <w:color w:val="000000"/>
          <w:kern w:val="0"/>
          <w:sz w:val="22"/>
          <w:szCs w:val="22"/>
          <w:lang w:eastAsia="en-GB"/>
          <w14:ligatures w14:val="none"/>
        </w:rPr>
        <w:t>directly aware</w:t>
      </w:r>
      <w:r w:rsidRPr="002B1351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 of this sensing redly. </w:t>
      </w:r>
      <w:proofErr w:type="gramStart"/>
      <w:r w:rsidRPr="002B1351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Therefore</w:t>
      </w:r>
      <w:proofErr w:type="gramEnd"/>
      <w:r w:rsidRPr="002B1351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 xml:space="preserve"> he is aware of it </w:t>
      </w:r>
      <w:r w:rsidRPr="002B1351">
        <w:rPr>
          <w:rFonts w:ascii="Aptos" w:eastAsia="Times New Roman" w:hAnsi="Aptos" w:cs="Arial"/>
          <w:i/>
          <w:iCs/>
          <w:color w:val="000000"/>
          <w:kern w:val="0"/>
          <w:sz w:val="22"/>
          <w:szCs w:val="22"/>
          <w:lang w:eastAsia="en-GB"/>
          <w14:ligatures w14:val="none"/>
        </w:rPr>
        <w:t>as</w:t>
      </w:r>
      <w:r w:rsidRPr="002B1351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 a sensing redly.</w:t>
      </w:r>
    </w:p>
    <w:p w14:paraId="112B380C" w14:textId="77777777" w:rsidR="002B1351" w:rsidRPr="002B1351" w:rsidRDefault="002B1351" w:rsidP="002B1351">
      <w:pPr>
        <w:shd w:val="clear" w:color="auto" w:fill="FFFFFF"/>
        <w:spacing w:after="0" w:line="240" w:lineRule="auto"/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</w:pPr>
    </w:p>
    <w:p w14:paraId="461C5CFD" w14:textId="77777777" w:rsidR="002B1351" w:rsidRPr="002B1351" w:rsidRDefault="002B1351" w:rsidP="002B135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2B1351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>44. This line of thought involves the principle</w:t>
      </w:r>
    </w:p>
    <w:p w14:paraId="375B1782" w14:textId="77777777" w:rsidR="007345A2" w:rsidRDefault="007345A2" w:rsidP="002B1351">
      <w:pPr>
        <w:shd w:val="clear" w:color="auto" w:fill="FFFFFF"/>
        <w:spacing w:after="0" w:line="240" w:lineRule="auto"/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</w:pPr>
    </w:p>
    <w:p w14:paraId="49281DC4" w14:textId="46AEB4CE" w:rsidR="002B1351" w:rsidRPr="002B1351" w:rsidRDefault="002B1351" w:rsidP="007345A2">
      <w:pPr>
        <w:shd w:val="clear" w:color="auto" w:fill="FFFFFF"/>
        <w:spacing w:after="0" w:line="240" w:lineRule="auto"/>
        <w:ind w:left="720"/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2B1351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If a person is directly aware of an item which has categorial status C, then the person is aware of it </w:t>
      </w:r>
      <w:r w:rsidRPr="002B1351">
        <w:rPr>
          <w:rFonts w:ascii="Aptos" w:eastAsia="Times New Roman" w:hAnsi="Aptos" w:cs="Arial"/>
          <w:i/>
          <w:iCs/>
          <w:color w:val="000000"/>
          <w:kern w:val="0"/>
          <w:sz w:val="22"/>
          <w:szCs w:val="22"/>
          <w:lang w:eastAsia="en-GB"/>
          <w14:ligatures w14:val="none"/>
        </w:rPr>
        <w:t>as</w:t>
      </w:r>
      <w:r w:rsidRPr="002B1351">
        <w:rPr>
          <w:rFonts w:ascii="Aptos" w:eastAsia="Times New Roman" w:hAnsi="Aptos" w:cs="Arial"/>
          <w:color w:val="000000"/>
          <w:kern w:val="0"/>
          <w:sz w:val="22"/>
          <w:szCs w:val="22"/>
          <w:lang w:eastAsia="en-GB"/>
          <w14:ligatures w14:val="none"/>
        </w:rPr>
        <w:t> having categorial status C.</w:t>
      </w:r>
    </w:p>
    <w:p w14:paraId="7C713491" w14:textId="77777777" w:rsidR="007345A2" w:rsidRDefault="007345A2" w:rsidP="002B135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230AC976" w14:textId="6C6BBE52" w:rsidR="002B1351" w:rsidRDefault="002B1351" w:rsidP="002B135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2B1351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>This principle is, perhaps, the most basic form of what I have castigated as "The Myth of the Given."</w:t>
      </w:r>
    </w:p>
    <w:p w14:paraId="43274C2E" w14:textId="77777777" w:rsidR="002B1351" w:rsidRPr="002B1351" w:rsidRDefault="002B1351" w:rsidP="002B135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6FDF84DD" w14:textId="77777777" w:rsidR="002B1351" w:rsidRPr="002B1351" w:rsidRDefault="002B1351" w:rsidP="002B135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2B1351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45. If we reject it, we </w:t>
      </w:r>
      <w:proofErr w:type="gramStart"/>
      <w:r w:rsidRPr="002B1351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>open up</w:t>
      </w:r>
      <w:proofErr w:type="gramEnd"/>
      <w:r w:rsidRPr="002B1351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the possibility that even if these philosophers are right in thinking that what the child is directly aware of is, from the standpoint of an ideal theory of perceptual consciousness, a state of sensing redly, nevertheless the child forms a concept which has quite a different grammar. </w:t>
      </w:r>
      <w:r w:rsidRPr="002B1351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lang w:eastAsia="en-GB"/>
          <w14:ligatures w14:val="none"/>
        </w:rPr>
        <w:t>To reject the Myth of the Given is to reject the idea that the categorial structure of the world -- if it has a categorial structure -- imposes itself on the mind as a seal imposes an image on melted wax.</w:t>
      </w:r>
    </w:p>
    <w:p w14:paraId="1C1F098E" w14:textId="77777777" w:rsidR="002B1351" w:rsidRDefault="002B1351" w:rsidP="002B1351"/>
    <w:sectPr w:rsidR="002B1351" w:rsidSect="00F85F0F">
      <w:headerReference w:type="default" r:id="rId7"/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8D2E1" w14:textId="77777777" w:rsidR="001D50E3" w:rsidRDefault="001D50E3" w:rsidP="002B1351">
      <w:pPr>
        <w:spacing w:after="0" w:line="240" w:lineRule="auto"/>
      </w:pPr>
      <w:r>
        <w:separator/>
      </w:r>
    </w:p>
  </w:endnote>
  <w:endnote w:type="continuationSeparator" w:id="0">
    <w:p w14:paraId="32A0DB1D" w14:textId="77777777" w:rsidR="001D50E3" w:rsidRDefault="001D50E3" w:rsidP="002B1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25DA3" w14:textId="77777777" w:rsidR="001D50E3" w:rsidRDefault="001D50E3" w:rsidP="002B1351">
      <w:pPr>
        <w:spacing w:after="0" w:line="240" w:lineRule="auto"/>
      </w:pPr>
      <w:r>
        <w:separator/>
      </w:r>
    </w:p>
  </w:footnote>
  <w:footnote w:type="continuationSeparator" w:id="0">
    <w:p w14:paraId="14B281CD" w14:textId="77777777" w:rsidR="001D50E3" w:rsidRDefault="001D50E3" w:rsidP="002B1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5B327" w14:textId="7EB37B13" w:rsidR="002B1351" w:rsidRDefault="002B1351">
    <w:pPr>
      <w:pStyle w:val="Header"/>
    </w:pPr>
    <w:r>
      <w:t>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C5FBA"/>
    <w:multiLevelType w:val="hybridMultilevel"/>
    <w:tmpl w:val="0944ED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4827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70F"/>
    <w:rsid w:val="0007273D"/>
    <w:rsid w:val="000F0691"/>
    <w:rsid w:val="00100265"/>
    <w:rsid w:val="00137A1D"/>
    <w:rsid w:val="00140CA9"/>
    <w:rsid w:val="001D50E3"/>
    <w:rsid w:val="002B1351"/>
    <w:rsid w:val="002D0AEF"/>
    <w:rsid w:val="002E36D6"/>
    <w:rsid w:val="00327DC4"/>
    <w:rsid w:val="00407415"/>
    <w:rsid w:val="00451E17"/>
    <w:rsid w:val="004C3E1A"/>
    <w:rsid w:val="005D41C0"/>
    <w:rsid w:val="005F6013"/>
    <w:rsid w:val="00666EC8"/>
    <w:rsid w:val="007345A2"/>
    <w:rsid w:val="00775297"/>
    <w:rsid w:val="007C7AFF"/>
    <w:rsid w:val="0083271E"/>
    <w:rsid w:val="00842F96"/>
    <w:rsid w:val="008F3F23"/>
    <w:rsid w:val="00906DE2"/>
    <w:rsid w:val="00A60C27"/>
    <w:rsid w:val="00AB5CBB"/>
    <w:rsid w:val="00B964C6"/>
    <w:rsid w:val="00BE44BE"/>
    <w:rsid w:val="00C12B68"/>
    <w:rsid w:val="00C27204"/>
    <w:rsid w:val="00CA7008"/>
    <w:rsid w:val="00CC5755"/>
    <w:rsid w:val="00D810AF"/>
    <w:rsid w:val="00D95DA5"/>
    <w:rsid w:val="00E1470F"/>
    <w:rsid w:val="00EA386F"/>
    <w:rsid w:val="00EB2A9F"/>
    <w:rsid w:val="00F25B70"/>
    <w:rsid w:val="00F32681"/>
    <w:rsid w:val="00F85F0F"/>
    <w:rsid w:val="00F86FC3"/>
    <w:rsid w:val="00FB79F8"/>
    <w:rsid w:val="00FF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E8FAC"/>
  <w15:chartTrackingRefBased/>
  <w15:docId w15:val="{B69B3BEE-AC2B-4FFA-830F-835660D80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70F"/>
  </w:style>
  <w:style w:type="paragraph" w:styleId="Heading1">
    <w:name w:val="heading 1"/>
    <w:basedOn w:val="Normal"/>
    <w:next w:val="Normal"/>
    <w:link w:val="Heading1Char"/>
    <w:uiPriority w:val="9"/>
    <w:qFormat/>
    <w:rsid w:val="00E147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7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7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7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7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7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7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7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7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7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7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7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7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7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7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7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7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7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7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7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7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7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7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7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7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7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7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7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70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B13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351"/>
  </w:style>
  <w:style w:type="paragraph" w:styleId="Footer">
    <w:name w:val="footer"/>
    <w:basedOn w:val="Normal"/>
    <w:link w:val="FooterChar"/>
    <w:uiPriority w:val="99"/>
    <w:unhideWhenUsed/>
    <w:rsid w:val="002B13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faf88fe-a998-4c5b-93c9-210a11d9a5c2}" enabled="0" method="" siteId="{1faf88fe-a998-4c5b-93c9-210a11d9a5c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715</Words>
  <Characters>4082</Characters>
  <Application>Microsoft Office Word</Application>
  <DocSecurity>0</DocSecurity>
  <Lines>34</Lines>
  <Paragraphs>9</Paragraphs>
  <ScaleCrop>false</ScaleCrop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Creamer, Patrick</dc:creator>
  <cp:keywords/>
  <dc:description/>
  <cp:lastModifiedBy>Patrick Creamer</cp:lastModifiedBy>
  <cp:revision>42</cp:revision>
  <dcterms:created xsi:type="dcterms:W3CDTF">2026-01-21T14:54:00Z</dcterms:created>
  <dcterms:modified xsi:type="dcterms:W3CDTF">2026-02-20T09:24:00Z</dcterms:modified>
</cp:coreProperties>
</file>