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0817" w14:textId="3B44171D" w:rsidR="001E3EF3" w:rsidRDefault="001E3EF3">
      <w:pPr>
        <w:rPr>
          <w:sz w:val="16"/>
          <w:szCs w:val="16"/>
        </w:rPr>
      </w:pPr>
      <w:r>
        <w:rPr>
          <w:sz w:val="16"/>
          <w:szCs w:val="16"/>
        </w:rPr>
        <w:t xml:space="preserve">From: </w:t>
      </w:r>
      <w:r w:rsidRPr="001E3EF3">
        <w:rPr>
          <w:sz w:val="16"/>
          <w:szCs w:val="16"/>
        </w:rPr>
        <w:t xml:space="preserve">Williams, Meredith. </w:t>
      </w:r>
      <w:r w:rsidRPr="001E3EF3">
        <w:rPr>
          <w:i/>
          <w:iCs/>
          <w:sz w:val="16"/>
          <w:szCs w:val="16"/>
        </w:rPr>
        <w:t>Blind Obedience</w:t>
      </w:r>
      <w:r>
        <w:rPr>
          <w:sz w:val="16"/>
          <w:szCs w:val="16"/>
        </w:rPr>
        <w:t xml:space="preserve">. </w:t>
      </w:r>
    </w:p>
    <w:p w14:paraId="0B89E1BD" w14:textId="4EBD9854" w:rsidR="001E3EF3" w:rsidRPr="001E3EF3" w:rsidRDefault="001E3EF3">
      <w:pPr>
        <w:rPr>
          <w:sz w:val="16"/>
          <w:szCs w:val="16"/>
        </w:rPr>
      </w:pPr>
      <w:r>
        <w:rPr>
          <w:sz w:val="16"/>
          <w:szCs w:val="16"/>
        </w:rPr>
        <w:t>Chapter 5: Rules and the paradox of interpretation</w:t>
      </w:r>
    </w:p>
    <w:p w14:paraId="24F4D891" w14:textId="77777777" w:rsidR="001E3EF3" w:rsidRDefault="001E3EF3"/>
    <w:p w14:paraId="68FC95A3" w14:textId="79FE1EE9" w:rsidR="001B2BAD" w:rsidRPr="001E3EF3" w:rsidRDefault="001E3EF3">
      <w:pPr>
        <w:rPr>
          <w:b/>
          <w:bCs/>
        </w:rPr>
      </w:pPr>
      <w:r w:rsidRPr="001E3EF3">
        <w:rPr>
          <w:b/>
          <w:bCs/>
        </w:rPr>
        <w:t>Two pleas for interpretation</w:t>
      </w:r>
    </w:p>
    <w:p w14:paraId="3FA7D5F7" w14:textId="77777777" w:rsidR="001E3EF3" w:rsidRDefault="001E3EF3"/>
    <w:p w14:paraId="4B8563F9" w14:textId="77777777" w:rsidR="0070105D" w:rsidRDefault="0070105D" w:rsidP="0070105D">
      <w:r>
        <w:t xml:space="preserve">It is instructive to look at both Davidson’s and Brandom’s </w:t>
      </w:r>
      <w:proofErr w:type="spellStart"/>
      <w:r>
        <w:t>defense</w:t>
      </w:r>
      <w:proofErr w:type="spellEnd"/>
      <w:r>
        <w:t xml:space="preserve"> of interpretation and more particularly their respective </w:t>
      </w:r>
      <w:proofErr w:type="spellStart"/>
      <w:r>
        <w:t>defenses</w:t>
      </w:r>
      <w:proofErr w:type="spellEnd"/>
      <w:r>
        <w:t xml:space="preserve"> of I–thou sociality. Both agree that interpretation goes “all the way down.” Both agree that interpretation can be separated from the paradox of interpretation. And both agree that while a community view of rule-following is mistaken, there is a social dimension that is necessary to language, and that is the I–thou relation of mutual recognition or acknowledgement. We have seen that the methodology of interpretation does flounder over the paradox of interpretation, forcing Davidson to rely heavily on the principle of charity. That, as we saw, is a thinly veiled reliance on agreement, on conformity in judgment, i.e., a variant of the community view that we will examine in the next section. </w:t>
      </w:r>
    </w:p>
    <w:p w14:paraId="0FC424C7" w14:textId="77777777" w:rsidR="0070105D" w:rsidRDefault="0070105D" w:rsidP="0070105D"/>
    <w:p w14:paraId="21195D2D" w14:textId="57591695" w:rsidR="0070105D" w:rsidRDefault="0070105D" w:rsidP="0070105D">
      <w:r>
        <w:t xml:space="preserve">Brandom’s </w:t>
      </w:r>
      <w:proofErr w:type="spellStart"/>
      <w:r>
        <w:t>defense</w:t>
      </w:r>
      <w:proofErr w:type="spellEnd"/>
      <w:r>
        <w:t xml:space="preserve"> of interpretation involves disengaging its use from the paradox of interpretation and accepting Wittgenstein’s restriction of the term “interpretation” to “the substitution of one expression of the rule for another.” Both the argument and the recommendation are to be found in PI §201. Brandom understands the problem of normativity to arise from a dilemma, both horns of which have been found promising or even correct in accounting for the normativity of our practices. The first horn is what Brandom calls “</w:t>
      </w:r>
      <w:proofErr w:type="spellStart"/>
      <w:r>
        <w:t>regulism</w:t>
      </w:r>
      <w:proofErr w:type="spellEnd"/>
      <w:r>
        <w:t xml:space="preserve">.” It is the view that there are rules, concepts or norms that contain once and for all the correct ways to use a rule or continue an application. All uses of the word that violate the rule or concept with which the word is associated, that is, are not found within the rule or concept, are incorrect. The inadequacies of this conception of normativity have already been established in the first section, above. </w:t>
      </w:r>
    </w:p>
    <w:p w14:paraId="6FEB676C" w14:textId="77777777" w:rsidR="0070105D" w:rsidRDefault="0070105D" w:rsidP="0070105D"/>
    <w:p w14:paraId="56F17516" w14:textId="77777777" w:rsidR="0070105D" w:rsidRDefault="0070105D" w:rsidP="0070105D">
      <w:r>
        <w:t xml:space="preserve">The other horn of the dilemma is not </w:t>
      </w:r>
      <w:proofErr w:type="spellStart"/>
      <w:r>
        <w:t>interpretationism</w:t>
      </w:r>
      <w:proofErr w:type="spellEnd"/>
      <w:r>
        <w:t>. Rather it is what Brandon calls “</w:t>
      </w:r>
      <w:proofErr w:type="spellStart"/>
      <w:r>
        <w:t>regularism</w:t>
      </w:r>
      <w:proofErr w:type="spellEnd"/>
      <w:r>
        <w:t xml:space="preserve">,” the view that normativity is reducible to conformity of </w:t>
      </w:r>
      <w:proofErr w:type="spellStart"/>
      <w:r>
        <w:t>behavior</w:t>
      </w:r>
      <w:proofErr w:type="spellEnd"/>
      <w:r>
        <w:t xml:space="preserve">, including verbal </w:t>
      </w:r>
      <w:proofErr w:type="spellStart"/>
      <w:r>
        <w:t>behavior</w:t>
      </w:r>
      <w:proofErr w:type="spellEnd"/>
      <w:r>
        <w:t xml:space="preserve"> within the community of language users. On Brandom’s view, the unanchored radical holism of </w:t>
      </w:r>
      <w:proofErr w:type="spellStart"/>
      <w:r>
        <w:t>interpretationist</w:t>
      </w:r>
      <w:proofErr w:type="spellEnd"/>
      <w:r>
        <w:t xml:space="preserve"> strategy is not the object of the paradox of interpretation. Rather the paradox of interpretation is a gerrymandering argument. Any use of a word can be gerrymandered to fit alternative continuations, and so alternative rules. This looks to be coherence with a vengeance, but that would be a mistake, according to Brandom. What the gerrymandering argument shows is that reduction to regularities cannot be correct. Thus, we have normativity all the way down. The import of this understanding is that some uses cannot be gerrymandered since they just are norm-following. The paradox of interpretation shows the </w:t>
      </w:r>
      <w:proofErr w:type="spellStart"/>
      <w:r>
        <w:t>ineliminability</w:t>
      </w:r>
      <w:proofErr w:type="spellEnd"/>
      <w:r>
        <w:t xml:space="preserve"> of norms. Brandom calls this Wittgenstein’s “normative pragmatism.” </w:t>
      </w:r>
    </w:p>
    <w:p w14:paraId="2BDF189D" w14:textId="77777777" w:rsidR="0070105D" w:rsidRDefault="0070105D" w:rsidP="0070105D"/>
    <w:p w14:paraId="34FE19FB" w14:textId="0825C40F" w:rsidR="0070105D" w:rsidRDefault="0070105D" w:rsidP="0070105D">
      <w:r>
        <w:t xml:space="preserve">Though </w:t>
      </w:r>
      <w:proofErr w:type="spellStart"/>
      <w:r>
        <w:t>regulism</w:t>
      </w:r>
      <w:proofErr w:type="spellEnd"/>
      <w:r>
        <w:t xml:space="preserve"> and </w:t>
      </w:r>
      <w:proofErr w:type="spellStart"/>
      <w:r>
        <w:t>regularism</w:t>
      </w:r>
      <w:proofErr w:type="spellEnd"/>
      <w:r>
        <w:t xml:space="preserve"> are mistaken, this does not mean that there are no problems for Brandom. On Brandom’s view, norms are instituted within a society by the members of that society. They are not independently found in ideals that transcend our customs, nor in regularities that can be captured in physical description, whether of an individual in relation to the environment or to other members of the community. Rather “[n] </w:t>
      </w:r>
      <w:proofErr w:type="spellStart"/>
      <w:r>
        <w:t>ormative</w:t>
      </w:r>
      <w:proofErr w:type="spellEnd"/>
      <w:r>
        <w:t xml:space="preserve"> statuses” of individuals within a society “are instituted by normative attitudes.”39 To unpack this aphorism is to display the way in which Brandom preserves </w:t>
      </w:r>
      <w:r>
        <w:lastRenderedPageBreak/>
        <w:t xml:space="preserve">a place for both a full-blown </w:t>
      </w:r>
      <w:proofErr w:type="spellStart"/>
      <w:r>
        <w:t>coherentist</w:t>
      </w:r>
      <w:proofErr w:type="spellEnd"/>
      <w:r>
        <w:t xml:space="preserve"> conception of norms and beliefs and the sociality of language. </w:t>
      </w:r>
    </w:p>
    <w:p w14:paraId="546E1A93" w14:textId="77777777" w:rsidR="0070105D" w:rsidRDefault="0070105D" w:rsidP="0070105D"/>
    <w:p w14:paraId="66132F0B" w14:textId="13378821" w:rsidR="0070105D" w:rsidRDefault="0070105D" w:rsidP="0070105D">
      <w:r>
        <w:t xml:space="preserve">The roles of </w:t>
      </w:r>
      <w:proofErr w:type="spellStart"/>
      <w:r>
        <w:t>coherentism</w:t>
      </w:r>
      <w:proofErr w:type="spellEnd"/>
      <w:r>
        <w:t xml:space="preserve"> and sociality in accounting for the normativity of our practices are captured, first, by Brandom’s </w:t>
      </w:r>
      <w:proofErr w:type="spellStart"/>
      <w:r>
        <w:t>inferentialist</w:t>
      </w:r>
      <w:proofErr w:type="spellEnd"/>
      <w:r>
        <w:t xml:space="preserve"> theory of meaning (the conceptual content of a sentence is its inferential role as pre-mise and conclusion in the articulable space of reasons); and, second, by his normative phenomenalism (the norms governing the space of reasons are instituted by deontic attitudes). The space of reasons is an abstract space in which sentences play inferential roles in the context of the whole, or some well-formed part of the whole. This is Brandom’s pragmatist counterpart to interpretation of a formal language, Davidson’s position. Though differing in important ways, both are strongly </w:t>
      </w:r>
      <w:proofErr w:type="spellStart"/>
      <w:r>
        <w:t>coherentist</w:t>
      </w:r>
      <w:proofErr w:type="spellEnd"/>
      <w:r>
        <w:t xml:space="preserve"> in identifying sentences with places or moves within the space of reasons or a formal language. Both insist on the interdependence of meaning and belief. For Davidson, rationalizing true belief is the only path to identifying meaning. For Brandom, deontic interdependence of meaning and belief is a feature of his normative phenomenalism. Normative status (to be a player in the game of asking for and giving reasons) is instituted by the deontic attitudes of others.</w:t>
      </w:r>
    </w:p>
    <w:p w14:paraId="4B134536" w14:textId="77777777" w:rsidR="0070105D" w:rsidRDefault="0070105D" w:rsidP="0070105D"/>
    <w:p w14:paraId="6099EFDD" w14:textId="6EABD780" w:rsidR="0070105D" w:rsidRPr="0070105D" w:rsidRDefault="0070105D" w:rsidP="0070105D">
      <w:pPr>
        <w:rPr>
          <w:i/>
          <w:iCs/>
        </w:rPr>
      </w:pPr>
      <w:r w:rsidRPr="0070105D">
        <w:rPr>
          <w:i/>
          <w:iCs/>
        </w:rPr>
        <w:t>[break in the text as it occurs in the chapter here]</w:t>
      </w:r>
    </w:p>
    <w:p w14:paraId="33AEFE65" w14:textId="77777777" w:rsidR="0070105D" w:rsidRDefault="0070105D" w:rsidP="0070105D"/>
    <w:p w14:paraId="7DC12A04" w14:textId="22BBB515" w:rsidR="001E3EF3" w:rsidRDefault="0070105D">
      <w:r>
        <w:t xml:space="preserve">One final comment concerns the </w:t>
      </w:r>
      <w:proofErr w:type="spellStart"/>
      <w:r>
        <w:t>defense</w:t>
      </w:r>
      <w:proofErr w:type="spellEnd"/>
      <w:r>
        <w:t xml:space="preserve"> of interpretation as holding between two individuals. The paradigm example for Davidson is the child learning words from a parent. A special kind of triangulation between the players and the world is revealed. “Interpretation” in this context is the de facto agreement between child and parent in the learning situation, in which the use of the word “chair” is interpreted as being the same, as referring to the chair. This is a very important and telling shift in </w:t>
      </w:r>
      <w:proofErr w:type="spellStart"/>
      <w:r>
        <w:t>Davidson’sway</w:t>
      </w:r>
      <w:proofErr w:type="spellEnd"/>
      <w:r>
        <w:t xml:space="preserve"> of thinking of the problem of normative similarity. The importance of the learning situation cannot be overstated. Its importance does not ride just with the kind of explanation it can afford with respect to judgments of normative similarity, but with our character as language users. Brandom pushes the debate a further step through his recognition that the situation of radical interpretation must be replaced with our mutual interpretation. Through our normative attitudes, we institute the normative statuses of others. This is genuine I–thou sociality. </w:t>
      </w:r>
      <w:proofErr w:type="spellStart"/>
      <w:r>
        <w:t>Davidsonian</w:t>
      </w:r>
      <w:proofErr w:type="spellEnd"/>
      <w:r>
        <w:t xml:space="preserve"> triangulation, though very important, is not a genuine I–thou relation. It describes an I–we relation consisting of two players in which de facto convergence is the ground for sameness, not interpretation. What Brandom adds is the indispensable role of mutual recognition as constituting the status of the individual as a responsible rational being. Recognition is not interpretation. Where interpretation survives is with the distinction between what is implicit and making it explicit. Here there is a genuine place for interpretation. </w:t>
      </w:r>
      <w:proofErr w:type="gramStart"/>
      <w:r>
        <w:t>But,</w:t>
      </w:r>
      <w:proofErr w:type="gramEnd"/>
      <w:r>
        <w:t xml:space="preserve"> pace Brandom, I will argue that this is not essential to normative practice. In sum, the pleas for interpretation fail. </w:t>
      </w:r>
      <w:proofErr w:type="gramStart"/>
      <w:r>
        <w:t>Indeed</w:t>
      </w:r>
      <w:proofErr w:type="gramEnd"/>
      <w:r>
        <w:t xml:space="preserve"> it can be said that they fail in the eyes of their defenders. What has been discovered is I–thou sociality. For Davidson it is a kind of community view for two, and for Brandom it is the mutual acknowledgement of the humanity and agency of the other. The one anchors our observational terms to the world; the other secures for each of us a place in the space of reasons. Sociality is required for each of these achievements. </w:t>
      </w:r>
    </w:p>
    <w:sectPr w:rsidR="001E3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F3"/>
    <w:rsid w:val="00056A78"/>
    <w:rsid w:val="00180D1D"/>
    <w:rsid w:val="001B2BAD"/>
    <w:rsid w:val="001E3EF3"/>
    <w:rsid w:val="004A19AE"/>
    <w:rsid w:val="006D4A8C"/>
    <w:rsid w:val="0070105D"/>
    <w:rsid w:val="00F77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C62D75"/>
  <w15:chartTrackingRefBased/>
  <w15:docId w15:val="{AAD37C42-95F9-0C40-93E6-17DC5D6D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E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E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E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E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E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E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E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E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E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E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E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E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EF3"/>
    <w:rPr>
      <w:rFonts w:eastAsiaTheme="majorEastAsia" w:cstheme="majorBidi"/>
      <w:color w:val="272727" w:themeColor="text1" w:themeTint="D8"/>
    </w:rPr>
  </w:style>
  <w:style w:type="paragraph" w:styleId="Title">
    <w:name w:val="Title"/>
    <w:basedOn w:val="Normal"/>
    <w:next w:val="Normal"/>
    <w:link w:val="TitleChar"/>
    <w:uiPriority w:val="10"/>
    <w:qFormat/>
    <w:rsid w:val="001E3E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E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E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3EF3"/>
    <w:rPr>
      <w:i/>
      <w:iCs/>
      <w:color w:val="404040" w:themeColor="text1" w:themeTint="BF"/>
    </w:rPr>
  </w:style>
  <w:style w:type="paragraph" w:styleId="ListParagraph">
    <w:name w:val="List Paragraph"/>
    <w:basedOn w:val="Normal"/>
    <w:uiPriority w:val="34"/>
    <w:qFormat/>
    <w:rsid w:val="001E3EF3"/>
    <w:pPr>
      <w:ind w:left="720"/>
      <w:contextualSpacing/>
    </w:pPr>
  </w:style>
  <w:style w:type="character" w:styleId="IntenseEmphasis">
    <w:name w:val="Intense Emphasis"/>
    <w:basedOn w:val="DefaultParagraphFont"/>
    <w:uiPriority w:val="21"/>
    <w:qFormat/>
    <w:rsid w:val="001E3EF3"/>
    <w:rPr>
      <w:i/>
      <w:iCs/>
      <w:color w:val="0F4761" w:themeColor="accent1" w:themeShade="BF"/>
    </w:rPr>
  </w:style>
  <w:style w:type="paragraph" w:styleId="IntenseQuote">
    <w:name w:val="Intense Quote"/>
    <w:basedOn w:val="Normal"/>
    <w:next w:val="Normal"/>
    <w:link w:val="IntenseQuoteChar"/>
    <w:uiPriority w:val="30"/>
    <w:qFormat/>
    <w:rsid w:val="001E3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EF3"/>
    <w:rPr>
      <w:i/>
      <w:iCs/>
      <w:color w:val="0F4761" w:themeColor="accent1" w:themeShade="BF"/>
    </w:rPr>
  </w:style>
  <w:style w:type="character" w:styleId="IntenseReference">
    <w:name w:val="Intense Reference"/>
    <w:basedOn w:val="DefaultParagraphFont"/>
    <w:uiPriority w:val="32"/>
    <w:qFormat/>
    <w:rsid w:val="001E3E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936</Words>
  <Characters>6118</Characters>
  <Application>Microsoft Office Word</Application>
  <DocSecurity>0</DocSecurity>
  <Lines>95</Lines>
  <Paragraphs>21</Paragraphs>
  <ScaleCrop>false</ScaleCrop>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Creamer</dc:creator>
  <cp:keywords/>
  <dc:description/>
  <cp:lastModifiedBy>Patrick Creamer</cp:lastModifiedBy>
  <cp:revision>2</cp:revision>
  <dcterms:created xsi:type="dcterms:W3CDTF">2026-09-13T07:34:00Z</dcterms:created>
  <dcterms:modified xsi:type="dcterms:W3CDTF">2026-09-13T08:44:00Z</dcterms:modified>
</cp:coreProperties>
</file>