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84139" w:val="clear"/>
            <w:tcMar>
              <w:top w:type="dxa" w:w="480"/>
              <w:left w:type="dxa" w:w="480"/>
              <w:bottom w:type="dxa" w:w="480"/>
              <w:right w:type="dxa" w:w="480"/>
            </w:tcMar>
          </w:tcPr>
          <w:p>
            <w:pPr>
              <w:spacing w:after="80" w:before="0"/>
              <w:jc w:val="left"/>
            </w:pPr>
            <w:r>
              <w:rPr>
                <w:rFonts w:ascii="Georgia" w:cs="Georgia" w:eastAsia="Georgia" w:hAnsi="Georgia"/>
                <w:b/>
                <w:bCs/>
                <w:color w:val="F8EDD4"/>
                <w:sz w:val="52"/>
                <w:szCs w:val="52"/>
              </w:rPr>
              <w:t xml:space="preserve">WYLDE WELLBEING</w:t>
            </w:r>
          </w:p>
          <w:p>
            <w:pPr>
              <w:spacing w:after="160" w:before="0"/>
              <w:jc w:val="left"/>
            </w:pPr>
            <w:r>
              <w:rPr>
                <w:rFonts w:ascii="Arial" w:cs="Arial" w:eastAsia="Arial" w:hAnsi="Arial"/>
                <w:color w:val="D4D4CE"/>
                <w:sz w:val="20"/>
                <w:szCs w:val="20"/>
              </w:rPr>
              <w:t xml:space="preserve">wyldewellbeing.uk</w:t>
            </w:r>
          </w:p>
          <w:p>
            <w:pPr>
              <w:spacing w:after="80" w:before="160"/>
              <w:jc w:val="left"/>
            </w:pPr>
            <w:r>
              <w:rPr>
                <w:rFonts w:ascii="Georgia" w:cs="Georgia" w:eastAsia="Georgia" w:hAnsi="Georgia"/>
                <w:b/>
                <w:bCs/>
                <w:color w:val="FFFFFF"/>
                <w:sz w:val="44"/>
                <w:szCs w:val="44"/>
              </w:rPr>
              <w:t xml:space="preserve">Privacy Notice</w:t>
            </w:r>
          </w:p>
          <w:p>
            <w:pPr>
              <w:spacing w:after="0" w:before="0"/>
              <w:jc w:val="left"/>
            </w:pPr>
            <w:r>
              <w:rPr>
                <w:rFonts w:ascii="Arial" w:cs="Arial" w:eastAsia="Arial" w:hAnsi="Arial"/>
                <w:i/>
                <w:iCs/>
                <w:color w:val="F5E0CC"/>
                <w:sz w:val="22"/>
                <w:szCs w:val="22"/>
              </w:rPr>
              <w:t xml:space="preserve">How we collect, use and protect your personal information</w:t>
            </w:r>
          </w:p>
        </w:tc>
      </w:tr>
    </w:tbl>
    <w:p>
      <w:pPr>
        <w:spacing w:after="0" w:before="2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4626"/>
      </w:tblGrid>
      <w:tr>
        <w:tc>
          <w:tcPr>
            <w:tcW w:type="dxa" w:w="4400"/>
            <w:tcBorders>
              <w:top w:val="none" w:color="FFFFFF" w:sz="0"/>
              <w:left w:val="none" w:color="FFFFFF" w:sz="0"/>
              <w:bottom w:val="none" w:color="FFFFFF" w:sz="0"/>
              <w:right w:val="none" w:color="FFFFFF" w:sz="0"/>
            </w:tcBorders>
          </w:tcPr>
          <w:p>
            <w:pPr>
              <w:spacing w:after="100" w:before="80"/>
            </w:pPr>
            <w:r>
              <w:rPr>
                <w:rFonts w:ascii="Arial" w:cs="Arial" w:eastAsia="Arial" w:hAnsi="Arial"/>
                <w:b/>
                <w:bCs/>
                <w:color w:val="284139"/>
                <w:sz w:val="20"/>
                <w:szCs w:val="20"/>
              </w:rPr>
              <w:t xml:space="preserve">Registered name: </w:t>
            </w:r>
            <w:r>
              <w:rPr>
                <w:rFonts w:ascii="Arial" w:cs="Arial" w:eastAsia="Arial" w:hAnsi="Arial"/>
                <w:color w:val="2C2C2C"/>
                <w:sz w:val="20"/>
                <w:szCs w:val="20"/>
              </w:rPr>
              <w:t xml:space="preserve">Wylde Wellbeing Ltd</w:t>
            </w:r>
          </w:p>
          <w:p>
            <w:pPr>
              <w:spacing w:after="100" w:before="80"/>
            </w:pPr>
            <w:r>
              <w:rPr>
                <w:rFonts w:ascii="Arial" w:cs="Arial" w:eastAsia="Arial" w:hAnsi="Arial"/>
                <w:b/>
                <w:bCs/>
                <w:color w:val="284139"/>
                <w:sz w:val="20"/>
                <w:szCs w:val="20"/>
              </w:rPr>
              <w:t xml:space="preserve">Role: </w:t>
            </w:r>
            <w:r>
              <w:rPr>
                <w:rFonts w:ascii="Arial" w:cs="Arial" w:eastAsia="Arial" w:hAnsi="Arial"/>
                <w:color w:val="2C2C2C"/>
                <w:sz w:val="20"/>
                <w:szCs w:val="20"/>
              </w:rPr>
              <w:t xml:space="preserve">Data Controller</w:t>
            </w:r>
          </w:p>
          <w:p>
            <w:pPr>
              <w:spacing w:after="100" w:before="80"/>
            </w:pPr>
            <w:r>
              <w:rPr>
                <w:rFonts w:ascii="Arial" w:cs="Arial" w:eastAsia="Arial" w:hAnsi="Arial"/>
                <w:b/>
                <w:bCs/>
                <w:color w:val="284139"/>
                <w:sz w:val="20"/>
                <w:szCs w:val="20"/>
              </w:rPr>
              <w:t xml:space="preserve">ICO registration: </w:t>
            </w:r>
            <w:r>
              <w:rPr>
                <w:rFonts w:ascii="Arial" w:cs="Arial" w:eastAsia="Arial" w:hAnsi="Arial"/>
                <w:color w:val="2C2C2C"/>
                <w:sz w:val="20"/>
                <w:szCs w:val="20"/>
              </w:rPr>
              <w:t xml:space="preserve">Registered with the ICO</w:t>
            </w:r>
          </w:p>
        </w:tc>
        <w:tc>
          <w:tcPr>
            <w:tcW w:type="dxa" w:w="4626"/>
            <w:tcBorders>
              <w:top w:val="none" w:color="FFFFFF" w:sz="0"/>
              <w:left w:val="none" w:color="FFFFFF" w:sz="0"/>
              <w:bottom w:val="none" w:color="FFFFFF" w:sz="0"/>
              <w:right w:val="none" w:color="FFFFFF" w:sz="0"/>
            </w:tcBorders>
          </w:tcPr>
          <w:p>
            <w:pPr>
              <w:spacing w:after="100" w:before="80"/>
            </w:pPr>
            <w:r>
              <w:rPr>
                <w:rFonts w:ascii="Arial" w:cs="Arial" w:eastAsia="Arial" w:hAnsi="Arial"/>
                <w:b/>
                <w:bCs/>
                <w:color w:val="284139"/>
                <w:sz w:val="20"/>
                <w:szCs w:val="20"/>
              </w:rPr>
              <w:t xml:space="preserve">Version: </w:t>
            </w:r>
            <w:r>
              <w:rPr>
                <w:rFonts w:ascii="Arial" w:cs="Arial" w:eastAsia="Arial" w:hAnsi="Arial"/>
                <w:color w:val="2C2C2C"/>
                <w:sz w:val="20"/>
                <w:szCs w:val="20"/>
              </w:rPr>
              <w:t xml:space="preserve">2.0</w:t>
            </w:r>
          </w:p>
          <w:p>
            <w:pPr>
              <w:spacing w:after="100" w:before="80"/>
            </w:pPr>
            <w:r>
              <w:rPr>
                <w:rFonts w:ascii="Arial" w:cs="Arial" w:eastAsia="Arial" w:hAnsi="Arial"/>
                <w:b/>
                <w:bCs/>
                <w:color w:val="284139"/>
                <w:sz w:val="20"/>
                <w:szCs w:val="20"/>
              </w:rPr>
              <w:t xml:space="preserve">Effective date: </w:t>
            </w:r>
            <w:r>
              <w:rPr>
                <w:rFonts w:ascii="Arial" w:cs="Arial" w:eastAsia="Arial" w:hAnsi="Arial"/>
                <w:color w:val="2C2C2C"/>
                <w:sz w:val="20"/>
                <w:szCs w:val="20"/>
              </w:rPr>
              <w:t xml:space="preserve">1 May 2026</w:t>
            </w:r>
          </w:p>
          <w:p>
            <w:pPr>
              <w:spacing w:after="100" w:before="80"/>
            </w:pPr>
            <w:r>
              <w:rPr>
                <w:rFonts w:ascii="Arial" w:cs="Arial" w:eastAsia="Arial" w:hAnsi="Arial"/>
                <w:b/>
                <w:bCs/>
                <w:color w:val="284139"/>
                <w:sz w:val="20"/>
                <w:szCs w:val="20"/>
              </w:rPr>
              <w:t xml:space="preserve">Review date: </w:t>
            </w:r>
            <w:r>
              <w:rPr>
                <w:rFonts w:ascii="Arial" w:cs="Arial" w:eastAsia="Arial" w:hAnsi="Arial"/>
                <w:color w:val="2C2C2C"/>
                <w:sz w:val="20"/>
                <w:szCs w:val="20"/>
              </w:rPr>
              <w:t xml:space="preserve">1 May 2027</w:t>
            </w:r>
          </w:p>
        </w:tc>
      </w:tr>
    </w:tbl>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4626"/>
      </w:tblGrid>
      <w:tr>
        <w:tc>
          <w:tcPr>
            <w:tcW w:type="dxa" w:w="4400"/>
            <w:tcBorders>
              <w:top w:val="none" w:color="FFFFFF" w:sz="0"/>
              <w:left w:val="none" w:color="FFFFFF" w:sz="0"/>
              <w:bottom w:val="none" w:color="FFFFFF" w:sz="0"/>
              <w:right w:val="none" w:color="FFFFFF" w:sz="0"/>
            </w:tcBorders>
          </w:tcPr>
          <w:p>
            <w:pPr>
              <w:spacing w:after="100" w:before="80"/>
            </w:pPr>
            <w:r>
              <w:rPr>
                <w:rFonts w:ascii="Arial" w:cs="Arial" w:eastAsia="Arial" w:hAnsi="Arial"/>
                <w:b/>
                <w:bCs/>
                <w:color w:val="284139"/>
                <w:sz w:val="20"/>
                <w:szCs w:val="20"/>
              </w:rPr>
              <w:t xml:space="preserve">Email: </w:t>
            </w:r>
            <w:r>
              <w:rPr>
                <w:rFonts w:ascii="Arial" w:cs="Arial" w:eastAsia="Arial" w:hAnsi="Arial"/>
                <w:color w:val="2C2C2C"/>
                <w:sz w:val="20"/>
                <w:szCs w:val="20"/>
              </w:rPr>
              <w:t xml:space="preserve">info@wyldewellbeing.uk</w:t>
            </w:r>
          </w:p>
          <w:p>
            <w:pPr>
              <w:spacing w:after="100" w:before="80"/>
            </w:pPr>
            <w:r>
              <w:rPr>
                <w:rFonts w:ascii="Arial" w:cs="Arial" w:eastAsia="Arial" w:hAnsi="Arial"/>
                <w:b/>
                <w:bCs/>
                <w:color w:val="284139"/>
                <w:sz w:val="20"/>
                <w:szCs w:val="20"/>
              </w:rPr>
              <w:t xml:space="preserve">Telephone: </w:t>
            </w:r>
            <w:r>
              <w:rPr>
                <w:rFonts w:ascii="Arial" w:cs="Arial" w:eastAsia="Arial" w:hAnsi="Arial"/>
                <w:color w:val="2C2C2C"/>
                <w:sz w:val="20"/>
                <w:szCs w:val="20"/>
              </w:rPr>
              <w:t xml:space="preserve">07795 555894</w:t>
            </w:r>
          </w:p>
        </w:tc>
        <w:tc>
          <w:tcPr>
            <w:tcW w:type="dxa" w:w="4626"/>
            <w:tcBorders>
              <w:top w:val="none" w:color="FFFFFF" w:sz="0"/>
              <w:left w:val="none" w:color="FFFFFF" w:sz="0"/>
              <w:bottom w:val="none" w:color="FFFFFF" w:sz="0"/>
              <w:right w:val="none" w:color="FFFFFF" w:sz="0"/>
            </w:tcBorders>
          </w:tcPr>
          <w:p>
            <w:pPr>
              <w:spacing w:after="100" w:before="80"/>
            </w:pPr>
            <w:r>
              <w:rPr>
                <w:rFonts w:ascii="Arial" w:cs="Arial" w:eastAsia="Arial" w:hAnsi="Arial"/>
                <w:b/>
                <w:bCs/>
                <w:color w:val="284139"/>
                <w:sz w:val="20"/>
                <w:szCs w:val="20"/>
              </w:rPr>
              <w:t xml:space="preserve">Address: </w:t>
            </w:r>
            <w:r>
              <w:rPr>
                <w:rFonts w:ascii="Arial" w:cs="Arial" w:eastAsia="Arial" w:hAnsi="Arial"/>
                <w:color w:val="2C2C2C"/>
                <w:sz w:val="20"/>
                <w:szCs w:val="20"/>
              </w:rPr>
              <w:t xml:space="preserve">Highcroft Factory Road, Cowbridge, Vale of Glamorgan, CF71 7JD</w:t>
            </w:r>
          </w:p>
        </w:tc>
      </w:tr>
    </w:tbl>
    <w:p>
      <w:pPr>
        <w:spacing w:after="0" w:before="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8EDD4" w:val="clear"/>
            <w:tcMar>
              <w:top w:type="dxa" w:w="120"/>
              <w:left w:type="dxa" w:w="200"/>
              <w:bottom w:type="dxa" w:w="120"/>
              <w:right w:type="dxa" w:w="200"/>
            </w:tcMar>
          </w:tcPr>
          <w:p>
            <w:pPr>
              <w:spacing w:after="60" w:before="0"/>
            </w:pPr>
            <w:r>
              <w:rPr>
                <w:rFonts w:ascii="Georgia" w:cs="Georgia" w:eastAsia="Georgia" w:hAnsi="Georgia"/>
                <w:b/>
                <w:bCs/>
                <w:i/>
                <w:iCs/>
                <w:color w:val="284139"/>
                <w:sz w:val="22"/>
                <w:szCs w:val="22"/>
              </w:rPr>
              <w:t xml:space="preserve">What this notice covers</w:t>
            </w:r>
          </w:p>
          <w:p>
            <w:pPr>
              <w:spacing w:after="0" w:before="0"/>
            </w:pPr>
            <w:r>
              <w:rPr>
                <w:rFonts w:ascii="Arial" w:cs="Arial" w:eastAsia="Arial" w:hAnsi="Arial"/>
                <w:color w:val="2C2C2C"/>
                <w:sz w:val="20"/>
                <w:szCs w:val="20"/>
              </w:rPr>
              <w:t xml:space="preserve">This privacy notice explains what personal information Wylde Wellbeing collects about you, why we collect it, how we use it, who we share it with, and how long we keep it. It also explains your rights under UK data protection law and how to exercise them.</w:t>
            </w:r>
          </w:p>
        </w:tc>
      </w:tr>
    </w:tbl>
    <w:p>
      <w:pPr>
        <w:spacing w:after="0" w:before="80"/>
      </w:pPr>
      <w:r>
        <w:t xml:space="preserve"/>
      </w:r>
    </w:p>
    <w:p>
      <w:pPr>
        <w:spacing w:after="100" w:before="80"/>
      </w:pPr>
      <w:r>
        <w:rPr>
          <w:rFonts w:ascii="Arial" w:cs="Arial" w:eastAsia="Arial" w:hAnsi="Arial"/>
          <w:color w:val="2C2C2C"/>
          <w:sz w:val="20"/>
          <w:szCs w:val="20"/>
        </w:rPr>
        <w:t xml:space="preserve">This notice applies to all clients, prospective clients, website visitors, newsletter subscribers, and anyone else who interacts with Wylde Wellbeing. It is written in plain language. If anything is unclear, please contact us and we will explain.</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D4D4CE" w:val="clear"/>
            <w:tcMar>
              <w:top w:type="dxa" w:w="120"/>
              <w:left w:type="dxa" w:w="200"/>
              <w:bottom w:type="dxa" w:w="120"/>
              <w:right w:type="dxa" w:w="200"/>
            </w:tcMar>
          </w:tcPr>
          <w:p>
            <w:pPr>
              <w:spacing w:after="60" w:before="0"/>
            </w:pPr>
            <w:r>
              <w:rPr>
                <w:rFonts w:ascii="Arial" w:cs="Arial" w:eastAsia="Arial" w:hAnsi="Arial"/>
                <w:b/>
                <w:bCs/>
                <w:color w:val="284139"/>
                <w:sz w:val="18"/>
                <w:szCs w:val="18"/>
              </w:rPr>
              <w:t xml:space="preserve">Legislative framework</w:t>
            </w:r>
          </w:p>
          <w:p>
            <w:pPr>
              <w:spacing w:after="0" w:before="0"/>
            </w:pPr>
            <w:r>
              <w:rPr>
                <w:rFonts w:ascii="Arial" w:cs="Arial" w:eastAsia="Arial" w:hAnsi="Arial"/>
                <w:color w:val="2C2C2C"/>
                <w:sz w:val="18"/>
                <w:szCs w:val="18"/>
              </w:rPr>
              <w:t xml:space="preserve">This notice is issued under the UK General Data Protection Regulation (UK GDPR), the Data Protection Act 2018 (DPA 2018), and the Data (Use and Access) Act 2025 (DUAA), the main provisions of which came into force on 5 February 2026. We also comply with the Privacy and Electronic Communications Regulations (PECR) where applicable.</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1.  Information We Collect</w:t>
      </w:r>
    </w:p>
    <w:p>
      <w:pPr>
        <w:spacing w:after="100" w:before="80"/>
      </w:pPr>
      <w:r>
        <w:rPr>
          <w:rFonts w:ascii="Arial" w:cs="Arial" w:eastAsia="Arial" w:hAnsi="Arial"/>
          <w:color w:val="2C2C2C"/>
          <w:sz w:val="20"/>
          <w:szCs w:val="20"/>
        </w:rPr>
        <w:t xml:space="preserve">We collect personal information in the following categories, depending on how you engage with us:</w:t>
      </w:r>
    </w:p>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1.1  Client and service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Category</w:t>
            </w:r>
          </w:p>
        </w:tc>
        <w:tc>
          <w:tcPr>
            <w:tcW w:type="dxa" w:w="58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Examples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Identity data</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Full name, date of birth</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Contact data</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Email address, phone number, postal address</w:t>
            </w:r>
          </w:p>
        </w:tc>
      </w:tr>
      <w:tr>
        <w:tc>
          <w:tcPr>
            <w:tcW w:type="dxa" w:w="3200"/>
            <w:tcBorders>
              <w:top w:val="single" w:color="CCCCCC" w:sz="1"/>
              <w:left w:val="single" w:color="CCCCCC" w:sz="1"/>
              <w:bottom w:val="single" w:color="CCCCCC" w:sz="1"/>
              <w:right w:val="single" w:color="CCCCCC" w:sz="1"/>
            </w:tcBorders>
            <w:shd w:fill="F5E0CC" w:val="clear"/>
            <w:tcMar>
              <w:top w:type="dxa" w:w="80"/>
              <w:left w:type="dxa" w:w="120"/>
              <w:bottom w:type="dxa" w:w="80"/>
              <w:right w:type="dxa" w:w="120"/>
            </w:tcMar>
          </w:tcPr>
          <w:p>
            <w:r>
              <w:rPr>
                <w:rFonts w:ascii="Arial" w:cs="Arial" w:eastAsia="Arial" w:hAnsi="Arial"/>
                <w:b/>
                <w:bCs/>
                <w:color w:val="284139"/>
                <w:sz w:val="18"/>
                <w:szCs w:val="18"/>
              </w:rPr>
              <w:t xml:space="preserve">Health information
(Special Category)</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Health conditions, chronic illness, physical and mental wellbeing relevant to coaching engagement, dietary requirements, allergies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Session data</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Notes, goals, progress, reflections from coaching sessions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Communication records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Emails, messages, scheduling correspondence</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Financial data</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Payment details, invoicing records, transaction history</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Contract records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Signed coaching agreements, consent forms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Feedback and complaints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Compliments, concerns or complaints you raise with us</w:t>
            </w:r>
          </w:p>
        </w:tc>
      </w:tr>
    </w:tbl>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1.2  Website and marketing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Category</w:t>
            </w:r>
          </w:p>
        </w:tc>
        <w:tc>
          <w:tcPr>
            <w:tcW w:type="dxa" w:w="58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Examples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Website usage data</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Pages visited, time on site, user journey, cookie data, IP address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Marketing preferences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Whether you have subscribed to our newsletter or opted in to marketing communications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8"/>
                <w:szCs w:val="18"/>
              </w:rPr>
              <w:t xml:space="preserve">Consent records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8"/>
                <w:szCs w:val="18"/>
              </w:rPr>
              <w:t xml:space="preserve">Records of when and how you gave or withdrew consent</w:t>
            </w:r>
          </w:p>
        </w:tc>
      </w:tr>
    </w:tbl>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1.3  Session recording data (Fathom)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5E0CC" w:val="clear"/>
            <w:tcMar>
              <w:top w:type="dxa" w:w="120"/>
              <w:left w:type="dxa" w:w="200"/>
              <w:bottom w:type="dxa" w:w="120"/>
              <w:right w:type="dxa" w:w="200"/>
            </w:tcMar>
          </w:tcPr>
          <w:p>
            <w:pPr>
              <w:spacing w:after="60" w:before="0"/>
            </w:pPr>
            <w:r>
              <w:rPr>
                <w:rFonts w:ascii="Arial" w:cs="Arial" w:eastAsia="Arial" w:hAnsi="Arial"/>
                <w:b/>
                <w:bCs/>
                <w:color w:val="284139"/>
                <w:sz w:val="18"/>
                <w:szCs w:val="18"/>
              </w:rPr>
              <w:t xml:space="preserve">Important: Session recording requires your explicit consent</w:t>
            </w:r>
          </w:p>
          <w:p>
            <w:pPr>
              <w:spacing w:after="0" w:before="0"/>
            </w:pPr>
            <w:r>
              <w:rPr>
                <w:rFonts w:ascii="Arial" w:cs="Arial" w:eastAsia="Arial" w:hAnsi="Arial"/>
                <w:color w:val="2C2C2C"/>
                <w:sz w:val="18"/>
                <w:szCs w:val="18"/>
              </w:rPr>
              <w:t xml:space="preserve">Where you have given explicit consent, sessions may be recorded using Fathom (Fathom Video Inc.). Fathom processes audio, video, transcripts, and AI-generated summaries of sessions. This involves the transfer of data to the USA. Full details are set out in Section 6 (Data Processors) and in our separate AI Policy. You may withdraw consent for recording at any time without consequence to your coaching engagement.</w:t>
            </w:r>
          </w:p>
        </w:tc>
      </w:tr>
    </w:tbl>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1.4  Where we collect information from</w:t>
      </w:r>
    </w:p>
    <w:p>
      <w:pPr>
        <w:pStyle w:val="ListParagraph"/>
        <w:numPr>
          <w:ilvl w:val="0"/>
          <w:numId w:val="2"/>
        </w:numPr>
        <w:spacing w:after="60" w:before="60"/>
      </w:pPr>
      <w:r>
        <w:rPr>
          <w:rFonts w:ascii="Arial" w:cs="Arial" w:eastAsia="Arial" w:hAnsi="Arial"/>
          <w:color w:val="2C2C2C"/>
          <w:sz w:val="20"/>
          <w:szCs w:val="20"/>
        </w:rPr>
        <w:t xml:space="preserve">Directly from you — when you enquire about our services, complete an intake form, sign a coaching agreement, attend a session, or contact us</w:t>
      </w:r>
    </w:p>
    <w:p>
      <w:pPr>
        <w:pStyle w:val="ListParagraph"/>
        <w:numPr>
          <w:ilvl w:val="0"/>
          <w:numId w:val="2"/>
        </w:numPr>
        <w:spacing w:after="60" w:before="60"/>
      </w:pPr>
      <w:r>
        <w:rPr>
          <w:rFonts w:ascii="Arial" w:cs="Arial" w:eastAsia="Arial" w:hAnsi="Arial"/>
          <w:color w:val="2C2C2C"/>
          <w:sz w:val="20"/>
          <w:szCs w:val="20"/>
        </w:rPr>
        <w:t xml:space="preserve">From your use of our website — via cookies and analytics tools</w:t>
      </w:r>
    </w:p>
    <w:p>
      <w:pPr>
        <w:pStyle w:val="ListParagraph"/>
        <w:numPr>
          <w:ilvl w:val="0"/>
          <w:numId w:val="2"/>
        </w:numPr>
        <w:spacing w:after="60" w:before="60"/>
      </w:pPr>
      <w:r>
        <w:rPr>
          <w:rFonts w:ascii="Arial" w:cs="Arial" w:eastAsia="Arial" w:hAnsi="Arial"/>
          <w:color w:val="2C2C2C"/>
          <w:sz w:val="20"/>
          <w:szCs w:val="20"/>
        </w:rPr>
        <w:t xml:space="preserve">From third-party scheduling and administrative software — including FEA Create</w:t>
      </w:r>
    </w:p>
    <w:p>
      <w:pPr>
        <w:pStyle w:val="ListParagraph"/>
        <w:numPr>
          <w:ilvl w:val="0"/>
          <w:numId w:val="2"/>
        </w:numPr>
        <w:spacing w:after="60" w:before="60"/>
      </w:pPr>
      <w:r>
        <w:rPr>
          <w:rFonts w:ascii="Arial" w:cs="Arial" w:eastAsia="Arial" w:hAnsi="Arial"/>
          <w:color w:val="2C2C2C"/>
          <w:sz w:val="20"/>
          <w:szCs w:val="20"/>
        </w:rPr>
        <w:t xml:space="preserve">From session recording and transcription tools — Fathom, where consent has been given</w:t>
      </w:r>
    </w:p>
    <w:p>
      <w:pPr>
        <w:pStyle w:val="ListParagraph"/>
        <w:numPr>
          <w:ilvl w:val="0"/>
          <w:numId w:val="2"/>
        </w:numPr>
        <w:spacing w:after="60" w:before="60"/>
      </w:pPr>
      <w:r>
        <w:rPr>
          <w:rFonts w:ascii="Arial" w:cs="Arial" w:eastAsia="Arial" w:hAnsi="Arial"/>
          <w:color w:val="2C2C2C"/>
          <w:sz w:val="20"/>
          <w:szCs w:val="20"/>
        </w:rPr>
        <w:t xml:space="preserve">From publicly available sources — only in very limited circumstances, such as professional background information where relevant</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2.  How and Why We Use Your Information</w:t>
      </w:r>
    </w:p>
    <w:p>
      <w:pPr>
        <w:spacing w:after="100" w:before="80"/>
      </w:pPr>
      <w:r>
        <w:rPr>
          <w:rFonts w:ascii="Arial" w:cs="Arial" w:eastAsia="Arial" w:hAnsi="Arial"/>
          <w:color w:val="2C2C2C"/>
          <w:sz w:val="20"/>
          <w:szCs w:val="20"/>
        </w:rPr>
        <w:t xml:space="preserve">Under UK data protection law, we must have a lawful basis for processing your personal data. The table below sets out the purposes for which we use your information and the lawful basis we rely on for each.</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3626"/>
        <w:gridCol w:w="2800"/>
      </w:tblGrid>
      <w:tr>
        <w:tc>
          <w:tcPr>
            <w:tcW w:type="dxa" w:w="26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Purpose</w:t>
            </w:r>
          </w:p>
        </w:tc>
        <w:tc>
          <w:tcPr>
            <w:tcW w:type="dxa" w:w="36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Data used</w:t>
            </w:r>
          </w:p>
        </w:tc>
        <w:tc>
          <w:tcPr>
            <w:tcW w:type="dxa" w:w="28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Lawful basis</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Providing coaching services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Identity, contact, health, session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Contract; Consent (for health data)</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Managing bookings and scheduling</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Identity, contact, calendar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Contract</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Issuing invoices and processing payments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Identity, contact, financial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Contract; Legal obligation</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Recording and transcribing sessions (Fathom)</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Audio, video, transcript, AI summary</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Explicit consent</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Keeping client session notes and records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Session data, health information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Contract; Consent</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Sending service-related communications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Contact data, communication records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Contract; Legitimate interests</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Marketing and newsletter communications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Name, email, marketing preferences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Consent</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Website analytics and improvement</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Website usage data, cookies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Consent (non-essential cookies); Legitimate interests (strictly necessary)</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Handling queries, concerns or complaints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Identity, contact, correspondence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Contract; Legal obligation</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Safeguarding — disclosure where required</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Relevant personal and health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Vital interests</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Complying with legal and regulatory obligations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Relevant data as required by law</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w:t>
            </w:r>
          </w:p>
        </w:tc>
      </w:tr>
      <w:tr>
        <w:tc>
          <w:tcPr>
            <w:tcW w:type="dxa" w:w="26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Keeping financial and business records</w:t>
            </w:r>
          </w:p>
        </w:tc>
        <w:tc>
          <w:tcPr>
            <w:tcW w:type="dxa" w:w="3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Financial and contract data</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3.  Special Category Data</w:t>
      </w:r>
    </w:p>
    <w:p>
      <w:pPr>
        <w:spacing w:after="100" w:before="80"/>
      </w:pPr>
      <w:r>
        <w:rPr>
          <w:rFonts w:ascii="Arial" w:cs="Arial" w:eastAsia="Arial" w:hAnsi="Arial"/>
          <w:color w:val="2C2C2C"/>
          <w:sz w:val="20"/>
          <w:szCs w:val="20"/>
        </w:rPr>
        <w:t xml:space="preserve">Because coaching often involves sensitive personal information — including health conditions, mental wellbeing, trauma history, chronic illness, and identity — we process what UK GDPR classifies as ‘Special Category Data’. This carries a higher level of legal protection.</w:t>
      </w:r>
    </w:p>
    <w:p>
      <w:pPr>
        <w:spacing w:after="0" w:before="80"/>
      </w:pPr>
      <w:r>
        <w:t xml:space="preserve"/>
      </w:r>
    </w:p>
    <w:p>
      <w:pPr>
        <w:spacing w:after="100" w:before="80"/>
      </w:pPr>
      <w:r>
        <w:rPr>
          <w:rFonts w:ascii="Arial" w:cs="Arial" w:eastAsia="Arial" w:hAnsi="Arial"/>
          <w:color w:val="2C2C2C"/>
          <w:sz w:val="20"/>
          <w:szCs w:val="20"/>
        </w:rPr>
        <w:t xml:space="preserve">Special Category Data we may process includes:</w:t>
      </w:r>
    </w:p>
    <w:p>
      <w:pPr>
        <w:pStyle w:val="ListParagraph"/>
        <w:numPr>
          <w:ilvl w:val="0"/>
          <w:numId w:val="2"/>
        </w:numPr>
        <w:spacing w:after="60" w:before="60"/>
      </w:pPr>
      <w:r>
        <w:rPr>
          <w:rFonts w:ascii="Arial" w:cs="Arial" w:eastAsia="Arial" w:hAnsi="Arial"/>
          <w:color w:val="2C2C2C"/>
          <w:sz w:val="20"/>
          <w:szCs w:val="20"/>
        </w:rPr>
        <w:t xml:space="preserve">Physical health conditions, chronic illness, disability, and symptoms</w:t>
      </w:r>
    </w:p>
    <w:p>
      <w:pPr>
        <w:pStyle w:val="ListParagraph"/>
        <w:numPr>
          <w:ilvl w:val="0"/>
          <w:numId w:val="2"/>
        </w:numPr>
        <w:spacing w:after="60" w:before="60"/>
      </w:pPr>
      <w:r>
        <w:rPr>
          <w:rFonts w:ascii="Arial" w:cs="Arial" w:eastAsia="Arial" w:hAnsi="Arial"/>
          <w:color w:val="2C2C2C"/>
          <w:sz w:val="20"/>
          <w:szCs w:val="20"/>
        </w:rPr>
        <w:t xml:space="preserve">Mental health, emotional wellbeing, and psychological history relevant to coaching</w:t>
      </w:r>
    </w:p>
    <w:p>
      <w:pPr>
        <w:pStyle w:val="ListParagraph"/>
        <w:numPr>
          <w:ilvl w:val="0"/>
          <w:numId w:val="2"/>
        </w:numPr>
        <w:spacing w:after="60" w:before="60"/>
      </w:pPr>
      <w:r>
        <w:rPr>
          <w:rFonts w:ascii="Arial" w:cs="Arial" w:eastAsia="Arial" w:hAnsi="Arial"/>
          <w:color w:val="2C2C2C"/>
          <w:sz w:val="20"/>
          <w:szCs w:val="20"/>
        </w:rPr>
        <w:t xml:space="preserve">Any other sensitive personal information you choose to share in a coaching context</w:t>
      </w:r>
    </w:p>
    <w:p>
      <w:pPr>
        <w:spacing w:after="0" w:before="80"/>
      </w:pPr>
      <w:r>
        <w:t xml:space="preserve"/>
      </w:r>
    </w:p>
    <w:p>
      <w:pPr>
        <w:spacing w:after="100" w:before="80"/>
      </w:pPr>
      <w:r>
        <w:rPr>
          <w:rFonts w:ascii="Arial" w:cs="Arial" w:eastAsia="Arial" w:hAnsi="Arial"/>
          <w:color w:val="2C2C2C"/>
          <w:sz w:val="20"/>
          <w:szCs w:val="20"/>
        </w:rPr>
        <w:t xml:space="preserve">We process Special Category Data only:</w:t>
      </w:r>
    </w:p>
    <w:p>
      <w:pPr>
        <w:pStyle w:val="ListParagraph"/>
        <w:numPr>
          <w:ilvl w:val="0"/>
          <w:numId w:val="2"/>
        </w:numPr>
        <w:spacing w:after="60" w:before="60"/>
      </w:pPr>
      <w:r>
        <w:rPr>
          <w:rFonts w:ascii="Arial" w:cs="Arial" w:eastAsia="Arial" w:hAnsi="Arial"/>
          <w:color w:val="2C2C2C"/>
          <w:sz w:val="20"/>
          <w:szCs w:val="20"/>
        </w:rPr>
        <w:t xml:space="preserve">With your explicit consent, which you may withdraw at any time</w:t>
      </w:r>
    </w:p>
    <w:p>
      <w:pPr>
        <w:pStyle w:val="ListParagraph"/>
        <w:numPr>
          <w:ilvl w:val="0"/>
          <w:numId w:val="2"/>
        </w:numPr>
        <w:spacing w:after="60" w:before="60"/>
      </w:pPr>
      <w:r>
        <w:rPr>
          <w:rFonts w:ascii="Arial" w:cs="Arial" w:eastAsia="Arial" w:hAnsi="Arial"/>
          <w:color w:val="2C2C2C"/>
          <w:sz w:val="20"/>
          <w:szCs w:val="20"/>
        </w:rPr>
        <w:t xml:space="preserve">Where necessary for the purposes of the coaching contract</w:t>
      </w:r>
    </w:p>
    <w:p>
      <w:pPr>
        <w:pStyle w:val="ListParagraph"/>
        <w:numPr>
          <w:ilvl w:val="0"/>
          <w:numId w:val="2"/>
        </w:numPr>
        <w:spacing w:after="60" w:before="60"/>
      </w:pPr>
      <w:r>
        <w:rPr>
          <w:rFonts w:ascii="Arial" w:cs="Arial" w:eastAsia="Arial" w:hAnsi="Arial"/>
          <w:color w:val="2C2C2C"/>
          <w:sz w:val="20"/>
          <w:szCs w:val="20"/>
        </w:rPr>
        <w:t xml:space="preserve">Where required by law, including safeguarding obligations</w:t>
      </w:r>
    </w:p>
    <w:p>
      <w:pPr>
        <w:spacing w:after="0" w:before="80"/>
      </w:pPr>
      <w:r>
        <w:t xml:space="preserve"/>
      </w:r>
    </w:p>
    <w:p>
      <w:pPr>
        <w:spacing w:after="100" w:before="80"/>
      </w:pPr>
      <w:r>
        <w:rPr>
          <w:rFonts w:ascii="Arial" w:cs="Arial" w:eastAsia="Arial" w:hAnsi="Arial"/>
          <w:color w:val="2C2C2C"/>
          <w:sz w:val="20"/>
          <w:szCs w:val="20"/>
        </w:rPr>
        <w:t xml:space="preserve">We apply the highest standards of care to this data. It is never shared with third parties for commercial or marketing purposes. Where session recording tools (Fathom) process Special Category Data, this is covered by our signed Data Processing Agreement, which includes specific safeguards for sensitive data.</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4.  Automated Decision-Making and AI</w:t>
      </w:r>
    </w:p>
    <w:p>
      <w:pPr>
        <w:spacing w:after="100" w:before="80"/>
      </w:pPr>
      <w:r>
        <w:rPr>
          <w:rFonts w:ascii="Arial" w:cs="Arial" w:eastAsia="Arial" w:hAnsi="Arial"/>
          <w:color w:val="2C2C2C"/>
          <w:sz w:val="20"/>
          <w:szCs w:val="20"/>
        </w:rPr>
        <w:t xml:space="preserve">We do not make any solely automated decisions about you that have legal or similarly significant effects. All coaching decisions, recommendations and interventions are made by Emily Forbes as the qualified lead coach, not by any AI system.</w:t>
      </w:r>
    </w:p>
    <w:p>
      <w:pPr>
        <w:spacing w:after="0" w:before="80"/>
      </w:pPr>
      <w:r>
        <w:t xml:space="preserve"/>
      </w:r>
    </w:p>
    <w:p>
      <w:pPr>
        <w:spacing w:after="100" w:before="80"/>
      </w:pPr>
      <w:r>
        <w:rPr>
          <w:rFonts w:ascii="Arial" w:cs="Arial" w:eastAsia="Arial" w:hAnsi="Arial"/>
          <w:color w:val="2C2C2C"/>
          <w:sz w:val="20"/>
          <w:szCs w:val="20"/>
        </w:rPr>
        <w:t xml:space="preserve">We use AI tools in the following limited ways, with your knowledge:</w:t>
      </w:r>
    </w:p>
    <w:p>
      <w:pPr>
        <w:pStyle w:val="ListParagraph"/>
        <w:numPr>
          <w:ilvl w:val="0"/>
          <w:numId w:val="2"/>
        </w:numPr>
        <w:spacing w:after="60" w:before="60"/>
      </w:pPr>
      <w:r>
        <w:rPr>
          <w:rFonts w:ascii="Arial" w:cs="Arial" w:eastAsia="Arial" w:hAnsi="Arial"/>
          <w:color w:val="2C2C2C"/>
          <w:sz w:val="20"/>
          <w:szCs w:val="20"/>
        </w:rPr>
        <w:t xml:space="preserve">Fathom: AI-assisted transcription and session summary generation, used only where you have given explicit consent to recording</w:t>
      </w:r>
    </w:p>
    <w:p>
      <w:pPr>
        <w:pStyle w:val="ListParagraph"/>
        <w:numPr>
          <w:ilvl w:val="0"/>
          <w:numId w:val="2"/>
        </w:numPr>
        <w:spacing w:after="60" w:before="60"/>
      </w:pPr>
      <w:r>
        <w:rPr>
          <w:rFonts w:ascii="Arial" w:cs="Arial" w:eastAsia="Arial" w:hAnsi="Arial"/>
          <w:color w:val="2C2C2C"/>
          <w:sz w:val="20"/>
          <w:szCs w:val="20"/>
        </w:rPr>
        <w:t xml:space="preserve">Claude (Anthropic): Used by the coach for session preparation, framework research and practice development. Only anonymised or pseudonymised scenario information is used. No identifiable client data is entered into this tool.</w:t>
      </w:r>
    </w:p>
    <w:p>
      <w:pPr>
        <w:spacing w:after="0" w:before="80"/>
      </w:pPr>
      <w:r>
        <w:t xml:space="preserve"/>
      </w:r>
    </w:p>
    <w:p>
      <w:pPr>
        <w:spacing w:after="100" w:before="80"/>
      </w:pPr>
      <w:r>
        <w:rPr>
          <w:rFonts w:ascii="Arial" w:cs="Arial" w:eastAsia="Arial" w:hAnsi="Arial"/>
          <w:color w:val="2C2C2C"/>
          <w:sz w:val="20"/>
          <w:szCs w:val="20"/>
        </w:rPr>
        <w:t xml:space="preserve">Our full AI Policy, which explains our AI use in detail including risk management and data security, is available on request or at wyldewellbeing.uk. Clients are provided with the AI Policy before coaching begins.</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D4D4CE" w:val="clear"/>
            <w:tcMar>
              <w:top w:type="dxa" w:w="120"/>
              <w:left w:type="dxa" w:w="200"/>
              <w:bottom w:type="dxa" w:w="120"/>
              <w:right w:type="dxa" w:w="200"/>
            </w:tcMar>
          </w:tcPr>
          <w:p>
            <w:pPr>
              <w:spacing w:after="60" w:before="0"/>
            </w:pPr>
            <w:r>
              <w:rPr>
                <w:rFonts w:ascii="Arial" w:cs="Arial" w:eastAsia="Arial" w:hAnsi="Arial"/>
                <w:b/>
                <w:bCs/>
                <w:color w:val="284139"/>
                <w:sz w:val="18"/>
                <w:szCs w:val="18"/>
              </w:rPr>
              <w:t xml:space="preserve">DUAA 2025: Automated decision-making</w:t>
            </w:r>
          </w:p>
          <w:p>
            <w:pPr>
              <w:spacing w:after="0" w:before="0"/>
            </w:pPr>
            <w:r>
              <w:rPr>
                <w:rFonts w:ascii="Arial" w:cs="Arial" w:eastAsia="Arial" w:hAnsi="Arial"/>
                <w:color w:val="2C2C2C"/>
                <w:sz w:val="18"/>
                <w:szCs w:val="18"/>
              </w:rPr>
              <w:t xml:space="preserve">The Data (Use and Access) Act 2025, in force from 5 February 2026, updated the UK’s approach to automated decision-making (ADM). As we do not undertake solely automated decision-making with significant effects, these provisions do not currently apply. We keep this under review as our use of technology evolves.</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5.  How Long We Keep Your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3000"/>
        <w:gridCol w:w="2826"/>
      </w:tblGrid>
      <w:tr>
        <w:tc>
          <w:tcPr>
            <w:tcW w:type="dxa" w:w="32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Data type</w:t>
            </w:r>
          </w:p>
        </w:tc>
        <w:tc>
          <w:tcPr>
            <w:tcW w:type="dxa" w:w="30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Retention period</w:t>
            </w:r>
          </w:p>
        </w:tc>
        <w:tc>
          <w:tcPr>
            <w:tcW w:type="dxa" w:w="28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Reason</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Coaching session notes and records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6 years after engagement ends</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professional standards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Coaching contracts and agreements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6 years after contract ends</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(Limitation Act 1980)</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Financial records and invoices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6 years from end of financial year</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(HMRC)</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Health and Special Category Data</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6 years after engagement ends, or as required by applicable law</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professional standards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Session recordings and transcripts (Fathom)</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As set out in our DPA with Fathom; deletable on request</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Consent; contractual provision</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Email and communications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3 years after last contact</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Legitimate interests; legal obligation</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Marketing consent records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Until consent is withdrawn, then 1 year</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(PECR)</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Website analytics data</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26 months from collection</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Legitimate interests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Complaints and safeguarding records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7 years after case closure</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 professional standards</w:t>
            </w:r>
          </w:p>
        </w:tc>
      </w:tr>
      <w:tr>
        <w:tc>
          <w:tcPr>
            <w:tcW w:type="dxa" w:w="3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Business insurance documents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7 years after policy ends</w:t>
            </w:r>
          </w:p>
        </w:tc>
        <w:tc>
          <w:tcPr>
            <w:tcW w:type="dxa" w:w="2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Legal obligation</w:t>
            </w:r>
          </w:p>
        </w:tc>
      </w:tr>
    </w:tbl>
    <w:p>
      <w:pPr>
        <w:spacing w:after="0" w:before="80"/>
      </w:pPr>
      <w:r>
        <w:t xml:space="preserve"/>
      </w:r>
    </w:p>
    <w:p>
      <w:pPr>
        <w:spacing w:after="100" w:before="80"/>
      </w:pPr>
      <w:r>
        <w:rPr>
          <w:rFonts w:ascii="Arial" w:cs="Arial" w:eastAsia="Arial" w:hAnsi="Arial"/>
          <w:color w:val="2C2C2C"/>
          <w:sz w:val="20"/>
          <w:szCs w:val="20"/>
        </w:rPr>
        <w:t xml:space="preserve">When data is no longer required, it is securely deleted or anonymised. Anonymised data may be retained for longer for practice development or statistical purposes, but can no longer identify you.</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6.  Who We Share Your Information With</w:t>
      </w:r>
    </w:p>
    <w:p>
      <w:pPr>
        <w:pStyle w:val="Heading2"/>
        <w:spacing w:after="120" w:before="280"/>
      </w:pPr>
      <w:r>
        <w:rPr>
          <w:rFonts w:ascii="Georgia" w:cs="Georgia" w:eastAsia="Georgia" w:hAnsi="Georgia"/>
          <w:b/>
          <w:bCs/>
          <w:color w:val="284139"/>
          <w:sz w:val="26"/>
          <w:szCs w:val="26"/>
        </w:rPr>
        <w:t xml:space="preserve">6.1  Data processors</w:t>
      </w:r>
    </w:p>
    <w:p>
      <w:pPr>
        <w:spacing w:after="100" w:before="80"/>
      </w:pPr>
      <w:r>
        <w:rPr>
          <w:rFonts w:ascii="Arial" w:cs="Arial" w:eastAsia="Arial" w:hAnsi="Arial"/>
          <w:color w:val="2C2C2C"/>
          <w:sz w:val="20"/>
          <w:szCs w:val="20"/>
        </w:rPr>
        <w:t xml:space="preserve">A data processor is an organisation that processes personal data on our behalf and under our instruction. We only use data processors that can demonstrate UK GDPR compliance. We have written contracts in place with each.</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626"/>
        <w:gridCol w:w="2200"/>
      </w:tblGrid>
      <w:tr>
        <w:tc>
          <w:tcPr>
            <w:tcW w:type="dxa" w:w="18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Processor</w:t>
            </w:r>
          </w:p>
        </w:tc>
        <w:tc>
          <w:tcPr>
            <w:tcW w:type="dxa" w:w="24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What they do</w:t>
            </w:r>
          </w:p>
        </w:tc>
        <w:tc>
          <w:tcPr>
            <w:tcW w:type="dxa" w:w="26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Data location</w:t>
            </w:r>
          </w:p>
        </w:tc>
        <w:tc>
          <w:tcPr>
            <w:tcW w:type="dxa" w:w="22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Safeguard</w:t>
            </w:r>
          </w:p>
        </w:tc>
      </w:tr>
      <w:tr>
        <w:tc>
          <w:tcPr>
            <w:tcW w:type="dxa" w:w="1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FEA Create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Scheduling, client data storage, contracts, invoicing, client portal</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UK / EEA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GDPR-compliant contracts</w:t>
            </w:r>
          </w:p>
        </w:tc>
      </w:tr>
      <w:tr>
        <w:tc>
          <w:tcPr>
            <w:tcW w:type="dxa" w:w="1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Fathom Video Inc.</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Session recording, transcription, AI-generated summaries (with consent only)</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USA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DPA signed April 2026; UK Addendum (ICO); EEA SCCs; SOC 2 Type II certified; end-to-end encryption</w:t>
            </w:r>
          </w:p>
        </w:tc>
      </w:tr>
      <w:tr>
        <w:tc>
          <w:tcPr>
            <w:tcW w:type="dxa" w:w="1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Zoom</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Video conferencing for sessions</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USA / EEA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Privacy settings applied; standard GDPR provisions</w:t>
            </w:r>
          </w:p>
        </w:tc>
      </w:tr>
      <w:tr>
        <w:tc>
          <w:tcPr>
            <w:tcW w:type="dxa" w:w="1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Email provider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Client and business communications</w:t>
            </w:r>
          </w:p>
        </w:tc>
        <w:tc>
          <w:tcPr>
            <w:tcW w:type="dxa" w:w="2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UK / EEA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Standard contractual protections</w:t>
            </w:r>
          </w:p>
        </w:tc>
      </w:tr>
    </w:tbl>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6.2  International transfers</w:t>
      </w:r>
    </w:p>
    <w:p>
      <w:pPr>
        <w:spacing w:after="100" w:before="80"/>
      </w:pPr>
      <w:r>
        <w:rPr>
          <w:rFonts w:ascii="Arial" w:cs="Arial" w:eastAsia="Arial" w:hAnsi="Arial"/>
          <w:color w:val="2C2C2C"/>
          <w:sz w:val="20"/>
          <w:szCs w:val="20"/>
        </w:rPr>
        <w:t xml:space="preserve">Where data is transferred outside the UK (for example, to Fathom Video Inc. in the USA), we ensure that appropriate safeguards are in place as required by UK GDPR. These include:</w:t>
      </w:r>
    </w:p>
    <w:p>
      <w:pPr>
        <w:pStyle w:val="ListParagraph"/>
        <w:numPr>
          <w:ilvl w:val="0"/>
          <w:numId w:val="2"/>
        </w:numPr>
        <w:spacing w:after="60" w:before="60"/>
      </w:pPr>
      <w:r>
        <w:rPr>
          <w:rFonts w:ascii="Arial" w:cs="Arial" w:eastAsia="Arial" w:hAnsi="Arial"/>
          <w:color w:val="2C2C2C"/>
          <w:sz w:val="20"/>
          <w:szCs w:val="20"/>
        </w:rPr>
        <w:t xml:space="preserve">UK International Data Transfer Agreements (IDTAs) and/or the ICO UK Addendum to EEA Standard Contractual Clauses</w:t>
      </w:r>
    </w:p>
    <w:p>
      <w:pPr>
        <w:pStyle w:val="ListParagraph"/>
        <w:numPr>
          <w:ilvl w:val="0"/>
          <w:numId w:val="2"/>
        </w:numPr>
        <w:spacing w:after="60" w:before="60"/>
      </w:pPr>
      <w:r>
        <w:rPr>
          <w:rFonts w:ascii="Arial" w:cs="Arial" w:eastAsia="Arial" w:hAnsi="Arial"/>
          <w:color w:val="2C2C2C"/>
          <w:sz w:val="20"/>
          <w:szCs w:val="20"/>
        </w:rPr>
        <w:t xml:space="preserve">Adequacy decisions where the destination country has been assessed as providing equivalent protection</w:t>
      </w:r>
    </w:p>
    <w:p>
      <w:pPr>
        <w:pStyle w:val="ListParagraph"/>
        <w:numPr>
          <w:ilvl w:val="0"/>
          <w:numId w:val="2"/>
        </w:numPr>
        <w:spacing w:after="60" w:before="60"/>
      </w:pPr>
      <w:r>
        <w:rPr>
          <w:rFonts w:ascii="Arial" w:cs="Arial" w:eastAsia="Arial" w:hAnsi="Arial"/>
          <w:color w:val="2C2C2C"/>
          <w:sz w:val="20"/>
          <w:szCs w:val="20"/>
        </w:rPr>
        <w:t xml:space="preserve">Explicit consent from you where no other safeguard applies</w:t>
      </w:r>
    </w:p>
    <w:p>
      <w:pPr>
        <w:spacing w:after="0" w:before="80"/>
      </w:pPr>
      <w:r>
        <w:t xml:space="preserve"/>
      </w:r>
    </w:p>
    <w:p>
      <w:pPr>
        <w:pStyle w:val="Heading2"/>
        <w:spacing w:after="120" w:before="280"/>
      </w:pPr>
      <w:r>
        <w:rPr>
          <w:rFonts w:ascii="Georgia" w:cs="Georgia" w:eastAsia="Georgia" w:hAnsi="Georgia"/>
          <w:b/>
          <w:bCs/>
          <w:color w:val="284139"/>
          <w:sz w:val="26"/>
          <w:szCs w:val="26"/>
        </w:rPr>
        <w:t xml:space="preserve">6.3  Other organisations we may share data with</w:t>
      </w:r>
    </w:p>
    <w:p>
      <w:pPr>
        <w:spacing w:after="100" w:before="80"/>
      </w:pPr>
      <w:r>
        <w:rPr>
          <w:rFonts w:ascii="Arial" w:cs="Arial" w:eastAsia="Arial" w:hAnsi="Arial"/>
          <w:color w:val="2C2C2C"/>
          <w:sz w:val="20"/>
          <w:szCs w:val="20"/>
        </w:rPr>
        <w:t xml:space="preserve">We may share your personal data with the following where legally required or necessary:</w:t>
      </w:r>
    </w:p>
    <w:p>
      <w:pPr>
        <w:pStyle w:val="ListParagraph"/>
        <w:numPr>
          <w:ilvl w:val="0"/>
          <w:numId w:val="2"/>
        </w:numPr>
        <w:spacing w:after="60" w:before="60"/>
      </w:pPr>
      <w:r>
        <w:rPr>
          <w:rFonts w:ascii="Arial" w:cs="Arial" w:eastAsia="Arial" w:hAnsi="Arial"/>
          <w:color w:val="2C2C2C"/>
          <w:sz w:val="20"/>
          <w:szCs w:val="20"/>
        </w:rPr>
        <w:t xml:space="preserve">Safeguarding authorities — where there is a risk of serious harm to you or others</w:t>
      </w:r>
    </w:p>
    <w:p>
      <w:pPr>
        <w:pStyle w:val="ListParagraph"/>
        <w:numPr>
          <w:ilvl w:val="0"/>
          <w:numId w:val="2"/>
        </w:numPr>
        <w:spacing w:after="60" w:before="60"/>
      </w:pPr>
      <w:r>
        <w:rPr>
          <w:rFonts w:ascii="Arial" w:cs="Arial" w:eastAsia="Arial" w:hAnsi="Arial"/>
          <w:color w:val="2C2C2C"/>
          <w:sz w:val="20"/>
          <w:szCs w:val="20"/>
        </w:rPr>
        <w:t xml:space="preserve">Law enforcement or regulatory authorities — where legally required</w:t>
      </w:r>
    </w:p>
    <w:p>
      <w:pPr>
        <w:pStyle w:val="ListParagraph"/>
        <w:numPr>
          <w:ilvl w:val="0"/>
          <w:numId w:val="2"/>
        </w:numPr>
        <w:spacing w:after="60" w:before="60"/>
      </w:pPr>
      <w:r>
        <w:rPr>
          <w:rFonts w:ascii="Arial" w:cs="Arial" w:eastAsia="Arial" w:hAnsi="Arial"/>
          <w:color w:val="2C2C2C"/>
          <w:sz w:val="20"/>
          <w:szCs w:val="20"/>
        </w:rPr>
        <w:t xml:space="preserve">Professional or legal advisors — for legal, compliance or professional purposes</w:t>
      </w:r>
    </w:p>
    <w:p>
      <w:pPr>
        <w:pStyle w:val="ListParagraph"/>
        <w:numPr>
          <w:ilvl w:val="0"/>
          <w:numId w:val="2"/>
        </w:numPr>
        <w:spacing w:after="60" w:before="60"/>
      </w:pPr>
      <w:r>
        <w:rPr>
          <w:rFonts w:ascii="Arial" w:cs="Arial" w:eastAsia="Arial" w:hAnsi="Arial"/>
          <w:color w:val="2C2C2C"/>
          <w:sz w:val="20"/>
          <w:szCs w:val="20"/>
        </w:rPr>
        <w:t xml:space="preserve">External auditors or inspectors — where required by law</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5E0CC" w:val="clear"/>
            <w:tcMar>
              <w:top w:type="dxa" w:w="120"/>
              <w:left w:type="dxa" w:w="200"/>
              <w:bottom w:type="dxa" w:w="120"/>
              <w:right w:type="dxa" w:w="200"/>
            </w:tcMar>
          </w:tcPr>
          <w:p>
            <w:pPr>
              <w:spacing w:after="60" w:before="0"/>
            </w:pPr>
            <w:r>
              <w:rPr>
                <w:rFonts w:ascii="Arial" w:cs="Arial" w:eastAsia="Arial" w:hAnsi="Arial"/>
                <w:b/>
                <w:bCs/>
                <w:color w:val="284139"/>
                <w:sz w:val="18"/>
                <w:szCs w:val="18"/>
              </w:rPr>
              <w:t xml:space="preserve">What we never do</w:t>
            </w:r>
          </w:p>
          <w:p>
            <w:pPr>
              <w:spacing w:after="0" w:before="0"/>
            </w:pPr>
            <w:r>
              <w:rPr>
                <w:rFonts w:ascii="Arial" w:cs="Arial" w:eastAsia="Arial" w:hAnsi="Arial"/>
                <w:color w:val="2C2C2C"/>
                <w:sz w:val="18"/>
                <w:szCs w:val="18"/>
              </w:rPr>
              <w:t xml:space="preserve">We never sell your personal data. We never share client health or session data with third parties for commercial or marketing purposes. We never share identifiable client information with AI tools used for practice support.</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7.  Cookies and Website Tracking</w:t>
      </w:r>
    </w:p>
    <w:p>
      <w:pPr>
        <w:spacing w:after="100" w:before="80"/>
      </w:pPr>
      <w:r>
        <w:rPr>
          <w:rFonts w:ascii="Arial" w:cs="Arial" w:eastAsia="Arial" w:hAnsi="Arial"/>
          <w:color w:val="2C2C2C"/>
          <w:sz w:val="20"/>
          <w:szCs w:val="20"/>
        </w:rPr>
        <w:t xml:space="preserve">Our website uses cookies — small text files placed on your device when you visit — to help it function, to understand how it is used, and to support marketing where you have given consent.</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400"/>
        <w:gridCol w:w="4426"/>
      </w:tblGrid>
      <w:tr>
        <w:tc>
          <w:tcPr>
            <w:tcW w:type="dxa" w:w="22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Cookie type</w:t>
            </w:r>
          </w:p>
        </w:tc>
        <w:tc>
          <w:tcPr>
            <w:tcW w:type="dxa" w:w="24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Lawful basis</w:t>
            </w:r>
          </w:p>
        </w:tc>
        <w:tc>
          <w:tcPr>
            <w:tcW w:type="dxa" w:w="44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What they do</w:t>
            </w:r>
          </w:p>
        </w:tc>
      </w:tr>
      <w:tr>
        <w:tc>
          <w:tcPr>
            <w:tcW w:type="dxa" w:w="2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Strictly necessary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Legitimate interests</w:t>
            </w:r>
          </w:p>
        </w:tc>
        <w:tc>
          <w:tcPr>
            <w:tcW w:type="dxa" w:w="4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Essential for the website to function. Cannot be turned off.</w:t>
            </w:r>
          </w:p>
        </w:tc>
      </w:tr>
      <w:tr>
        <w:tc>
          <w:tcPr>
            <w:tcW w:type="dxa" w:w="2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Performance / analytics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Consent</w:t>
            </w:r>
          </w:p>
        </w:tc>
        <w:tc>
          <w:tcPr>
            <w:tcW w:type="dxa" w:w="4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Help us understand how visitors use the site (e.g. Google Analytics). Only set with your consent.</w:t>
            </w:r>
          </w:p>
        </w:tc>
      </w:tr>
      <w:tr>
        <w:tc>
          <w:tcPr>
            <w:tcW w:type="dxa" w:w="2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Functionality</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Consent</w:t>
            </w:r>
          </w:p>
        </w:tc>
        <w:tc>
          <w:tcPr>
            <w:tcW w:type="dxa" w:w="4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Remember your preferences and personalise your experience.</w:t>
            </w:r>
          </w:p>
        </w:tc>
      </w:tr>
      <w:tr>
        <w:tc>
          <w:tcPr>
            <w:tcW w:type="dxa" w:w="22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Marketing / targeting</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808076"/>
                <w:sz w:val="17"/>
                <w:szCs w:val="17"/>
              </w:rPr>
              <w:t xml:space="preserve">Consent</w:t>
            </w:r>
          </w:p>
        </w:tc>
        <w:tc>
          <w:tcPr>
            <w:tcW w:type="dxa" w:w="4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Used by advertising partners to show relevant content. Only set with your consent.</w:t>
            </w:r>
          </w:p>
        </w:tc>
      </w:tr>
    </w:tbl>
    <w:p>
      <w:pPr>
        <w:spacing w:after="0" w:before="80"/>
      </w:pPr>
      <w:r>
        <w:t xml:space="preserve"/>
      </w:r>
    </w:p>
    <w:p>
      <w:pPr>
        <w:spacing w:after="100" w:before="80"/>
      </w:pPr>
      <w:r>
        <w:rPr>
          <w:rFonts w:ascii="Arial" w:cs="Arial" w:eastAsia="Arial" w:hAnsi="Arial"/>
          <w:color w:val="2C2C2C"/>
          <w:sz w:val="20"/>
          <w:szCs w:val="20"/>
        </w:rPr>
        <w:t xml:space="preserve">You can manage or withdraw cookie consent at any time through your browser settings or through any cookie management tool on our website. Withdrawing consent for non-essential cookies will not affect your ability to use our website or our services.</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8.  Your Data Protection Rights</w:t>
      </w:r>
    </w:p>
    <w:p>
      <w:pPr>
        <w:spacing w:after="100" w:before="80"/>
      </w:pPr>
      <w:r>
        <w:rPr>
          <w:rFonts w:ascii="Arial" w:cs="Arial" w:eastAsia="Arial" w:hAnsi="Arial"/>
          <w:color w:val="2C2C2C"/>
          <w:sz w:val="20"/>
          <w:szCs w:val="20"/>
        </w:rPr>
        <w:t xml:space="preserve">Under UK GDPR and the DUAA 2025, you have the following rights. The rights that apply to you in any given situation depend on the lawful basis we rely on for processing.</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Your right</w:t>
            </w:r>
          </w:p>
        </w:tc>
        <w:tc>
          <w:tcPr>
            <w:tcW w:type="dxa" w:w="62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8"/>
                <w:szCs w:val="18"/>
              </w:rPr>
              <w:t xml:space="preserve">What it means</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of access</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You can ask us for a copy of the personal data we hold about you, and information about how we use it. We must respond within one month.</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rectification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You can ask us to correct inaccurate or incomplete personal data.</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erasure (‘right to be forgotten’)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You can ask us to delete your personal data in certain circumstances. This right does not apply where we are required by law to retain the data.</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restriction of processing</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You can ask us to limit how we use your data in certain circumstances.</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object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You can object to processing based on legitimate interests. We must stop unless we can demonstrate compelling grounds to continue.</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data portability</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Where processing is based on consent or contract and is automated, you can ask us to transfer your data to another organisation or to you directly.</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withdraw consent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Where we rely on consent as our lawful basis, you can withdraw it at any time. This does not affect the lawfulness of processing before withdrawal.</w:t>
            </w:r>
          </w:p>
        </w:tc>
      </w:tr>
      <w:tr>
        <w:tc>
          <w:tcPr>
            <w:tcW w:type="dxa" w:w="2800"/>
            <w:tcBorders>
              <w:top w:val="single" w:color="CCCCCC" w:sz="1"/>
              <w:left w:val="single" w:color="CCCCCC" w:sz="1"/>
              <w:bottom w:val="single" w:color="CCCCCC" w:sz="1"/>
              <w:right w:val="single" w:color="CCCCCC" w:sz="1"/>
            </w:tcBorders>
            <w:shd w:fill="D0DDD9" w:val="clear"/>
            <w:tcMar>
              <w:top w:type="dxa" w:w="80"/>
              <w:left w:type="dxa" w:w="120"/>
              <w:bottom w:type="dxa" w:w="80"/>
              <w:right w:type="dxa" w:w="120"/>
            </w:tcMar>
          </w:tcPr>
          <w:p>
            <w:r>
              <w:rPr>
                <w:rFonts w:ascii="Arial" w:cs="Arial" w:eastAsia="Arial" w:hAnsi="Arial"/>
                <w:b/>
                <w:bCs/>
                <w:color w:val="284139"/>
                <w:sz w:val="17"/>
                <w:szCs w:val="17"/>
              </w:rPr>
              <w:t xml:space="preserve">Right to complain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2C2C2C"/>
                <w:sz w:val="17"/>
                <w:szCs w:val="17"/>
              </w:rPr>
              <w:t xml:space="preserve">You have the right to complain to the ICO if you are unhappy with how we handle your data. See Section 9.</w:t>
            </w:r>
          </w:p>
        </w:tc>
      </w:tr>
    </w:tbl>
    <w:p>
      <w:pPr>
        <w:spacing w:after="0" w:before="80"/>
      </w:pPr>
      <w:r>
        <w:t xml:space="preserve"/>
      </w:r>
    </w:p>
    <w:p>
      <w:pPr>
        <w:spacing w:after="100" w:before="80"/>
      </w:pPr>
      <w:r>
        <w:rPr>
          <w:rFonts w:ascii="Arial" w:cs="Arial" w:eastAsia="Arial" w:hAnsi="Arial"/>
          <w:color w:val="2C2C2C"/>
          <w:sz w:val="20"/>
          <w:szCs w:val="20"/>
        </w:rPr>
        <w:t xml:space="preserve">To exercise any of your rights, please contact us at info@wyldewellbeing.uk. We will respond within one month of receiving your request. We may need to verify your identity before we can action your request.</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5E0CC" w:val="clear"/>
            <w:tcMar>
              <w:top w:type="dxa" w:w="120"/>
              <w:left w:type="dxa" w:w="200"/>
              <w:bottom w:type="dxa" w:w="120"/>
              <w:right w:type="dxa" w:w="200"/>
            </w:tcMar>
          </w:tcPr>
          <w:p>
            <w:pPr>
              <w:spacing w:after="60" w:before="0"/>
            </w:pPr>
            <w:r>
              <w:rPr>
                <w:rFonts w:ascii="Arial" w:cs="Arial" w:eastAsia="Arial" w:hAnsi="Arial"/>
                <w:b/>
                <w:bCs/>
                <w:color w:val="284139"/>
                <w:sz w:val="18"/>
                <w:szCs w:val="18"/>
              </w:rPr>
              <w:t xml:space="preserve">Complaints procedure (DUAA 2025 requirement from 19 June 2026)</w:t>
            </w:r>
          </w:p>
          <w:p>
            <w:pPr>
              <w:spacing w:after="0" w:before="0"/>
            </w:pPr>
            <w:r>
              <w:rPr>
                <w:rFonts w:ascii="Arial" w:cs="Arial" w:eastAsia="Arial" w:hAnsi="Arial"/>
                <w:color w:val="2C2C2C"/>
                <w:sz w:val="18"/>
                <w:szCs w:val="18"/>
              </w:rPr>
              <w:t xml:space="preserve">From 19 June 2026, the Data (Use and Access) Act 2025 requires us to have a formal data protection complaints procedure in place. If you wish to raise a concern about how we handle your data, please contact us at info@wyldewellbeing.uk. We will acknowledge your complaint within 30 days and work with you to resolve it.</w:t>
            </w:r>
          </w:p>
        </w:tc>
      </w:tr>
    </w:tbl>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9.  How to Complain</w:t>
      </w:r>
    </w:p>
    <w:p>
      <w:pPr>
        <w:spacing w:after="100" w:before="80"/>
      </w:pPr>
      <w:r>
        <w:rPr>
          <w:rFonts w:ascii="Arial" w:cs="Arial" w:eastAsia="Arial" w:hAnsi="Arial"/>
          <w:color w:val="2C2C2C"/>
          <w:sz w:val="20"/>
          <w:szCs w:val="20"/>
        </w:rPr>
        <w:t xml:space="preserve">If you have concerns about how we handle your personal data, please contact us in the first instance:</w:t>
      </w:r>
    </w:p>
    <w:p>
      <w:pPr>
        <w:spacing w:after="0" w:before="40"/>
      </w:pPr>
      <w:r>
        <w:t xml:space="preserve"/>
      </w:r>
    </w:p>
    <w:p>
      <w:pPr>
        <w:spacing w:after="100" w:before="80"/>
      </w:pPr>
      <w:r>
        <w:rPr>
          <w:rFonts w:ascii="Arial" w:cs="Arial" w:eastAsia="Arial" w:hAnsi="Arial"/>
          <w:b/>
          <w:bCs/>
          <w:color w:val="284139"/>
          <w:sz w:val="20"/>
          <w:szCs w:val="20"/>
        </w:rPr>
        <w:t xml:space="preserve">Email: </w:t>
      </w:r>
      <w:r>
        <w:rPr>
          <w:rFonts w:ascii="Arial" w:cs="Arial" w:eastAsia="Arial" w:hAnsi="Arial"/>
          <w:color w:val="2C2C2C"/>
          <w:sz w:val="20"/>
          <w:szCs w:val="20"/>
        </w:rPr>
        <w:t xml:space="preserve">info@wyldewellbeing.uk</w:t>
      </w:r>
    </w:p>
    <w:p>
      <w:pPr>
        <w:spacing w:after="100" w:before="80"/>
      </w:pPr>
      <w:r>
        <w:rPr>
          <w:rFonts w:ascii="Arial" w:cs="Arial" w:eastAsia="Arial" w:hAnsi="Arial"/>
          <w:b/>
          <w:bCs/>
          <w:color w:val="284139"/>
          <w:sz w:val="20"/>
          <w:szCs w:val="20"/>
        </w:rPr>
        <w:t xml:space="preserve">Telephone: </w:t>
      </w:r>
      <w:r>
        <w:rPr>
          <w:rFonts w:ascii="Arial" w:cs="Arial" w:eastAsia="Arial" w:hAnsi="Arial"/>
          <w:color w:val="2C2C2C"/>
          <w:sz w:val="20"/>
          <w:szCs w:val="20"/>
        </w:rPr>
        <w:t xml:space="preserve">07795 555894</w:t>
      </w:r>
    </w:p>
    <w:p>
      <w:pPr>
        <w:spacing w:after="100" w:before="80"/>
      </w:pPr>
      <w:r>
        <w:rPr>
          <w:rFonts w:ascii="Arial" w:cs="Arial" w:eastAsia="Arial" w:hAnsi="Arial"/>
          <w:b/>
          <w:bCs/>
          <w:color w:val="284139"/>
          <w:sz w:val="20"/>
          <w:szCs w:val="20"/>
        </w:rPr>
        <w:t xml:space="preserve">Address: </w:t>
      </w:r>
      <w:r>
        <w:rPr>
          <w:rFonts w:ascii="Arial" w:cs="Arial" w:eastAsia="Arial" w:hAnsi="Arial"/>
          <w:color w:val="2C2C2C"/>
          <w:sz w:val="20"/>
          <w:szCs w:val="20"/>
        </w:rPr>
        <w:t xml:space="preserve">Highcroft Factory Road, Cowbridge, Vale of Glamorgan, CF71 7JD</w:t>
      </w:r>
    </w:p>
    <w:p>
      <w:pPr>
        <w:spacing w:after="0" w:before="60"/>
      </w:pPr>
      <w:r>
        <w:t xml:space="preserve"/>
      </w:r>
    </w:p>
    <w:p>
      <w:pPr>
        <w:spacing w:after="100" w:before="80"/>
      </w:pPr>
      <w:r>
        <w:rPr>
          <w:rFonts w:ascii="Arial" w:cs="Arial" w:eastAsia="Arial" w:hAnsi="Arial"/>
          <w:color w:val="2C2C2C"/>
          <w:sz w:val="20"/>
          <w:szCs w:val="20"/>
        </w:rPr>
        <w:t xml:space="preserve">We will respond promptly and treat all concerns with care and confidentiality.</w:t>
      </w:r>
    </w:p>
    <w:p>
      <w:pPr>
        <w:spacing w:after="0" w:before="80"/>
      </w:pPr>
      <w:r>
        <w:t xml:space="preserve"/>
      </w:r>
    </w:p>
    <w:p>
      <w:pPr>
        <w:spacing w:after="100" w:before="80"/>
      </w:pPr>
      <w:r>
        <w:rPr>
          <w:rFonts w:ascii="Arial" w:cs="Arial" w:eastAsia="Arial" w:hAnsi="Arial"/>
          <w:color w:val="2C2C2C"/>
          <w:sz w:val="20"/>
          <w:szCs w:val="20"/>
        </w:rPr>
        <w:t xml:space="preserve">If you remain unhappy after raising a concern with us, you have the right to complain to the Information Commissioner’s Office (ICO):</w:t>
      </w:r>
    </w:p>
    <w:p>
      <w:pPr>
        <w:spacing w:after="0" w:before="40"/>
      </w:pPr>
      <w:r>
        <w:t xml:space="preserve"/>
      </w:r>
    </w:p>
    <w:p>
      <w:pPr>
        <w:spacing w:after="100" w:before="80"/>
      </w:pPr>
      <w:r>
        <w:rPr>
          <w:rFonts w:ascii="Arial" w:cs="Arial" w:eastAsia="Arial" w:hAnsi="Arial"/>
          <w:b/>
          <w:bCs/>
          <w:color w:val="284139"/>
          <w:sz w:val="20"/>
          <w:szCs w:val="20"/>
        </w:rPr>
        <w:t xml:space="preserve">ICO address: </w:t>
      </w:r>
      <w:r>
        <w:rPr>
          <w:rFonts w:ascii="Arial" w:cs="Arial" w:eastAsia="Arial" w:hAnsi="Arial"/>
          <w:color w:val="2C2C2C"/>
          <w:sz w:val="20"/>
          <w:szCs w:val="20"/>
        </w:rPr>
        <w:t xml:space="preserve">Information Commissioner’s Office, Wycliffe House, Water Lane, Wilmslow, Cheshire, SK9 5AF</w:t>
      </w:r>
    </w:p>
    <w:p>
      <w:pPr>
        <w:spacing w:after="100" w:before="80"/>
      </w:pPr>
      <w:r>
        <w:rPr>
          <w:rFonts w:ascii="Arial" w:cs="Arial" w:eastAsia="Arial" w:hAnsi="Arial"/>
          <w:b/>
          <w:bCs/>
          <w:color w:val="284139"/>
          <w:sz w:val="20"/>
          <w:szCs w:val="20"/>
        </w:rPr>
        <w:t xml:space="preserve">ICO helpline: </w:t>
      </w:r>
      <w:r>
        <w:rPr>
          <w:rFonts w:ascii="Arial" w:cs="Arial" w:eastAsia="Arial" w:hAnsi="Arial"/>
          <w:color w:val="2C2C2C"/>
          <w:sz w:val="20"/>
          <w:szCs w:val="20"/>
        </w:rPr>
        <w:t xml:space="preserve">0303 123 1113</w:t>
      </w:r>
    </w:p>
    <w:p>
      <w:pPr>
        <w:spacing w:after="100" w:before="80"/>
      </w:pPr>
      <w:r>
        <w:rPr>
          <w:rFonts w:ascii="Arial" w:cs="Arial" w:eastAsia="Arial" w:hAnsi="Arial"/>
          <w:b/>
          <w:bCs/>
          <w:color w:val="284139"/>
          <w:sz w:val="20"/>
          <w:szCs w:val="20"/>
        </w:rPr>
        <w:t xml:space="preserve">ICO website: </w:t>
      </w:r>
      <w:r>
        <w:rPr>
          <w:rFonts w:ascii="Arial" w:cs="Arial" w:eastAsia="Arial" w:hAnsi="Arial"/>
          <w:color w:val="2C2C2C"/>
          <w:sz w:val="20"/>
          <w:szCs w:val="20"/>
        </w:rPr>
        <w:t xml:space="preserve">ico.org.uk/make-a-complaint</w:t>
      </w:r>
    </w:p>
    <w:p>
      <w:pPr>
        <w:spacing w:after="0" w:before="80"/>
      </w:pPr>
      <w:r>
        <w:t xml:space="preserve"/>
      </w:r>
    </w:p>
    <w:p>
      <w:pPr>
        <w:spacing w:after="100" w:before="80"/>
      </w:pPr>
      <w:r>
        <w:rPr>
          <w:rFonts w:ascii="Arial" w:cs="Arial" w:eastAsia="Arial" w:hAnsi="Arial"/>
          <w:color w:val="2C2C2C"/>
          <w:sz w:val="20"/>
          <w:szCs w:val="20"/>
        </w:rPr>
        <w:t xml:space="preserve">You also have the right to seek legal remedies if you believe your data protection rights have been infringed.</w:t>
      </w:r>
    </w:p>
    <w:p>
      <w:pPr>
        <w:spacing w:after="0" w:before="120"/>
      </w:pPr>
      <w:r>
        <w:t xml:space="preserve"/>
      </w:r>
    </w:p>
    <w:p>
      <w:pPr>
        <w:pStyle w:val="Heading1"/>
        <w:pBdr>
          <w:bottom w:val="single" w:color="B86830" w:sz="4" w:space="6"/>
        </w:pBdr>
        <w:spacing w:after="160" w:before="360"/>
      </w:pPr>
      <w:r>
        <w:rPr>
          <w:rFonts w:ascii="Georgia" w:cs="Georgia" w:eastAsia="Georgia" w:hAnsi="Georgia"/>
          <w:b/>
          <w:bCs/>
          <w:color w:val="284139"/>
          <w:sz w:val="36"/>
          <w:szCs w:val="36"/>
        </w:rPr>
        <w:t xml:space="preserve">10. Keeping This Notice Up to Date</w:t>
      </w:r>
    </w:p>
    <w:p>
      <w:pPr>
        <w:spacing w:after="100" w:before="80"/>
      </w:pPr>
      <w:r>
        <w:rPr>
          <w:rFonts w:ascii="Arial" w:cs="Arial" w:eastAsia="Arial" w:hAnsi="Arial"/>
          <w:color w:val="2C2C2C"/>
          <w:sz w:val="20"/>
          <w:szCs w:val="20"/>
        </w:rPr>
        <w:t xml:space="preserve">We review this privacy notice regularly and update it when:</w:t>
      </w:r>
    </w:p>
    <w:p>
      <w:pPr>
        <w:pStyle w:val="ListParagraph"/>
        <w:numPr>
          <w:ilvl w:val="0"/>
          <w:numId w:val="2"/>
        </w:numPr>
        <w:spacing w:after="60" w:before="60"/>
      </w:pPr>
      <w:r>
        <w:rPr>
          <w:rFonts w:ascii="Arial" w:cs="Arial" w:eastAsia="Arial" w:hAnsi="Arial"/>
          <w:color w:val="2C2C2C"/>
          <w:sz w:val="20"/>
          <w:szCs w:val="20"/>
        </w:rPr>
        <w:t xml:space="preserve">Our data practices change</w:t>
      </w:r>
    </w:p>
    <w:p>
      <w:pPr>
        <w:pStyle w:val="ListParagraph"/>
        <w:numPr>
          <w:ilvl w:val="0"/>
          <w:numId w:val="2"/>
        </w:numPr>
        <w:spacing w:after="60" w:before="60"/>
      </w:pPr>
      <w:r>
        <w:rPr>
          <w:rFonts w:ascii="Arial" w:cs="Arial" w:eastAsia="Arial" w:hAnsi="Arial"/>
          <w:color w:val="2C2C2C"/>
          <w:sz w:val="20"/>
          <w:szCs w:val="20"/>
        </w:rPr>
        <w:t xml:space="preserve">We introduce a new data processor or AI tool</w:t>
      </w:r>
    </w:p>
    <w:p>
      <w:pPr>
        <w:pStyle w:val="ListParagraph"/>
        <w:numPr>
          <w:ilvl w:val="0"/>
          <w:numId w:val="2"/>
        </w:numPr>
        <w:spacing w:after="60" w:before="60"/>
      </w:pPr>
      <w:r>
        <w:rPr>
          <w:rFonts w:ascii="Arial" w:cs="Arial" w:eastAsia="Arial" w:hAnsi="Arial"/>
          <w:color w:val="2C2C2C"/>
          <w:sz w:val="20"/>
          <w:szCs w:val="20"/>
        </w:rPr>
        <w:t xml:space="preserve">Legislation or ICO guidance changes</w:t>
      </w:r>
    </w:p>
    <w:p>
      <w:pPr>
        <w:pStyle w:val="ListParagraph"/>
        <w:numPr>
          <w:ilvl w:val="0"/>
          <w:numId w:val="2"/>
        </w:numPr>
        <w:spacing w:after="60" w:before="60"/>
      </w:pPr>
      <w:r>
        <w:rPr>
          <w:rFonts w:ascii="Arial" w:cs="Arial" w:eastAsia="Arial" w:hAnsi="Arial"/>
          <w:color w:val="2C2C2C"/>
          <w:sz w:val="20"/>
          <w:szCs w:val="20"/>
        </w:rPr>
        <w:t xml:space="preserve">The annual review date falls due</w:t>
      </w:r>
    </w:p>
    <w:p>
      <w:pPr>
        <w:spacing w:after="0" w:before="80"/>
      </w:pPr>
      <w:r>
        <w:t xml:space="preserve"/>
      </w:r>
    </w:p>
    <w:p>
      <w:pPr>
        <w:spacing w:after="100" w:before="80"/>
      </w:pPr>
      <w:r>
        <w:rPr>
          <w:rFonts w:ascii="Arial" w:cs="Arial" w:eastAsia="Arial" w:hAnsi="Arial"/>
          <w:color w:val="2C2C2C"/>
          <w:sz w:val="20"/>
          <w:szCs w:val="20"/>
        </w:rPr>
        <w:t xml:space="preserve">Where changes are material, we will notify active clients directly. The version history is set out below.</w:t>
      </w:r>
    </w:p>
    <w:p>
      <w:pPr>
        <w:spacing w:after="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1700"/>
        <w:gridCol w:w="4426"/>
        <w:gridCol w:w="2000"/>
      </w:tblGrid>
      <w:tr>
        <w:tc>
          <w:tcPr>
            <w:tcW w:type="dxa" w:w="9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Version</w:t>
            </w:r>
          </w:p>
        </w:tc>
        <w:tc>
          <w:tcPr>
            <w:tcW w:type="dxa" w:w="17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Date</w:t>
            </w:r>
          </w:p>
        </w:tc>
        <w:tc>
          <w:tcPr>
            <w:tcW w:type="dxa" w:w="4426"/>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Changes</w:t>
            </w:r>
          </w:p>
        </w:tc>
        <w:tc>
          <w:tcPr>
            <w:tcW w:type="dxa" w:w="2000"/>
            <w:tcBorders>
              <w:top w:val="single" w:color="CCCCCC" w:sz="1"/>
              <w:left w:val="single" w:color="CCCCCC" w:sz="1"/>
              <w:bottom w:val="single" w:color="CCCCCC" w:sz="1"/>
              <w:right w:val="single" w:color="CCCCCC" w:sz="1"/>
            </w:tcBorders>
            <w:shd w:fill="284139" w:val="clear"/>
            <w:tcMar>
              <w:top w:type="dxa" w:w="80"/>
              <w:left w:type="dxa" w:w="120"/>
              <w:bottom w:type="dxa" w:w="80"/>
              <w:right w:type="dxa" w:w="120"/>
            </w:tcMar>
          </w:tcPr>
          <w:p>
            <w:r>
              <w:rPr>
                <w:rFonts w:ascii="Arial" w:cs="Arial" w:eastAsia="Arial" w:hAnsi="Arial"/>
                <w:b/>
                <w:bCs/>
                <w:color w:val="FFFFFF"/>
                <w:sz w:val="17"/>
                <w:szCs w:val="17"/>
              </w:rPr>
              <w:t xml:space="preserve">Author</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1.0</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15 Oct 2025</w:t>
            </w:r>
          </w:p>
        </w:tc>
        <w:tc>
          <w:tcPr>
            <w:tcW w:type="dxa" w:w="4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Initial ICO-template privacy notice issued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Emily Forbes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2.0</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1 May 2026</w:t>
            </w:r>
          </w:p>
        </w:tc>
        <w:tc>
          <w:tcPr>
            <w:tcW w:type="dxa" w:w="4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Full redraft: DUAA 2025 compliance; AI and Fathom DPA added; cookies section; automated decision-making; DUAA complaints procedure; lawful basis table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Emily Forbes</w:t>
            </w:r>
          </w:p>
        </w:tc>
      </w:tr>
    </w:tbl>
    <w:p>
      <w:pPr>
        <w:spacing w:after="0" w:before="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84139" w:sz="4"/>
              <w:left w:val="single" w:color="284139" w:sz="12"/>
              <w:bottom w:val="none" w:color="FFFFFF" w:sz="0"/>
              <w:right w:val="none" w:color="FFFFFF" w:sz="0"/>
            </w:tcBorders>
            <w:shd w:fill="F8EDD4" w:val="clear"/>
            <w:tcMar>
              <w:top w:type="dxa" w:w="120"/>
              <w:left w:type="dxa" w:w="200"/>
              <w:bottom w:type="dxa" w:w="120"/>
              <w:right w:type="dxa" w:w="200"/>
            </w:tcMar>
          </w:tcPr>
          <w:p>
            <w:pPr>
              <w:spacing w:after="80" w:before="0"/>
            </w:pPr>
            <w:r>
              <w:rPr>
                <w:rFonts w:ascii="Arial" w:cs="Arial" w:eastAsia="Arial" w:hAnsi="Arial"/>
                <w:b/>
                <w:bCs/>
                <w:color w:val="284139"/>
                <w:sz w:val="20"/>
                <w:szCs w:val="20"/>
              </w:rPr>
              <w:t xml:space="preserve">Privacy notice declaration</w:t>
            </w:r>
          </w:p>
          <w:p>
            <w:pPr>
              <w:spacing w:after="80" w:before="0"/>
            </w:pPr>
            <w:r>
              <w:rPr>
                <w:rFonts w:ascii="Arial" w:cs="Arial" w:eastAsia="Arial" w:hAnsi="Arial"/>
                <w:color w:val="2C2C2C"/>
                <w:sz w:val="18"/>
                <w:szCs w:val="18"/>
              </w:rPr>
              <w:t xml:space="preserve">This notice has been prepared in accordance with UK GDPR, the Data Protection Act 2018, and the Data (Use and Access) Act 2025. It reflects current data processing practices at Wylde Wellbeing Ltd as at 1 May 2026.</w:t>
            </w:r>
          </w:p>
          <w:p>
            <w:pPr>
              <w:spacing w:after="0" w:before="0"/>
            </w:pPr>
            <w:r>
              <w:rPr>
                <w:rFonts w:ascii="Arial" w:cs="Arial" w:eastAsia="Arial" w:hAnsi="Arial"/>
                <w:i/>
                <w:iCs/>
                <w:color w:val="808076"/>
                <w:sz w:val="18"/>
                <w:szCs w:val="18"/>
              </w:rPr>
              <w:t xml:space="preserve">Your privacy matters. If anything in this notice is unclear, we welcome your questions — info@wyldewellbeing.uk</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Georgia" w:cs="Georgia" w:eastAsia="Georgia" w:hAnsi="Georgia"/>
      <w:b/>
      <w:bCs/>
      <w:color w:val="284139"/>
      <w:sz w:val="36"/>
      <w:szCs w:val="36"/>
    </w:rPr>
  </w:style>
  <w:style w:type="paragraph" w:styleId="Heading2">
    <w:name w:val="Heading 2"/>
    <w:basedOn w:val="Normal"/>
    <w:next w:val="Normal"/>
    <w:qFormat/>
    <w:pPr>
      <w:spacing w:after="120" w:before="280"/>
      <w:outlineLvl w:val="1"/>
    </w:pPr>
    <w:rPr>
      <w:rFonts w:ascii="Georgia" w:cs="Georgia" w:eastAsia="Georgia" w:hAnsi="Georgia"/>
      <w:b/>
      <w:bCs/>
      <w:color w:val="28413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2026-05-27T17:34:43.507Z</dcterms:created>
  <dcterms:modified xsi:type="dcterms:W3CDTF">2026-05-27T17:34:43.519Z</dcterms:modified>
</cp:coreProperties>
</file>

<file path=docProps/custom.xml><?xml version="1.0" encoding="utf-8"?>
<Properties xmlns="http://schemas.openxmlformats.org/officeDocument/2006/custom-properties" xmlns:vt="http://schemas.openxmlformats.org/officeDocument/2006/docPropsVTypes"/>
</file>