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2C3B38"/>
          <w:sz w:val="26"/>
          <w:szCs w:val="26"/>
        </w:rPr>
        <w:t xml:space="preserve">W Y L D E   W E L L B E I N G</w:t>
      </w:r>
    </w:p>
    <w:p>
      <w:pPr>
        <w:spacing w:after="40"/>
        <w:jc w:val="center"/>
      </w:pPr>
      <w:r>
        <w:rPr>
          <w:color w:val="405550"/>
          <w:sz w:val="19"/>
          <w:szCs w:val="19"/>
        </w:rPr>
        <w:t xml:space="preserve">wyldewellbeing.uk</w:t>
      </w:r>
    </w:p>
    <w:p>
      <w:pPr>
        <w:spacing w:after="40"/>
        <w:jc w:val="center"/>
      </w:pPr>
      <w:r>
        <w:rPr>
          <w:b/>
          <w:bCs/>
          <w:color w:val="2C3B38"/>
          <w:sz w:val="34"/>
          <w:szCs w:val="34"/>
        </w:rPr>
        <w:t xml:space="preserve">Privacy Notice</w:t>
      </w:r>
    </w:p>
    <w:p>
      <w:pPr>
        <w:spacing w:after="240"/>
        <w:jc w:val="center"/>
      </w:pPr>
      <w:r>
        <w:rPr>
          <w:i/>
          <w:iCs/>
          <w:color w:val="625045"/>
          <w:sz w:val="20"/>
          <w:szCs w:val="20"/>
        </w:rPr>
        <w:t xml:space="preserve">How we collect, use and protect your personal information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6770"/>
      </w:tblGrid>
      <w:tr>
        <w:trPr>
          <w:tblHeader/>
        </w:trPr>
        <w:tc>
          <w:tcPr>
            <w:tcW w:type="dxa" w:w="2256"/>
            <w:shd w:fill="EDEFEA" w:color="auto" w:val="clear"/>
            <w:tcMar>
              <w:top w:type="dxa" w:w="90"/>
              <w:left w:type="dxa" w:w="120"/>
              <w:bottom w:type="dxa" w:w="90"/>
              <w:right w:type="dxa" w:w="120"/>
            </w:tcMar>
          </w:tcPr>
          <w:p>
            <w:pPr>
              <w:spacing w:after="0" w:line="264"/>
            </w:pPr>
            <w:r>
              <w:rPr>
                <w:b/>
                <w:bCs/>
                <w:color w:val="405550"/>
                <w:sz w:val="19"/>
                <w:szCs w:val="19"/>
              </w:rPr>
              <w:t xml:space="preserve"/>
            </w:r>
          </w:p>
        </w:tc>
        <w:tc>
          <w:tcPr>
            <w:tcW w:type="dxa" w:w="6770"/>
            <w:shd w:fill="EDEFEA" w:color="auto" w:val="clear"/>
            <w:tcMar>
              <w:top w:type="dxa" w:w="90"/>
              <w:left w:type="dxa" w:w="120"/>
              <w:bottom w:type="dxa" w:w="90"/>
              <w:right w:type="dxa" w:w="120"/>
            </w:tcMar>
          </w:tcPr>
          <w:p>
            <w:pPr>
              <w:spacing w:after="0" w:line="264"/>
            </w:pPr>
            <w:r>
              <w:rPr>
                <w:b/>
                <w:bCs/>
                <w:color w:val="405550"/>
                <w:sz w:val="19"/>
                <w:szCs w:val="19"/>
              </w:rPr>
              <w:t xml:space="preserve"/>
            </w:r>
          </w:p>
        </w:tc>
      </w:tr>
      <w:tr>
        <w:tc>
          <w:tcPr>
            <w:tcW w:type="dxa" w:w="2256"/>
            <w:tcMar>
              <w:top w:type="dxa" w:w="90"/>
              <w:left w:type="dxa" w:w="120"/>
              <w:bottom w:type="dxa" w:w="90"/>
              <w:right w:type="dxa" w:w="120"/>
            </w:tcMar>
          </w:tcPr>
          <w:p>
            <w:pPr>
              <w:spacing w:after="0" w:line="264"/>
            </w:pPr>
            <w:r>
              <w:rPr>
                <w:color w:val="322F30"/>
                <w:sz w:val="19"/>
                <w:szCs w:val="19"/>
              </w:rPr>
              <w:t xml:space="preserve">VERSION</w:t>
            </w:r>
          </w:p>
        </w:tc>
        <w:tc>
          <w:tcPr>
            <w:tcW w:type="dxa" w:w="6770"/>
            <w:tcMar>
              <w:top w:type="dxa" w:w="90"/>
              <w:left w:type="dxa" w:w="120"/>
              <w:bottom w:type="dxa" w:w="90"/>
              <w:right w:type="dxa" w:w="120"/>
            </w:tcMar>
          </w:tcPr>
          <w:p>
            <w:pPr>
              <w:spacing w:after="0" w:line="264"/>
            </w:pPr>
            <w:r>
              <w:rPr>
                <w:color w:val="322F30"/>
                <w:sz w:val="19"/>
                <w:szCs w:val="19"/>
              </w:rPr>
              <w:t xml:space="preserve">3.1</w:t>
            </w:r>
          </w:p>
        </w:tc>
      </w:tr>
      <w:tr>
        <w:tc>
          <w:tcPr>
            <w:tcW w:type="dxa" w:w="2256"/>
            <w:tcMar>
              <w:top w:type="dxa" w:w="90"/>
              <w:left w:type="dxa" w:w="120"/>
              <w:bottom w:type="dxa" w:w="90"/>
              <w:right w:type="dxa" w:w="120"/>
            </w:tcMar>
          </w:tcPr>
          <w:p>
            <w:pPr>
              <w:spacing w:after="0" w:line="264"/>
            </w:pPr>
            <w:r>
              <w:rPr>
                <w:color w:val="322F30"/>
                <w:sz w:val="19"/>
                <w:szCs w:val="19"/>
              </w:rPr>
              <w:t xml:space="preserve">AUTHOR</w:t>
            </w:r>
          </w:p>
        </w:tc>
        <w:tc>
          <w:tcPr>
            <w:tcW w:type="dxa" w:w="6770"/>
            <w:tcMar>
              <w:top w:type="dxa" w:w="90"/>
              <w:left w:type="dxa" w:w="120"/>
              <w:bottom w:type="dxa" w:w="90"/>
              <w:right w:type="dxa" w:w="120"/>
            </w:tcMar>
          </w:tcPr>
          <w:p>
            <w:pPr>
              <w:spacing w:after="0" w:line="264"/>
            </w:pPr>
            <w:r>
              <w:rPr>
                <w:color w:val="322F30"/>
                <w:sz w:val="19"/>
                <w:szCs w:val="19"/>
              </w:rPr>
              <w:t xml:space="preserve">Emily Forbes, Founder</w:t>
            </w:r>
          </w:p>
        </w:tc>
      </w:tr>
      <w:tr>
        <w:tc>
          <w:tcPr>
            <w:tcW w:type="dxa" w:w="2256"/>
            <w:tcMar>
              <w:top w:type="dxa" w:w="90"/>
              <w:left w:type="dxa" w:w="120"/>
              <w:bottom w:type="dxa" w:w="90"/>
              <w:right w:type="dxa" w:w="120"/>
            </w:tcMar>
          </w:tcPr>
          <w:p>
            <w:pPr>
              <w:spacing w:after="0" w:line="264"/>
            </w:pPr>
            <w:r>
              <w:rPr>
                <w:color w:val="322F30"/>
                <w:sz w:val="19"/>
                <w:szCs w:val="19"/>
              </w:rPr>
              <w:t xml:space="preserve">EFFECTIVE DATE</w:t>
            </w:r>
          </w:p>
        </w:tc>
        <w:tc>
          <w:tcPr>
            <w:tcW w:type="dxa" w:w="6770"/>
            <w:tcMar>
              <w:top w:type="dxa" w:w="90"/>
              <w:left w:type="dxa" w:w="120"/>
              <w:bottom w:type="dxa" w:w="90"/>
              <w:right w:type="dxa" w:w="120"/>
            </w:tcMar>
          </w:tcPr>
          <w:p>
            <w:pPr>
              <w:spacing w:after="0" w:line="264"/>
            </w:pPr>
            <w:r>
              <w:rPr>
                <w:color w:val="322F30"/>
                <w:sz w:val="19"/>
                <w:szCs w:val="19"/>
              </w:rPr>
              <w:t xml:space="preserve">On The Wylde App's go-live date</w:t>
            </w:r>
          </w:p>
        </w:tc>
      </w:tr>
      <w:tr>
        <w:tc>
          <w:tcPr>
            <w:tcW w:type="dxa" w:w="2256"/>
            <w:tcMar>
              <w:top w:type="dxa" w:w="90"/>
              <w:left w:type="dxa" w:w="120"/>
              <w:bottom w:type="dxa" w:w="90"/>
              <w:right w:type="dxa" w:w="120"/>
            </w:tcMar>
          </w:tcPr>
          <w:p>
            <w:pPr>
              <w:spacing w:after="0" w:line="264"/>
            </w:pPr>
            <w:r>
              <w:rPr>
                <w:color w:val="322F30"/>
                <w:sz w:val="19"/>
                <w:szCs w:val="19"/>
              </w:rPr>
              <w:t xml:space="preserve">PRACTICE</w:t>
            </w:r>
          </w:p>
        </w:tc>
        <w:tc>
          <w:tcPr>
            <w:tcW w:type="dxa" w:w="6770"/>
            <w:tcMar>
              <w:top w:type="dxa" w:w="90"/>
              <w:left w:type="dxa" w:w="120"/>
              <w:bottom w:type="dxa" w:w="90"/>
              <w:right w:type="dxa" w:w="120"/>
            </w:tcMar>
          </w:tcPr>
          <w:p>
            <w:pPr>
              <w:spacing w:after="0" w:line="264"/>
            </w:pPr>
            <w:r>
              <w:rPr>
                <w:color w:val="322F30"/>
                <w:sz w:val="19"/>
                <w:szCs w:val="19"/>
              </w:rPr>
              <w:t xml:space="preserve">Wylde Wellbeing Ltd — Data Controller, registered with the ICO. Registered in England and Wales, company number 14340272</w:t>
            </w:r>
          </w:p>
        </w:tc>
      </w:tr>
      <w:tr>
        <w:tc>
          <w:tcPr>
            <w:tcW w:type="dxa" w:w="2256"/>
            <w:tcMar>
              <w:top w:type="dxa" w:w="90"/>
              <w:left w:type="dxa" w:w="120"/>
              <w:bottom w:type="dxa" w:w="90"/>
              <w:right w:type="dxa" w:w="120"/>
            </w:tcMar>
          </w:tcPr>
          <w:p>
            <w:pPr>
              <w:spacing w:after="0" w:line="264"/>
            </w:pPr>
            <w:r>
              <w:rPr>
                <w:color w:val="322F30"/>
                <w:sz w:val="19"/>
                <w:szCs w:val="19"/>
              </w:rPr>
              <w:t xml:space="preserve">REVIEW DATE</w:t>
            </w:r>
          </w:p>
        </w:tc>
        <w:tc>
          <w:tcPr>
            <w:tcW w:type="dxa" w:w="6770"/>
            <w:tcMar>
              <w:top w:type="dxa" w:w="90"/>
              <w:left w:type="dxa" w:w="120"/>
              <w:bottom w:type="dxa" w:w="90"/>
              <w:right w:type="dxa" w:w="120"/>
            </w:tcMar>
          </w:tcPr>
          <w:p>
            <w:pPr>
              <w:spacing w:after="0" w:line="264"/>
            </w:pPr>
            <w:r>
              <w:rPr>
                <w:color w:val="322F30"/>
                <w:sz w:val="19"/>
                <w:szCs w:val="19"/>
              </w:rPr>
              <w:t xml:space="preserve">26 August 2027</w:t>
            </w:r>
          </w:p>
        </w:tc>
      </w:tr>
      <w:tr>
        <w:tc>
          <w:tcPr>
            <w:tcW w:type="dxa" w:w="2256"/>
            <w:tcMar>
              <w:top w:type="dxa" w:w="90"/>
              <w:left w:type="dxa" w:w="120"/>
              <w:bottom w:type="dxa" w:w="90"/>
              <w:right w:type="dxa" w:w="120"/>
            </w:tcMar>
          </w:tcPr>
          <w:p>
            <w:pPr>
              <w:spacing w:after="0" w:line="264"/>
            </w:pPr>
            <w:r>
              <w:rPr>
                <w:color w:val="322F30"/>
                <w:sz w:val="19"/>
                <w:szCs w:val="19"/>
              </w:rPr>
              <w:t xml:space="preserve">LEGAL BASIS</w:t>
            </w:r>
          </w:p>
        </w:tc>
        <w:tc>
          <w:tcPr>
            <w:tcW w:type="dxa" w:w="6770"/>
            <w:tcMar>
              <w:top w:type="dxa" w:w="90"/>
              <w:left w:type="dxa" w:w="120"/>
              <w:bottom w:type="dxa" w:w="90"/>
              <w:right w:type="dxa" w:w="120"/>
            </w:tcMar>
          </w:tcPr>
          <w:p>
            <w:pPr>
              <w:spacing w:after="0" w:line="264"/>
            </w:pPr>
            <w:r>
              <w:rPr>
                <w:color w:val="322F30"/>
                <w:sz w:val="19"/>
                <w:szCs w:val="19"/>
              </w:rPr>
              <w:t xml:space="preserve">UK GDPR; Data Protection Act 2018; Data (Use and Access) Act 2025; PECR</w:t>
            </w:r>
          </w:p>
        </w:tc>
      </w:tr>
      <w:tr>
        <w:tc>
          <w:tcPr>
            <w:tcW w:type="dxa" w:w="2256"/>
            <w:tcMar>
              <w:top w:type="dxa" w:w="90"/>
              <w:left w:type="dxa" w:w="120"/>
              <w:bottom w:type="dxa" w:w="90"/>
              <w:right w:type="dxa" w:w="120"/>
            </w:tcMar>
          </w:tcPr>
          <w:p>
            <w:pPr>
              <w:spacing w:after="0" w:line="264"/>
            </w:pPr>
            <w:r>
              <w:rPr>
                <w:color w:val="322F30"/>
                <w:sz w:val="19"/>
                <w:szCs w:val="19"/>
              </w:rPr>
              <w:t xml:space="preserve">CONTACT</w:t>
            </w:r>
          </w:p>
        </w:tc>
        <w:tc>
          <w:tcPr>
            <w:tcW w:type="dxa" w:w="6770"/>
            <w:tcMar>
              <w:top w:type="dxa" w:w="90"/>
              <w:left w:type="dxa" w:w="120"/>
              <w:bottom w:type="dxa" w:w="90"/>
              <w:right w:type="dxa" w:w="120"/>
            </w:tcMar>
          </w:tcPr>
          <w:p>
            <w:pPr>
              <w:spacing w:after="0" w:line="264"/>
            </w:pPr>
            <w:r>
              <w:rPr>
                <w:color w:val="322F30"/>
                <w:sz w:val="19"/>
                <w:szCs w:val="19"/>
              </w:rPr>
              <w:t xml:space="preserve">info@wyldewellbeing.uk</w:t>
            </w:r>
          </w:p>
        </w:tc>
      </w:tr>
      <w:tr>
        <w:tc>
          <w:tcPr>
            <w:tcW w:type="dxa" w:w="2256"/>
            <w:tcMar>
              <w:top w:type="dxa" w:w="90"/>
              <w:left w:type="dxa" w:w="120"/>
              <w:bottom w:type="dxa" w:w="90"/>
              <w:right w:type="dxa" w:w="120"/>
            </w:tcMar>
          </w:tcPr>
          <w:p>
            <w:pPr>
              <w:spacing w:after="0" w:line="264"/>
            </w:pPr>
            <w:r>
              <w:rPr>
                <w:color w:val="322F30"/>
                <w:sz w:val="19"/>
                <w:szCs w:val="19"/>
              </w:rPr>
              <w:t xml:space="preserve">ADDRESS</w:t>
            </w:r>
          </w:p>
        </w:tc>
        <w:tc>
          <w:tcPr>
            <w:tcW w:type="dxa" w:w="6770"/>
            <w:tcMar>
              <w:top w:type="dxa" w:w="90"/>
              <w:left w:type="dxa" w:w="120"/>
              <w:bottom w:type="dxa" w:w="90"/>
              <w:right w:type="dxa" w:w="120"/>
            </w:tcMar>
          </w:tcPr>
          <w:p>
            <w:pPr>
              <w:spacing w:after="0" w:line="264"/>
            </w:pPr>
            <w:r>
              <w:rPr>
                <w:color w:val="322F30"/>
                <w:sz w:val="19"/>
                <w:szCs w:val="19"/>
              </w:rPr>
              <w:t xml:space="preserve">Highcroft, Factory Road, Cowbridge, Vale of Glamorgan, CF71 7JD</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Our commitment in one sentence</w:t>
            </w:r>
          </w:p>
          <w:p>
            <w:pPr>
              <w:spacing w:after="80" w:line="276"/>
            </w:pPr>
            <w:r>
              <w:rPr>
                <w:color w:val="322F30"/>
                <w:sz w:val="20"/>
                <w:szCs w:val="20"/>
              </w:rPr>
              <w:t xml:space="preserve">We hold what you tell us with care, we tell you plainly what we do with it, and we never trade on it.</w:t>
            </w:r>
          </w:p>
        </w:tc>
      </w:tr>
    </w:tbl>
    <w:p>
      <w:pPr>
        <w:spacing w:after="160"/>
      </w:pPr>
    </w:p>
    <w:p>
      <w:pPr>
        <w:spacing w:after="140" w:line="276"/>
      </w:pPr>
      <w:r>
        <w:rPr>
          <w:color w:val="322F30"/>
          <w:sz w:val="21"/>
          <w:szCs w:val="21"/>
        </w:rPr>
        <w:t xml:space="preserve">This privacy notice applies to all clients, prospective clients, website visitors, newsletter subscribers, referral partners, members of The Wylde App, and anyone else who interacts with Wylde Wellbeing. It is written in plain language. If anything is unclear, please contact us and we will explain.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Legislative framework</w:t>
            </w:r>
          </w:p>
          <w:p>
            <w:pPr>
              <w:spacing w:after="80" w:line="276"/>
            </w:pPr>
            <w:r>
              <w:rPr>
                <w:color w:val="322F30"/>
                <w:sz w:val="20"/>
                <w:szCs w:val="20"/>
              </w:rPr>
              <w:t xml:space="preserve">This notice is issued under the UK General Data Protection Regulation (UK GDPR), the Data Protection Act 2018 (DPA 2018), and the Data (Use and Access) Act 2025 (DUAA), the main provisions of which came into force on 5 February 2026. We also comply with the Privacy and Electronic Communications Regulations (PECR) where applicable.</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What is new in version 3.1</w:t>
            </w:r>
          </w:p>
          <w:p>
            <w:pPr>
              <w:spacing w:after="80" w:line="276"/>
            </w:pPr>
            <w:r>
              <w:rPr>
                <w:color w:val="322F30"/>
                <w:sz w:val="20"/>
                <w:szCs w:val="20"/>
              </w:rPr>
              <w:t xml:space="preserve">This version adds The Wylde App, our members' web app at app.wyldewellbeing.uk. Sections 3A and 3B are new, and cover app membership data and the Wylde Energy Economy — which records health information including symptoms, pain and fatigue, medication, menstrual cycle phase and diagnosis. New processor rows (Supabase, Stripe, Vercel) appear in section 6.1, and new retention rows in section 5.</w:t>
            </w:r>
          </w:p>
          <w:p>
            <w:pPr>
              <w:spacing w:after="80" w:line="276"/>
            </w:pPr>
            <w:r>
              <w:rPr>
                <w:color w:val="322F30"/>
                <w:sz w:val="20"/>
                <w:szCs w:val="20"/>
              </w:rPr>
              <w:t xml:space="preserve">Passages new in this version are marked, so they can be found and reviewed quickly.</w:t>
            </w:r>
          </w:p>
        </w:tc>
      </w:tr>
    </w:tbl>
    <w:p>
      <w:pPr>
        <w:spacing w:after="160"/>
      </w:pPr>
    </w:p>
    <w:p>
      <w:pPr>
        <w:pStyle w:val="Heading1"/>
        <w:spacing w:after="160" w:before="340"/>
      </w:pPr>
      <w:r>
        <w:rPr>
          <w:b/>
          <w:bCs/>
          <w:color w:val="2C3B38"/>
          <w:sz w:val="28"/>
          <w:szCs w:val="28"/>
        </w:rPr>
        <w:t xml:space="preserve">1. Information We Collect</w:t>
      </w:r>
    </w:p>
    <w:p>
      <w:pPr>
        <w:spacing w:after="140" w:line="276"/>
      </w:pPr>
      <w:r>
        <w:rPr>
          <w:color w:val="322F30"/>
          <w:sz w:val="21"/>
          <w:szCs w:val="21"/>
        </w:rPr>
        <w:t xml:space="preserve">We collect personal information in the following categories, depending on how you engage with us.</w:t>
      </w:r>
    </w:p>
    <w:p>
      <w:pPr>
        <w:pStyle w:val="Heading2"/>
        <w:spacing w:after="120" w:before="240"/>
      </w:pPr>
      <w:r>
        <w:rPr>
          <w:b/>
          <w:bCs/>
          <w:color w:val="405550"/>
          <w:sz w:val="23"/>
          <w:szCs w:val="23"/>
        </w:rPr>
        <w:t xml:space="preserve">1.1 Client and service information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88"/>
        <w:gridCol w:w="6138"/>
      </w:tblGrid>
      <w:tr>
        <w:trPr>
          <w:tblHeader/>
        </w:trPr>
        <w:tc>
          <w:tcPr>
            <w:tcW w:type="dxa" w:w="2888"/>
            <w:shd w:fill="EDEFEA" w:color="auto" w:val="clear"/>
            <w:tcMar>
              <w:top w:type="dxa" w:w="90"/>
              <w:left w:type="dxa" w:w="120"/>
              <w:bottom w:type="dxa" w:w="90"/>
              <w:right w:type="dxa" w:w="120"/>
            </w:tcMar>
          </w:tcPr>
          <w:p>
            <w:pPr>
              <w:spacing w:after="0" w:line="264"/>
            </w:pPr>
            <w:r>
              <w:rPr>
                <w:b/>
                <w:bCs/>
                <w:color w:val="405550"/>
                <w:sz w:val="19"/>
                <w:szCs w:val="19"/>
              </w:rPr>
              <w:t xml:space="preserve">CATEGORY</w:t>
            </w:r>
          </w:p>
        </w:tc>
        <w:tc>
          <w:tcPr>
            <w:tcW w:type="dxa" w:w="6138"/>
            <w:shd w:fill="EDEFEA" w:color="auto" w:val="clear"/>
            <w:tcMar>
              <w:top w:type="dxa" w:w="90"/>
              <w:left w:type="dxa" w:w="120"/>
              <w:bottom w:type="dxa" w:w="90"/>
              <w:right w:type="dxa" w:w="120"/>
            </w:tcMar>
          </w:tcPr>
          <w:p>
            <w:pPr>
              <w:spacing w:after="0" w:line="264"/>
            </w:pPr>
            <w:r>
              <w:rPr>
                <w:b/>
                <w:bCs/>
                <w:color w:val="405550"/>
                <w:sz w:val="19"/>
                <w:szCs w:val="19"/>
              </w:rPr>
              <w:t xml:space="preserve">EXAMPLES</w:t>
            </w:r>
          </w:p>
        </w:tc>
      </w:tr>
      <w:tr>
        <w:tc>
          <w:tcPr>
            <w:tcW w:type="dxa" w:w="2888"/>
            <w:tcMar>
              <w:top w:type="dxa" w:w="90"/>
              <w:left w:type="dxa" w:w="120"/>
              <w:bottom w:type="dxa" w:w="90"/>
              <w:right w:type="dxa" w:w="120"/>
            </w:tcMar>
          </w:tcPr>
          <w:p>
            <w:pPr>
              <w:spacing w:after="0" w:line="264"/>
            </w:pPr>
            <w:r>
              <w:rPr>
                <w:color w:val="322F30"/>
                <w:sz w:val="19"/>
                <w:szCs w:val="19"/>
              </w:rPr>
              <w:t xml:space="preserve">Identity data</w:t>
            </w:r>
          </w:p>
        </w:tc>
        <w:tc>
          <w:tcPr>
            <w:tcW w:type="dxa" w:w="6138"/>
            <w:tcMar>
              <w:top w:type="dxa" w:w="90"/>
              <w:left w:type="dxa" w:w="120"/>
              <w:bottom w:type="dxa" w:w="90"/>
              <w:right w:type="dxa" w:w="120"/>
            </w:tcMar>
          </w:tcPr>
          <w:p>
            <w:pPr>
              <w:spacing w:after="0" w:line="264"/>
            </w:pPr>
            <w:r>
              <w:rPr>
                <w:color w:val="322F30"/>
                <w:sz w:val="19"/>
                <w:szCs w:val="19"/>
              </w:rPr>
              <w:t xml:space="preserve">Full name, date of birth</w:t>
            </w:r>
          </w:p>
        </w:tc>
      </w:tr>
      <w:tr>
        <w:tc>
          <w:tcPr>
            <w:tcW w:type="dxa" w:w="2888"/>
            <w:tcMar>
              <w:top w:type="dxa" w:w="90"/>
              <w:left w:type="dxa" w:w="120"/>
              <w:bottom w:type="dxa" w:w="90"/>
              <w:right w:type="dxa" w:w="120"/>
            </w:tcMar>
          </w:tcPr>
          <w:p>
            <w:pPr>
              <w:spacing w:after="0" w:line="264"/>
            </w:pPr>
            <w:r>
              <w:rPr>
                <w:color w:val="322F30"/>
                <w:sz w:val="19"/>
                <w:szCs w:val="19"/>
              </w:rPr>
              <w:t xml:space="preserve">Contact data</w:t>
            </w:r>
          </w:p>
        </w:tc>
        <w:tc>
          <w:tcPr>
            <w:tcW w:type="dxa" w:w="6138"/>
            <w:tcMar>
              <w:top w:type="dxa" w:w="90"/>
              <w:left w:type="dxa" w:w="120"/>
              <w:bottom w:type="dxa" w:w="90"/>
              <w:right w:type="dxa" w:w="120"/>
            </w:tcMar>
          </w:tcPr>
          <w:p>
            <w:pPr>
              <w:spacing w:after="0" w:line="264"/>
            </w:pPr>
            <w:r>
              <w:rPr>
                <w:color w:val="322F30"/>
                <w:sz w:val="19"/>
                <w:szCs w:val="19"/>
              </w:rPr>
              <w:t xml:space="preserve">Email address, phone number, postal address</w:t>
            </w:r>
          </w:p>
        </w:tc>
      </w:tr>
      <w:tr>
        <w:tc>
          <w:tcPr>
            <w:tcW w:type="dxa" w:w="2888"/>
            <w:tcMar>
              <w:top w:type="dxa" w:w="90"/>
              <w:left w:type="dxa" w:w="120"/>
              <w:bottom w:type="dxa" w:w="90"/>
              <w:right w:type="dxa" w:w="120"/>
            </w:tcMar>
          </w:tcPr>
          <w:p>
            <w:pPr>
              <w:spacing w:after="0" w:line="264"/>
            </w:pPr>
            <w:r>
              <w:rPr>
                <w:color w:val="322F30"/>
                <w:sz w:val="19"/>
                <w:szCs w:val="19"/>
              </w:rPr>
              <w:t xml:space="preserve">Health information (Special Category)</w:t>
            </w:r>
          </w:p>
        </w:tc>
        <w:tc>
          <w:tcPr>
            <w:tcW w:type="dxa" w:w="6138"/>
            <w:tcMar>
              <w:top w:type="dxa" w:w="90"/>
              <w:left w:type="dxa" w:w="120"/>
              <w:bottom w:type="dxa" w:w="90"/>
              <w:right w:type="dxa" w:w="120"/>
            </w:tcMar>
          </w:tcPr>
          <w:p>
            <w:pPr>
              <w:spacing w:after="0" w:line="264"/>
            </w:pPr>
            <w:r>
              <w:rPr>
                <w:color w:val="322F30"/>
                <w:sz w:val="19"/>
                <w:szCs w:val="19"/>
              </w:rPr>
              <w:t xml:space="preserve">Health conditions, chronic illness, physical and mental wellbeing relevant to coaching engagement, dietary requirements, allergies</w:t>
            </w:r>
          </w:p>
        </w:tc>
      </w:tr>
      <w:tr>
        <w:tc>
          <w:tcPr>
            <w:tcW w:type="dxa" w:w="2888"/>
            <w:tcMar>
              <w:top w:type="dxa" w:w="90"/>
              <w:left w:type="dxa" w:w="120"/>
              <w:bottom w:type="dxa" w:w="90"/>
              <w:right w:type="dxa" w:w="120"/>
            </w:tcMar>
          </w:tcPr>
          <w:p>
            <w:pPr>
              <w:spacing w:after="0" w:line="264"/>
            </w:pPr>
            <w:r>
              <w:rPr>
                <w:color w:val="322F30"/>
                <w:sz w:val="19"/>
                <w:szCs w:val="19"/>
              </w:rPr>
              <w:t xml:space="preserve">Session data</w:t>
            </w:r>
          </w:p>
        </w:tc>
        <w:tc>
          <w:tcPr>
            <w:tcW w:type="dxa" w:w="6138"/>
            <w:tcMar>
              <w:top w:type="dxa" w:w="90"/>
              <w:left w:type="dxa" w:w="120"/>
              <w:bottom w:type="dxa" w:w="90"/>
              <w:right w:type="dxa" w:w="120"/>
            </w:tcMar>
          </w:tcPr>
          <w:p>
            <w:pPr>
              <w:spacing w:after="0" w:line="264"/>
            </w:pPr>
            <w:r>
              <w:rPr>
                <w:color w:val="322F30"/>
                <w:sz w:val="19"/>
                <w:szCs w:val="19"/>
              </w:rPr>
              <w:t xml:space="preserve">Notes, goals, progress, reflections from coaching sessions</w:t>
            </w:r>
          </w:p>
        </w:tc>
      </w:tr>
      <w:tr>
        <w:tc>
          <w:tcPr>
            <w:tcW w:type="dxa" w:w="2888"/>
            <w:tcMar>
              <w:top w:type="dxa" w:w="90"/>
              <w:left w:type="dxa" w:w="120"/>
              <w:bottom w:type="dxa" w:w="90"/>
              <w:right w:type="dxa" w:w="120"/>
            </w:tcMar>
          </w:tcPr>
          <w:p>
            <w:pPr>
              <w:spacing w:after="0" w:line="264"/>
            </w:pPr>
            <w:r>
              <w:rPr>
                <w:color w:val="322F30"/>
                <w:sz w:val="19"/>
                <w:szCs w:val="19"/>
              </w:rPr>
              <w:t xml:space="preserve">Communication records</w:t>
            </w:r>
          </w:p>
        </w:tc>
        <w:tc>
          <w:tcPr>
            <w:tcW w:type="dxa" w:w="6138"/>
            <w:tcMar>
              <w:top w:type="dxa" w:w="90"/>
              <w:left w:type="dxa" w:w="120"/>
              <w:bottom w:type="dxa" w:w="90"/>
              <w:right w:type="dxa" w:w="120"/>
            </w:tcMar>
          </w:tcPr>
          <w:p>
            <w:pPr>
              <w:spacing w:after="0" w:line="264"/>
            </w:pPr>
            <w:r>
              <w:rPr>
                <w:color w:val="322F30"/>
                <w:sz w:val="19"/>
                <w:szCs w:val="19"/>
              </w:rPr>
              <w:t xml:space="preserve">Emails, messages, scheduling correspondence</w:t>
            </w:r>
          </w:p>
        </w:tc>
      </w:tr>
      <w:tr>
        <w:tc>
          <w:tcPr>
            <w:tcW w:type="dxa" w:w="2888"/>
            <w:tcMar>
              <w:top w:type="dxa" w:w="90"/>
              <w:left w:type="dxa" w:w="120"/>
              <w:bottom w:type="dxa" w:w="90"/>
              <w:right w:type="dxa" w:w="120"/>
            </w:tcMar>
          </w:tcPr>
          <w:p>
            <w:pPr>
              <w:spacing w:after="0" w:line="264"/>
            </w:pPr>
            <w:r>
              <w:rPr>
                <w:color w:val="322F30"/>
                <w:sz w:val="19"/>
                <w:szCs w:val="19"/>
              </w:rPr>
              <w:t xml:space="preserve">Financial data</w:t>
            </w:r>
          </w:p>
        </w:tc>
        <w:tc>
          <w:tcPr>
            <w:tcW w:type="dxa" w:w="6138"/>
            <w:tcMar>
              <w:top w:type="dxa" w:w="90"/>
              <w:left w:type="dxa" w:w="120"/>
              <w:bottom w:type="dxa" w:w="90"/>
              <w:right w:type="dxa" w:w="120"/>
            </w:tcMar>
          </w:tcPr>
          <w:p>
            <w:pPr>
              <w:spacing w:after="0" w:line="264"/>
            </w:pPr>
            <w:r>
              <w:rPr>
                <w:color w:val="322F30"/>
                <w:sz w:val="19"/>
                <w:szCs w:val="19"/>
              </w:rPr>
              <w:t xml:space="preserve">Payment details, invoicing records, transaction history</w:t>
            </w:r>
          </w:p>
        </w:tc>
      </w:tr>
      <w:tr>
        <w:tc>
          <w:tcPr>
            <w:tcW w:type="dxa" w:w="2888"/>
            <w:tcMar>
              <w:top w:type="dxa" w:w="90"/>
              <w:left w:type="dxa" w:w="120"/>
              <w:bottom w:type="dxa" w:w="90"/>
              <w:right w:type="dxa" w:w="120"/>
            </w:tcMar>
          </w:tcPr>
          <w:p>
            <w:pPr>
              <w:spacing w:after="0" w:line="264"/>
            </w:pPr>
            <w:r>
              <w:rPr>
                <w:color w:val="322F30"/>
                <w:sz w:val="19"/>
                <w:szCs w:val="19"/>
              </w:rPr>
              <w:t xml:space="preserve">Contract records</w:t>
            </w:r>
          </w:p>
        </w:tc>
        <w:tc>
          <w:tcPr>
            <w:tcW w:type="dxa" w:w="6138"/>
            <w:tcMar>
              <w:top w:type="dxa" w:w="90"/>
              <w:left w:type="dxa" w:w="120"/>
              <w:bottom w:type="dxa" w:w="90"/>
              <w:right w:type="dxa" w:w="120"/>
            </w:tcMar>
          </w:tcPr>
          <w:p>
            <w:pPr>
              <w:spacing w:after="0" w:line="264"/>
            </w:pPr>
            <w:r>
              <w:rPr>
                <w:color w:val="322F30"/>
                <w:sz w:val="19"/>
                <w:szCs w:val="19"/>
              </w:rPr>
              <w:t xml:space="preserve">Signed coaching agreements, consent forms</w:t>
            </w:r>
          </w:p>
        </w:tc>
      </w:tr>
      <w:tr>
        <w:tc>
          <w:tcPr>
            <w:tcW w:type="dxa" w:w="2888"/>
            <w:tcMar>
              <w:top w:type="dxa" w:w="90"/>
              <w:left w:type="dxa" w:w="120"/>
              <w:bottom w:type="dxa" w:w="90"/>
              <w:right w:type="dxa" w:w="120"/>
            </w:tcMar>
          </w:tcPr>
          <w:p>
            <w:pPr>
              <w:spacing w:after="0" w:line="264"/>
            </w:pPr>
            <w:r>
              <w:rPr>
                <w:color w:val="322F30"/>
                <w:sz w:val="19"/>
                <w:szCs w:val="19"/>
              </w:rPr>
              <w:t xml:space="preserve">Referral information</w:t>
            </w:r>
          </w:p>
        </w:tc>
        <w:tc>
          <w:tcPr>
            <w:tcW w:type="dxa" w:w="6138"/>
            <w:tcMar>
              <w:top w:type="dxa" w:w="90"/>
              <w:left w:type="dxa" w:w="120"/>
              <w:bottom w:type="dxa" w:w="90"/>
              <w:right w:type="dxa" w:w="120"/>
            </w:tcMar>
          </w:tcPr>
          <w:p>
            <w:pPr>
              <w:spacing w:after="0" w:line="264"/>
            </w:pPr>
            <w:r>
              <w:rPr>
                <w:color w:val="322F30"/>
                <w:sz w:val="19"/>
                <w:szCs w:val="19"/>
              </w:rPr>
              <w:t xml:space="preserve">Information passed to us by a referring clinician or partner organisation, with your knowledge</w:t>
            </w:r>
          </w:p>
        </w:tc>
      </w:tr>
      <w:tr>
        <w:tc>
          <w:tcPr>
            <w:tcW w:type="dxa" w:w="2888"/>
            <w:tcMar>
              <w:top w:type="dxa" w:w="90"/>
              <w:left w:type="dxa" w:w="120"/>
              <w:bottom w:type="dxa" w:w="90"/>
              <w:right w:type="dxa" w:w="120"/>
            </w:tcMar>
          </w:tcPr>
          <w:p>
            <w:pPr>
              <w:spacing w:after="0" w:line="264"/>
            </w:pPr>
            <w:r>
              <w:rPr>
                <w:color w:val="322F30"/>
                <w:sz w:val="19"/>
                <w:szCs w:val="19"/>
              </w:rPr>
              <w:t xml:space="preserve">Feedback and complaints</w:t>
            </w:r>
          </w:p>
        </w:tc>
        <w:tc>
          <w:tcPr>
            <w:tcW w:type="dxa" w:w="6138"/>
            <w:tcMar>
              <w:top w:type="dxa" w:w="90"/>
              <w:left w:type="dxa" w:w="120"/>
              <w:bottom w:type="dxa" w:w="90"/>
              <w:right w:type="dxa" w:w="120"/>
            </w:tcMar>
          </w:tcPr>
          <w:p>
            <w:pPr>
              <w:spacing w:after="0" w:line="264"/>
            </w:pPr>
            <w:r>
              <w:rPr>
                <w:color w:val="322F30"/>
                <w:sz w:val="19"/>
                <w:szCs w:val="19"/>
              </w:rPr>
              <w:t xml:space="preserve">Compliments, concerns or complaints you raise with us</w:t>
            </w:r>
          </w:p>
        </w:tc>
      </w:tr>
      <w:tr>
        <w:tc>
          <w:tcPr>
            <w:tcW w:type="dxa" w:w="2888"/>
            <w:tcMar>
              <w:top w:type="dxa" w:w="90"/>
              <w:left w:type="dxa" w:w="120"/>
              <w:bottom w:type="dxa" w:w="90"/>
              <w:right w:type="dxa" w:w="120"/>
            </w:tcMar>
          </w:tcPr>
          <w:p>
            <w:pPr>
              <w:spacing w:after="0" w:line="264"/>
            </w:pPr>
            <w:r>
              <w:rPr>
                <w:color w:val="322F30"/>
                <w:sz w:val="19"/>
                <w:szCs w:val="19"/>
              </w:rPr>
              <w:t xml:space="preserve">Sponsorship and partnership records</w:t>
            </w:r>
          </w:p>
        </w:tc>
        <w:tc>
          <w:tcPr>
            <w:tcW w:type="dxa" w:w="6138"/>
            <w:tcMar>
              <w:top w:type="dxa" w:w="90"/>
              <w:left w:type="dxa" w:w="120"/>
              <w:bottom w:type="dxa" w:w="90"/>
              <w:right w:type="dxa" w:w="120"/>
            </w:tcMar>
          </w:tcPr>
          <w:p>
            <w:pPr>
              <w:spacing w:after="0" w:line="264"/>
            </w:pPr>
            <w:r>
              <w:rPr>
                <w:color w:val="322F30"/>
                <w:sz w:val="19"/>
                <w:szCs w:val="19"/>
              </w:rPr>
              <w:t xml:space="preserve">Information relating to sponsorship, collaboration or partnership arrangements</w:t>
            </w:r>
          </w:p>
        </w:tc>
      </w:tr>
    </w:tbl>
    <w:p>
      <w:pPr>
        <w:spacing w:after="160"/>
      </w:pPr>
    </w:p>
    <w:p>
      <w:pPr>
        <w:pStyle w:val="Heading2"/>
        <w:spacing w:after="120" w:before="240"/>
      </w:pPr>
      <w:r>
        <w:rPr>
          <w:b/>
          <w:bCs/>
          <w:color w:val="405550"/>
          <w:sz w:val="23"/>
          <w:szCs w:val="23"/>
        </w:rPr>
        <w:t xml:space="preserve">1.2 Website and marketing information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88"/>
        <w:gridCol w:w="6138"/>
      </w:tblGrid>
      <w:tr>
        <w:trPr>
          <w:tblHeader/>
        </w:trPr>
        <w:tc>
          <w:tcPr>
            <w:tcW w:type="dxa" w:w="2888"/>
            <w:shd w:fill="EDEFEA" w:color="auto" w:val="clear"/>
            <w:tcMar>
              <w:top w:type="dxa" w:w="90"/>
              <w:left w:type="dxa" w:w="120"/>
              <w:bottom w:type="dxa" w:w="90"/>
              <w:right w:type="dxa" w:w="120"/>
            </w:tcMar>
          </w:tcPr>
          <w:p>
            <w:pPr>
              <w:spacing w:after="0" w:line="264"/>
            </w:pPr>
            <w:r>
              <w:rPr>
                <w:b/>
                <w:bCs/>
                <w:color w:val="405550"/>
                <w:sz w:val="19"/>
                <w:szCs w:val="19"/>
              </w:rPr>
              <w:t xml:space="preserve">CATEGORY</w:t>
            </w:r>
          </w:p>
        </w:tc>
        <w:tc>
          <w:tcPr>
            <w:tcW w:type="dxa" w:w="6138"/>
            <w:shd w:fill="EDEFEA" w:color="auto" w:val="clear"/>
            <w:tcMar>
              <w:top w:type="dxa" w:w="90"/>
              <w:left w:type="dxa" w:w="120"/>
              <w:bottom w:type="dxa" w:w="90"/>
              <w:right w:type="dxa" w:w="120"/>
            </w:tcMar>
          </w:tcPr>
          <w:p>
            <w:pPr>
              <w:spacing w:after="0" w:line="264"/>
            </w:pPr>
            <w:r>
              <w:rPr>
                <w:b/>
                <w:bCs/>
                <w:color w:val="405550"/>
                <w:sz w:val="19"/>
                <w:szCs w:val="19"/>
              </w:rPr>
              <w:t xml:space="preserve">EXAMPLES</w:t>
            </w:r>
          </w:p>
        </w:tc>
      </w:tr>
      <w:tr>
        <w:tc>
          <w:tcPr>
            <w:tcW w:type="dxa" w:w="2888"/>
            <w:tcMar>
              <w:top w:type="dxa" w:w="90"/>
              <w:left w:type="dxa" w:w="120"/>
              <w:bottom w:type="dxa" w:w="90"/>
              <w:right w:type="dxa" w:w="120"/>
            </w:tcMar>
          </w:tcPr>
          <w:p>
            <w:pPr>
              <w:spacing w:after="0" w:line="264"/>
            </w:pPr>
            <w:r>
              <w:rPr>
                <w:color w:val="322F30"/>
                <w:sz w:val="19"/>
                <w:szCs w:val="19"/>
              </w:rPr>
              <w:t xml:space="preserve">Website usage data</w:t>
            </w:r>
          </w:p>
        </w:tc>
        <w:tc>
          <w:tcPr>
            <w:tcW w:type="dxa" w:w="6138"/>
            <w:tcMar>
              <w:top w:type="dxa" w:w="90"/>
              <w:left w:type="dxa" w:w="120"/>
              <w:bottom w:type="dxa" w:w="90"/>
              <w:right w:type="dxa" w:w="120"/>
            </w:tcMar>
          </w:tcPr>
          <w:p>
            <w:pPr>
              <w:spacing w:after="0" w:line="264"/>
            </w:pPr>
            <w:r>
              <w:rPr>
                <w:color w:val="322F30"/>
                <w:sz w:val="19"/>
                <w:szCs w:val="19"/>
              </w:rPr>
              <w:t xml:space="preserve">Pages visited, time on site, user journey, cookie data, IP address</w:t>
            </w:r>
          </w:p>
        </w:tc>
      </w:tr>
      <w:tr>
        <w:tc>
          <w:tcPr>
            <w:tcW w:type="dxa" w:w="2888"/>
            <w:tcMar>
              <w:top w:type="dxa" w:w="90"/>
              <w:left w:type="dxa" w:w="120"/>
              <w:bottom w:type="dxa" w:w="90"/>
              <w:right w:type="dxa" w:w="120"/>
            </w:tcMar>
          </w:tcPr>
          <w:p>
            <w:pPr>
              <w:spacing w:after="0" w:line="264"/>
            </w:pPr>
            <w:r>
              <w:rPr>
                <w:color w:val="322F30"/>
                <w:sz w:val="19"/>
                <w:szCs w:val="19"/>
              </w:rPr>
              <w:t xml:space="preserve">Marketing preferences</w:t>
            </w:r>
          </w:p>
        </w:tc>
        <w:tc>
          <w:tcPr>
            <w:tcW w:type="dxa" w:w="6138"/>
            <w:tcMar>
              <w:top w:type="dxa" w:w="90"/>
              <w:left w:type="dxa" w:w="120"/>
              <w:bottom w:type="dxa" w:w="90"/>
              <w:right w:type="dxa" w:w="120"/>
            </w:tcMar>
          </w:tcPr>
          <w:p>
            <w:pPr>
              <w:spacing w:after="0" w:line="264"/>
            </w:pPr>
            <w:r>
              <w:rPr>
                <w:color w:val="322F30"/>
                <w:sz w:val="19"/>
                <w:szCs w:val="19"/>
              </w:rPr>
              <w:t xml:space="preserve">Whether you have subscribed to our newsletter or opted in to marketing communications</w:t>
            </w:r>
          </w:p>
        </w:tc>
      </w:tr>
      <w:tr>
        <w:tc>
          <w:tcPr>
            <w:tcW w:type="dxa" w:w="2888"/>
            <w:tcMar>
              <w:top w:type="dxa" w:w="90"/>
              <w:left w:type="dxa" w:w="120"/>
              <w:bottom w:type="dxa" w:w="90"/>
              <w:right w:type="dxa" w:w="120"/>
            </w:tcMar>
          </w:tcPr>
          <w:p>
            <w:pPr>
              <w:spacing w:after="0" w:line="264"/>
            </w:pPr>
            <w:r>
              <w:rPr>
                <w:color w:val="322F30"/>
                <w:sz w:val="19"/>
                <w:szCs w:val="19"/>
              </w:rPr>
              <w:t xml:space="preserve">Consent records</w:t>
            </w:r>
          </w:p>
        </w:tc>
        <w:tc>
          <w:tcPr>
            <w:tcW w:type="dxa" w:w="6138"/>
            <w:tcMar>
              <w:top w:type="dxa" w:w="90"/>
              <w:left w:type="dxa" w:w="120"/>
              <w:bottom w:type="dxa" w:w="90"/>
              <w:right w:type="dxa" w:w="120"/>
            </w:tcMar>
          </w:tcPr>
          <w:p>
            <w:pPr>
              <w:spacing w:after="0" w:line="264"/>
            </w:pPr>
            <w:r>
              <w:rPr>
                <w:color w:val="322F30"/>
                <w:sz w:val="19"/>
                <w:szCs w:val="19"/>
              </w:rPr>
              <w:t xml:space="preserve">Records of when and how you gave or withdrew consent</w:t>
            </w:r>
          </w:p>
        </w:tc>
      </w:tr>
    </w:tbl>
    <w:p>
      <w:pPr>
        <w:spacing w:after="160"/>
      </w:pPr>
    </w:p>
    <w:p>
      <w:pPr>
        <w:pStyle w:val="Heading2"/>
        <w:spacing w:after="120" w:before="240"/>
      </w:pPr>
      <w:r>
        <w:rPr>
          <w:b/>
          <w:bCs/>
          <w:color w:val="405550"/>
          <w:sz w:val="23"/>
          <w:szCs w:val="23"/>
        </w:rPr>
        <w:t xml:space="preserve">1.3 Session recording data (Fathom)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Important: session recording requires your explicit consent</w:t>
            </w:r>
          </w:p>
          <w:p>
            <w:pPr>
              <w:spacing w:after="80" w:line="276"/>
            </w:pPr>
            <w:r>
              <w:rPr>
                <w:color w:val="322F30"/>
                <w:sz w:val="20"/>
                <w:szCs w:val="20"/>
              </w:rPr>
              <w:t xml:space="preserve">Where you have given explicit consent, sessions may be recorded using Fathom (Fathom Video Inc.). Fathom processes audio, video, transcripts, and AI-generated summaries of sessions. This involves the transfer of data to the USA. Full details are set out in Section 6 (Data Processors) and in our separate AI Policy.</w:t>
            </w:r>
          </w:p>
          <w:p>
            <w:pPr>
              <w:spacing w:after="80" w:line="276"/>
            </w:pPr>
            <w:r>
              <w:rPr>
                <w:color w:val="322F30"/>
                <w:sz w:val="20"/>
                <w:szCs w:val="20"/>
              </w:rPr>
              <w:t xml:space="preserve">You may withdraw consent for recording at any time without consequence to your coaching engagement.</w:t>
            </w:r>
          </w:p>
        </w:tc>
      </w:tr>
    </w:tbl>
    <w:p>
      <w:pPr>
        <w:spacing w:after="160"/>
      </w:pPr>
    </w:p>
    <w:p>
      <w:pPr>
        <w:pStyle w:val="Heading2"/>
        <w:spacing w:after="120" w:before="240"/>
      </w:pPr>
      <w:r>
        <w:rPr>
          <w:b/>
          <w:bCs/>
          <w:color w:val="405550"/>
          <w:sz w:val="23"/>
          <w:szCs w:val="23"/>
        </w:rPr>
        <w:t xml:space="preserve">1.4 People we work with, other than clients</w:t>
      </w:r>
    </w:p>
    <w:p>
      <w:pPr>
        <w:spacing w:after="140" w:line="276"/>
      </w:pPr>
      <w:r>
        <w:rPr>
          <w:color w:val="322F30"/>
          <w:sz w:val="21"/>
          <w:szCs w:val="21"/>
        </w:rPr>
        <w:t xml:space="preserve">Where we engage an intern, volunteer, associate coach or contractor, we also collect and hold employment-related information about that person — including application and placement records, agreements, emergency contact details, and any health and safety records arising from their work with us. This information is held for the purposes of managing the working relationship and meeting our legal obligations.</w:t>
      </w:r>
    </w:p>
    <w:p>
      <w:pPr>
        <w:pStyle w:val="Heading2"/>
        <w:spacing w:after="120" w:before="240"/>
      </w:pPr>
      <w:r>
        <w:rPr>
          <w:b/>
          <w:bCs/>
          <w:color w:val="405550"/>
          <w:sz w:val="23"/>
          <w:szCs w:val="23"/>
        </w:rPr>
        <w:t xml:space="preserve">1.5 Where we collect information from</w:t>
      </w:r>
    </w:p>
    <w:p>
      <w:pPr>
        <w:pStyle w:val="ListParagraph"/>
        <w:numPr>
          <w:ilvl w:val="0"/>
          <w:numId w:val="1"/>
        </w:numPr>
        <w:spacing w:after="90" w:line="276"/>
      </w:pPr>
      <w:r>
        <w:rPr>
          <w:color w:val="322F30"/>
          <w:sz w:val="21"/>
          <w:szCs w:val="21"/>
        </w:rPr>
        <w:t xml:space="preserve">Directly from you — when you enquire about our services, complete an intake form, sign a coaching agreement, attend a session, or contact us</w:t>
      </w:r>
    </w:p>
    <w:p>
      <w:pPr>
        <w:pStyle w:val="ListParagraph"/>
        <w:numPr>
          <w:ilvl w:val="0"/>
          <w:numId w:val="1"/>
        </w:numPr>
        <w:spacing w:after="90" w:line="276"/>
      </w:pPr>
      <w:r>
        <w:rPr>
          <w:color w:val="322F30"/>
          <w:sz w:val="21"/>
          <w:szCs w:val="21"/>
        </w:rPr>
        <w:t xml:space="preserve">From your use of our website — via cookies and analytics tools</w:t>
      </w:r>
    </w:p>
    <w:p>
      <w:pPr>
        <w:pStyle w:val="ListParagraph"/>
        <w:numPr>
          <w:ilvl w:val="0"/>
          <w:numId w:val="1"/>
        </w:numPr>
        <w:spacing w:after="90" w:line="276"/>
      </w:pPr>
      <w:r>
        <w:rPr>
          <w:color w:val="322F30"/>
          <w:sz w:val="21"/>
          <w:szCs w:val="21"/>
        </w:rPr>
        <w:t xml:space="preserve">From your use of The Wylde App — the account you create, and the content you choose to save</w:t>
      </w:r>
    </w:p>
    <w:p>
      <w:pPr>
        <w:pStyle w:val="ListParagraph"/>
        <w:numPr>
          <w:ilvl w:val="0"/>
          <w:numId w:val="1"/>
        </w:numPr>
        <w:spacing w:after="90" w:line="276"/>
      </w:pPr>
      <w:r>
        <w:rPr>
          <w:color w:val="322F30"/>
          <w:sz w:val="21"/>
          <w:szCs w:val="21"/>
        </w:rPr>
        <w:t xml:space="preserve">From third-party scheduling and administrative software — including FEA Create</w:t>
      </w:r>
    </w:p>
    <w:p>
      <w:pPr>
        <w:pStyle w:val="ListParagraph"/>
        <w:numPr>
          <w:ilvl w:val="0"/>
          <w:numId w:val="1"/>
        </w:numPr>
        <w:spacing w:after="90" w:line="276"/>
      </w:pPr>
      <w:r>
        <w:rPr>
          <w:color w:val="322F30"/>
          <w:sz w:val="21"/>
          <w:szCs w:val="21"/>
        </w:rPr>
        <w:t xml:space="preserve">From session recording and transcription tools — Fathom, where consent has been given</w:t>
      </w:r>
    </w:p>
    <w:p>
      <w:pPr>
        <w:pStyle w:val="ListParagraph"/>
        <w:numPr>
          <w:ilvl w:val="0"/>
          <w:numId w:val="1"/>
        </w:numPr>
        <w:spacing w:after="90" w:line="276"/>
      </w:pPr>
      <w:r>
        <w:rPr>
          <w:color w:val="322F30"/>
          <w:sz w:val="21"/>
          <w:szCs w:val="21"/>
        </w:rPr>
        <w:t xml:space="preserve">From a referring clinician or partner organisation — where you have been referred to us and are aware of the referral</w:t>
      </w:r>
    </w:p>
    <w:p>
      <w:pPr>
        <w:pStyle w:val="ListParagraph"/>
        <w:numPr>
          <w:ilvl w:val="0"/>
          <w:numId w:val="1"/>
        </w:numPr>
        <w:spacing w:after="90" w:line="276"/>
      </w:pPr>
      <w:r>
        <w:rPr>
          <w:color w:val="322F30"/>
          <w:sz w:val="21"/>
          <w:szCs w:val="21"/>
        </w:rPr>
        <w:t xml:space="preserve">From publicly available sources — only in very limited circumstances, such as professional background information where relevant</w:t>
      </w:r>
    </w:p>
    <w:p>
      <w:pPr>
        <w:spacing w:after="140" w:before="60"/>
      </w:pPr>
      <w:r>
        <w:rPr>
          <w:b/>
          <w:bCs/>
          <w:color w:val="625045"/>
          <w:sz w:val="17"/>
          <w:szCs w:val="17"/>
        </w:rPr>
        <w:t xml:space="preserve">NEW IN v3.1 — </w:t>
      </w:r>
      <w:r>
        <w:rPr>
          <w:i/>
          <w:iCs/>
          <w:color w:val="625045"/>
          <w:sz w:val="17"/>
          <w:szCs w:val="17"/>
        </w:rPr>
        <w:t xml:space="preserve">the third bullet, covering The Wylde App as a source.</w:t>
      </w:r>
    </w:p>
    <w:p>
      <w:pPr>
        <w:pStyle w:val="Heading1"/>
        <w:spacing w:after="160" w:before="340"/>
      </w:pPr>
      <w:r>
        <w:rPr>
          <w:b/>
          <w:bCs/>
          <w:color w:val="2C3B38"/>
          <w:sz w:val="28"/>
          <w:szCs w:val="28"/>
        </w:rPr>
        <w:t xml:space="preserve">2. How and Why We Use Your Information</w:t>
      </w:r>
    </w:p>
    <w:p>
      <w:pPr>
        <w:spacing w:after="140" w:line="276"/>
      </w:pPr>
      <w:r>
        <w:rPr>
          <w:color w:val="322F30"/>
          <w:sz w:val="21"/>
          <w:szCs w:val="21"/>
        </w:rPr>
        <w:t xml:space="preserve">Under UK data protection law, we must have a lawful basis for processing your personal data. The table below sets out the purposes for which we use your information and the lawful basis we rely on for each. The lawful bases for app membership and the energy economy are set out in sections 3A and 3B.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29"/>
        <w:gridCol w:w="3068"/>
        <w:gridCol w:w="2529"/>
      </w:tblGrid>
      <w:tr>
        <w:trPr>
          <w:tblHeader/>
        </w:trPr>
        <w:tc>
          <w:tcPr>
            <w:tcW w:type="dxa" w:w="3429"/>
            <w:shd w:fill="EDEFEA" w:color="auto" w:val="clear"/>
            <w:tcMar>
              <w:top w:type="dxa" w:w="90"/>
              <w:left w:type="dxa" w:w="120"/>
              <w:bottom w:type="dxa" w:w="90"/>
              <w:right w:type="dxa" w:w="120"/>
            </w:tcMar>
          </w:tcPr>
          <w:p>
            <w:pPr>
              <w:spacing w:after="0" w:line="264"/>
            </w:pPr>
            <w:r>
              <w:rPr>
                <w:b/>
                <w:bCs/>
                <w:color w:val="405550"/>
                <w:sz w:val="19"/>
                <w:szCs w:val="19"/>
              </w:rPr>
              <w:t xml:space="preserve">PURPOSE</w:t>
            </w:r>
          </w:p>
        </w:tc>
        <w:tc>
          <w:tcPr>
            <w:tcW w:type="dxa" w:w="3068"/>
            <w:shd w:fill="EDEFEA" w:color="auto" w:val="clear"/>
            <w:tcMar>
              <w:top w:type="dxa" w:w="90"/>
              <w:left w:type="dxa" w:w="120"/>
              <w:bottom w:type="dxa" w:w="90"/>
              <w:right w:type="dxa" w:w="120"/>
            </w:tcMar>
          </w:tcPr>
          <w:p>
            <w:pPr>
              <w:spacing w:after="0" w:line="264"/>
            </w:pPr>
            <w:r>
              <w:rPr>
                <w:b/>
                <w:bCs/>
                <w:color w:val="405550"/>
                <w:sz w:val="19"/>
                <w:szCs w:val="19"/>
              </w:rPr>
              <w:t xml:space="preserve">DATA USED</w:t>
            </w:r>
          </w:p>
        </w:tc>
        <w:tc>
          <w:tcPr>
            <w:tcW w:type="dxa" w:w="2529"/>
            <w:shd w:fill="EDEFEA" w:color="auto" w:val="clear"/>
            <w:tcMar>
              <w:top w:type="dxa" w:w="90"/>
              <w:left w:type="dxa" w:w="120"/>
              <w:bottom w:type="dxa" w:w="90"/>
              <w:right w:type="dxa" w:w="120"/>
            </w:tcMar>
          </w:tcPr>
          <w:p>
            <w:pPr>
              <w:spacing w:after="0" w:line="264"/>
            </w:pPr>
            <w:r>
              <w:rPr>
                <w:b/>
                <w:bCs/>
                <w:color w:val="405550"/>
                <w:sz w:val="19"/>
                <w:szCs w:val="19"/>
              </w:rPr>
              <w:t xml:space="preserve">LAWFUL BASIS</w:t>
            </w:r>
          </w:p>
        </w:tc>
      </w:tr>
      <w:tr>
        <w:tc>
          <w:tcPr>
            <w:tcW w:type="dxa" w:w="3429"/>
            <w:tcMar>
              <w:top w:type="dxa" w:w="90"/>
              <w:left w:type="dxa" w:w="120"/>
              <w:bottom w:type="dxa" w:w="90"/>
              <w:right w:type="dxa" w:w="120"/>
            </w:tcMar>
          </w:tcPr>
          <w:p>
            <w:pPr>
              <w:spacing w:after="0" w:line="264"/>
            </w:pPr>
            <w:r>
              <w:rPr>
                <w:color w:val="322F30"/>
                <w:sz w:val="19"/>
                <w:szCs w:val="19"/>
              </w:rPr>
              <w:t xml:space="preserve">Providing coaching services</w:t>
            </w:r>
          </w:p>
        </w:tc>
        <w:tc>
          <w:tcPr>
            <w:tcW w:type="dxa" w:w="3068"/>
            <w:tcMar>
              <w:top w:type="dxa" w:w="90"/>
              <w:left w:type="dxa" w:w="120"/>
              <w:bottom w:type="dxa" w:w="90"/>
              <w:right w:type="dxa" w:w="120"/>
            </w:tcMar>
          </w:tcPr>
          <w:p>
            <w:pPr>
              <w:spacing w:after="0" w:line="264"/>
            </w:pPr>
            <w:r>
              <w:rPr>
                <w:color w:val="322F30"/>
                <w:sz w:val="19"/>
                <w:szCs w:val="19"/>
              </w:rPr>
              <w:t xml:space="preserve">Identity, contact, health, session data</w:t>
            </w:r>
          </w:p>
        </w:tc>
        <w:tc>
          <w:tcPr>
            <w:tcW w:type="dxa" w:w="2529"/>
            <w:tcMar>
              <w:top w:type="dxa" w:w="90"/>
              <w:left w:type="dxa" w:w="120"/>
              <w:bottom w:type="dxa" w:w="90"/>
              <w:right w:type="dxa" w:w="120"/>
            </w:tcMar>
          </w:tcPr>
          <w:p>
            <w:pPr>
              <w:spacing w:after="0" w:line="264"/>
            </w:pPr>
            <w:r>
              <w:rPr>
                <w:color w:val="322F30"/>
                <w:sz w:val="19"/>
                <w:szCs w:val="19"/>
              </w:rPr>
              <w:t xml:space="preserve">Contract; Consent (for health data)</w:t>
            </w:r>
          </w:p>
        </w:tc>
      </w:tr>
      <w:tr>
        <w:tc>
          <w:tcPr>
            <w:tcW w:type="dxa" w:w="3429"/>
            <w:tcMar>
              <w:top w:type="dxa" w:w="90"/>
              <w:left w:type="dxa" w:w="120"/>
              <w:bottom w:type="dxa" w:w="90"/>
              <w:right w:type="dxa" w:w="120"/>
            </w:tcMar>
          </w:tcPr>
          <w:p>
            <w:pPr>
              <w:spacing w:after="0" w:line="264"/>
            </w:pPr>
            <w:r>
              <w:rPr>
                <w:color w:val="322F30"/>
                <w:sz w:val="19"/>
                <w:szCs w:val="19"/>
              </w:rPr>
              <w:t xml:space="preserve">Managing bookings and scheduling</w:t>
            </w:r>
          </w:p>
        </w:tc>
        <w:tc>
          <w:tcPr>
            <w:tcW w:type="dxa" w:w="3068"/>
            <w:tcMar>
              <w:top w:type="dxa" w:w="90"/>
              <w:left w:type="dxa" w:w="120"/>
              <w:bottom w:type="dxa" w:w="90"/>
              <w:right w:type="dxa" w:w="120"/>
            </w:tcMar>
          </w:tcPr>
          <w:p>
            <w:pPr>
              <w:spacing w:after="0" w:line="264"/>
            </w:pPr>
            <w:r>
              <w:rPr>
                <w:color w:val="322F30"/>
                <w:sz w:val="19"/>
                <w:szCs w:val="19"/>
              </w:rPr>
              <w:t xml:space="preserve">Identity, contact, calendar data</w:t>
            </w:r>
          </w:p>
        </w:tc>
        <w:tc>
          <w:tcPr>
            <w:tcW w:type="dxa" w:w="2529"/>
            <w:tcMar>
              <w:top w:type="dxa" w:w="90"/>
              <w:left w:type="dxa" w:w="120"/>
              <w:bottom w:type="dxa" w:w="90"/>
              <w:right w:type="dxa" w:w="120"/>
            </w:tcMar>
          </w:tcPr>
          <w:p>
            <w:pPr>
              <w:spacing w:after="0" w:line="264"/>
            </w:pPr>
            <w:r>
              <w:rPr>
                <w:color w:val="322F30"/>
                <w:sz w:val="19"/>
                <w:szCs w:val="19"/>
              </w:rPr>
              <w:t xml:space="preserve">Contract</w:t>
            </w:r>
          </w:p>
        </w:tc>
      </w:tr>
      <w:tr>
        <w:tc>
          <w:tcPr>
            <w:tcW w:type="dxa" w:w="3429"/>
            <w:tcMar>
              <w:top w:type="dxa" w:w="90"/>
              <w:left w:type="dxa" w:w="120"/>
              <w:bottom w:type="dxa" w:w="90"/>
              <w:right w:type="dxa" w:w="120"/>
            </w:tcMar>
          </w:tcPr>
          <w:p>
            <w:pPr>
              <w:spacing w:after="0" w:line="264"/>
            </w:pPr>
            <w:r>
              <w:rPr>
                <w:color w:val="322F30"/>
                <w:sz w:val="19"/>
                <w:szCs w:val="19"/>
              </w:rPr>
              <w:t xml:space="preserve">Issuing invoices and processing payments</w:t>
            </w:r>
          </w:p>
        </w:tc>
        <w:tc>
          <w:tcPr>
            <w:tcW w:type="dxa" w:w="3068"/>
            <w:tcMar>
              <w:top w:type="dxa" w:w="90"/>
              <w:left w:type="dxa" w:w="120"/>
              <w:bottom w:type="dxa" w:w="90"/>
              <w:right w:type="dxa" w:w="120"/>
            </w:tcMar>
          </w:tcPr>
          <w:p>
            <w:pPr>
              <w:spacing w:after="0" w:line="264"/>
            </w:pPr>
            <w:r>
              <w:rPr>
                <w:color w:val="322F30"/>
                <w:sz w:val="19"/>
                <w:szCs w:val="19"/>
              </w:rPr>
              <w:t xml:space="preserve">Identity, contact, financial data</w:t>
            </w:r>
          </w:p>
        </w:tc>
        <w:tc>
          <w:tcPr>
            <w:tcW w:type="dxa" w:w="2529"/>
            <w:tcMar>
              <w:top w:type="dxa" w:w="90"/>
              <w:left w:type="dxa" w:w="120"/>
              <w:bottom w:type="dxa" w:w="90"/>
              <w:right w:type="dxa" w:w="120"/>
            </w:tcMar>
          </w:tcPr>
          <w:p>
            <w:pPr>
              <w:spacing w:after="0" w:line="264"/>
            </w:pPr>
            <w:r>
              <w:rPr>
                <w:color w:val="322F30"/>
                <w:sz w:val="19"/>
                <w:szCs w:val="19"/>
              </w:rPr>
              <w:t xml:space="preserve">Contract; Legal obligation</w:t>
            </w:r>
          </w:p>
        </w:tc>
      </w:tr>
      <w:tr>
        <w:tc>
          <w:tcPr>
            <w:tcW w:type="dxa" w:w="3429"/>
            <w:tcMar>
              <w:top w:type="dxa" w:w="90"/>
              <w:left w:type="dxa" w:w="120"/>
              <w:bottom w:type="dxa" w:w="90"/>
              <w:right w:type="dxa" w:w="120"/>
            </w:tcMar>
          </w:tcPr>
          <w:p>
            <w:pPr>
              <w:spacing w:after="0" w:line="264"/>
            </w:pPr>
            <w:r>
              <w:rPr>
                <w:color w:val="322F30"/>
                <w:sz w:val="19"/>
                <w:szCs w:val="19"/>
              </w:rPr>
              <w:t xml:space="preserve">Recording and transcribing sessions (Fathom)</w:t>
            </w:r>
          </w:p>
        </w:tc>
        <w:tc>
          <w:tcPr>
            <w:tcW w:type="dxa" w:w="3068"/>
            <w:tcMar>
              <w:top w:type="dxa" w:w="90"/>
              <w:left w:type="dxa" w:w="120"/>
              <w:bottom w:type="dxa" w:w="90"/>
              <w:right w:type="dxa" w:w="120"/>
            </w:tcMar>
          </w:tcPr>
          <w:p>
            <w:pPr>
              <w:spacing w:after="0" w:line="264"/>
            </w:pPr>
            <w:r>
              <w:rPr>
                <w:color w:val="322F30"/>
                <w:sz w:val="19"/>
                <w:szCs w:val="19"/>
              </w:rPr>
              <w:t xml:space="preserve">Audio, video, transcript, AI summary</w:t>
            </w:r>
          </w:p>
        </w:tc>
        <w:tc>
          <w:tcPr>
            <w:tcW w:type="dxa" w:w="2529"/>
            <w:tcMar>
              <w:top w:type="dxa" w:w="90"/>
              <w:left w:type="dxa" w:w="120"/>
              <w:bottom w:type="dxa" w:w="90"/>
              <w:right w:type="dxa" w:w="120"/>
            </w:tcMar>
          </w:tcPr>
          <w:p>
            <w:pPr>
              <w:spacing w:after="0" w:line="264"/>
            </w:pPr>
            <w:r>
              <w:rPr>
                <w:color w:val="322F30"/>
                <w:sz w:val="19"/>
                <w:szCs w:val="19"/>
              </w:rPr>
              <w:t xml:space="preserve">Explicit consent</w:t>
            </w:r>
          </w:p>
        </w:tc>
      </w:tr>
      <w:tr>
        <w:tc>
          <w:tcPr>
            <w:tcW w:type="dxa" w:w="3429"/>
            <w:tcMar>
              <w:top w:type="dxa" w:w="90"/>
              <w:left w:type="dxa" w:w="120"/>
              <w:bottom w:type="dxa" w:w="90"/>
              <w:right w:type="dxa" w:w="120"/>
            </w:tcMar>
          </w:tcPr>
          <w:p>
            <w:pPr>
              <w:spacing w:after="0" w:line="264"/>
            </w:pPr>
            <w:r>
              <w:rPr>
                <w:color w:val="322F30"/>
                <w:sz w:val="19"/>
                <w:szCs w:val="19"/>
              </w:rPr>
              <w:t xml:space="preserve">Keeping client session notes and records</w:t>
            </w:r>
          </w:p>
        </w:tc>
        <w:tc>
          <w:tcPr>
            <w:tcW w:type="dxa" w:w="3068"/>
            <w:tcMar>
              <w:top w:type="dxa" w:w="90"/>
              <w:left w:type="dxa" w:w="120"/>
              <w:bottom w:type="dxa" w:w="90"/>
              <w:right w:type="dxa" w:w="120"/>
            </w:tcMar>
          </w:tcPr>
          <w:p>
            <w:pPr>
              <w:spacing w:after="0" w:line="264"/>
            </w:pPr>
            <w:r>
              <w:rPr>
                <w:color w:val="322F30"/>
                <w:sz w:val="19"/>
                <w:szCs w:val="19"/>
              </w:rPr>
              <w:t xml:space="preserve">Session data, health information</w:t>
            </w:r>
          </w:p>
        </w:tc>
        <w:tc>
          <w:tcPr>
            <w:tcW w:type="dxa" w:w="2529"/>
            <w:tcMar>
              <w:top w:type="dxa" w:w="90"/>
              <w:left w:type="dxa" w:w="120"/>
              <w:bottom w:type="dxa" w:w="90"/>
              <w:right w:type="dxa" w:w="120"/>
            </w:tcMar>
          </w:tcPr>
          <w:p>
            <w:pPr>
              <w:spacing w:after="0" w:line="264"/>
            </w:pPr>
            <w:r>
              <w:rPr>
                <w:color w:val="322F30"/>
                <w:sz w:val="19"/>
                <w:szCs w:val="19"/>
              </w:rPr>
              <w:t xml:space="preserve">Contract; Consent</w:t>
            </w:r>
          </w:p>
        </w:tc>
      </w:tr>
      <w:tr>
        <w:tc>
          <w:tcPr>
            <w:tcW w:type="dxa" w:w="3429"/>
            <w:tcMar>
              <w:top w:type="dxa" w:w="90"/>
              <w:left w:type="dxa" w:w="120"/>
              <w:bottom w:type="dxa" w:w="90"/>
              <w:right w:type="dxa" w:w="120"/>
            </w:tcMar>
          </w:tcPr>
          <w:p>
            <w:pPr>
              <w:spacing w:after="0" w:line="264"/>
            </w:pPr>
            <w:r>
              <w:rPr>
                <w:color w:val="322F30"/>
                <w:sz w:val="19"/>
                <w:szCs w:val="19"/>
              </w:rPr>
              <w:t xml:space="preserve">Accepting and managing clinical referrals</w:t>
            </w:r>
          </w:p>
        </w:tc>
        <w:tc>
          <w:tcPr>
            <w:tcW w:type="dxa" w:w="3068"/>
            <w:tcMar>
              <w:top w:type="dxa" w:w="90"/>
              <w:left w:type="dxa" w:w="120"/>
              <w:bottom w:type="dxa" w:w="90"/>
              <w:right w:type="dxa" w:w="120"/>
            </w:tcMar>
          </w:tcPr>
          <w:p>
            <w:pPr>
              <w:spacing w:after="0" w:line="264"/>
            </w:pPr>
            <w:r>
              <w:rPr>
                <w:color w:val="322F30"/>
                <w:sz w:val="19"/>
                <w:szCs w:val="19"/>
              </w:rPr>
              <w:t xml:space="preserve">Identity, contact, referral information</w:t>
            </w:r>
          </w:p>
        </w:tc>
        <w:tc>
          <w:tcPr>
            <w:tcW w:type="dxa" w:w="2529"/>
            <w:tcMar>
              <w:top w:type="dxa" w:w="90"/>
              <w:left w:type="dxa" w:w="120"/>
              <w:bottom w:type="dxa" w:w="90"/>
              <w:right w:type="dxa" w:w="120"/>
            </w:tcMar>
          </w:tcPr>
          <w:p>
            <w:pPr>
              <w:spacing w:after="0" w:line="264"/>
            </w:pPr>
            <w:r>
              <w:rPr>
                <w:color w:val="322F30"/>
                <w:sz w:val="19"/>
                <w:szCs w:val="19"/>
              </w:rPr>
              <w:t xml:space="preserve">Contract; Consent</w:t>
            </w:r>
          </w:p>
        </w:tc>
      </w:tr>
      <w:tr>
        <w:tc>
          <w:tcPr>
            <w:tcW w:type="dxa" w:w="3429"/>
            <w:tcMar>
              <w:top w:type="dxa" w:w="90"/>
              <w:left w:type="dxa" w:w="120"/>
              <w:bottom w:type="dxa" w:w="90"/>
              <w:right w:type="dxa" w:w="120"/>
            </w:tcMar>
          </w:tcPr>
          <w:p>
            <w:pPr>
              <w:spacing w:after="0" w:line="264"/>
            </w:pPr>
            <w:r>
              <w:rPr>
                <w:color w:val="322F30"/>
                <w:sz w:val="19"/>
                <w:szCs w:val="19"/>
              </w:rPr>
              <w:t xml:space="preserve">Providing The Wylde App membership</w:t>
            </w:r>
          </w:p>
        </w:tc>
        <w:tc>
          <w:tcPr>
            <w:tcW w:type="dxa" w:w="3068"/>
            <w:tcMar>
              <w:top w:type="dxa" w:w="90"/>
              <w:left w:type="dxa" w:w="120"/>
              <w:bottom w:type="dxa" w:w="90"/>
              <w:right w:type="dxa" w:w="120"/>
            </w:tcMar>
          </w:tcPr>
          <w:p>
            <w:pPr>
              <w:spacing w:after="0" w:line="264"/>
            </w:pPr>
            <w:r>
              <w:rPr>
                <w:color w:val="322F30"/>
                <w:sz w:val="19"/>
                <w:szCs w:val="19"/>
              </w:rPr>
              <w:t xml:space="preserve">Account data, billing data, usage data</w:t>
            </w:r>
          </w:p>
        </w:tc>
        <w:tc>
          <w:tcPr>
            <w:tcW w:type="dxa" w:w="2529"/>
            <w:tcMar>
              <w:top w:type="dxa" w:w="90"/>
              <w:left w:type="dxa" w:w="120"/>
              <w:bottom w:type="dxa" w:w="90"/>
              <w:right w:type="dxa" w:w="120"/>
            </w:tcMar>
          </w:tcPr>
          <w:p>
            <w:pPr>
              <w:spacing w:after="0" w:line="264"/>
            </w:pPr>
            <w:r>
              <w:rPr>
                <w:color w:val="322F30"/>
                <w:sz w:val="19"/>
                <w:szCs w:val="19"/>
              </w:rPr>
              <w:t xml:space="preserve">Contract</w:t>
            </w:r>
          </w:p>
        </w:tc>
      </w:tr>
      <w:tr>
        <w:tc>
          <w:tcPr>
            <w:tcW w:type="dxa" w:w="3429"/>
            <w:tcMar>
              <w:top w:type="dxa" w:w="90"/>
              <w:left w:type="dxa" w:w="120"/>
              <w:bottom w:type="dxa" w:w="90"/>
              <w:right w:type="dxa" w:w="120"/>
            </w:tcMar>
          </w:tcPr>
          <w:p>
            <w:pPr>
              <w:spacing w:after="0" w:line="264"/>
            </w:pPr>
            <w:r>
              <w:rPr>
                <w:color w:val="322F30"/>
                <w:sz w:val="19"/>
                <w:szCs w:val="19"/>
              </w:rPr>
              <w:t xml:space="preserve">Holding what you create in the app</w:t>
            </w:r>
          </w:p>
        </w:tc>
        <w:tc>
          <w:tcPr>
            <w:tcW w:type="dxa" w:w="3068"/>
            <w:tcMar>
              <w:top w:type="dxa" w:w="90"/>
              <w:left w:type="dxa" w:w="120"/>
              <w:bottom w:type="dxa" w:w="90"/>
              <w:right w:type="dxa" w:w="120"/>
            </w:tcMar>
          </w:tcPr>
          <w:p>
            <w:pPr>
              <w:spacing w:after="0" w:line="264"/>
            </w:pPr>
            <w:r>
              <w:rPr>
                <w:color w:val="322F30"/>
                <w:sz w:val="19"/>
                <w:szCs w:val="19"/>
              </w:rPr>
              <w:t xml:space="preserve">Journal, saved resources, lens progress</w:t>
            </w:r>
          </w:p>
        </w:tc>
        <w:tc>
          <w:tcPr>
            <w:tcW w:type="dxa" w:w="2529"/>
            <w:tcMar>
              <w:top w:type="dxa" w:w="90"/>
              <w:left w:type="dxa" w:w="120"/>
              <w:bottom w:type="dxa" w:w="90"/>
              <w:right w:type="dxa" w:w="120"/>
            </w:tcMar>
          </w:tcPr>
          <w:p>
            <w:pPr>
              <w:spacing w:after="0" w:line="264"/>
            </w:pPr>
            <w:r>
              <w:rPr>
                <w:color w:val="322F30"/>
                <w:sz w:val="19"/>
                <w:szCs w:val="19"/>
              </w:rPr>
              <w:t xml:space="preserve">Contract; Explicit consent for health-adjacent content</w:t>
            </w:r>
          </w:p>
        </w:tc>
      </w:tr>
      <w:tr>
        <w:tc>
          <w:tcPr>
            <w:tcW w:type="dxa" w:w="3429"/>
            <w:tcMar>
              <w:top w:type="dxa" w:w="90"/>
              <w:left w:type="dxa" w:w="120"/>
              <w:bottom w:type="dxa" w:w="90"/>
              <w:right w:type="dxa" w:w="120"/>
            </w:tcMar>
          </w:tcPr>
          <w:p>
            <w:pPr>
              <w:spacing w:after="0" w:line="264"/>
            </w:pPr>
            <w:r>
              <w:rPr>
                <w:color w:val="322F30"/>
                <w:sz w:val="19"/>
                <w:szCs w:val="19"/>
              </w:rPr>
              <w:t xml:space="preserve">Running the Wylde Energy Economy</w:t>
            </w:r>
          </w:p>
        </w:tc>
        <w:tc>
          <w:tcPr>
            <w:tcW w:type="dxa" w:w="3068"/>
            <w:tcMar>
              <w:top w:type="dxa" w:w="90"/>
              <w:left w:type="dxa" w:w="120"/>
              <w:bottom w:type="dxa" w:w="90"/>
              <w:right w:type="dxa" w:w="120"/>
            </w:tcMar>
          </w:tcPr>
          <w:p>
            <w:pPr>
              <w:spacing w:after="0" w:line="264"/>
            </w:pPr>
            <w:r>
              <w:rPr>
                <w:color w:val="322F30"/>
                <w:sz w:val="19"/>
                <w:szCs w:val="19"/>
              </w:rPr>
              <w:t xml:space="preserve">Health data, including diagnosis and cycle phase</w:t>
            </w:r>
          </w:p>
        </w:tc>
        <w:tc>
          <w:tcPr>
            <w:tcW w:type="dxa" w:w="2529"/>
            <w:tcMar>
              <w:top w:type="dxa" w:w="90"/>
              <w:left w:type="dxa" w:w="120"/>
              <w:bottom w:type="dxa" w:w="90"/>
              <w:right w:type="dxa" w:w="120"/>
            </w:tcMar>
          </w:tcPr>
          <w:p>
            <w:pPr>
              <w:spacing w:after="0" w:line="264"/>
            </w:pPr>
            <w:r>
              <w:rPr>
                <w:color w:val="322F30"/>
                <w:sz w:val="19"/>
                <w:szCs w:val="19"/>
              </w:rPr>
              <w:t xml:space="preserve">Consent (Art. 6(1)(a)); Explicit consent (Art. 9(2)(a))</w:t>
            </w:r>
          </w:p>
        </w:tc>
      </w:tr>
      <w:tr>
        <w:tc>
          <w:tcPr>
            <w:tcW w:type="dxa" w:w="3429"/>
            <w:tcMar>
              <w:top w:type="dxa" w:w="90"/>
              <w:left w:type="dxa" w:w="120"/>
              <w:bottom w:type="dxa" w:w="90"/>
              <w:right w:type="dxa" w:w="120"/>
            </w:tcMar>
          </w:tcPr>
          <w:p>
            <w:pPr>
              <w:spacing w:after="0" w:line="264"/>
            </w:pPr>
            <w:r>
              <w:rPr>
                <w:color w:val="322F30"/>
                <w:sz w:val="19"/>
                <w:szCs w:val="19"/>
              </w:rPr>
              <w:t xml:space="preserve">Sending service-related communications</w:t>
            </w:r>
          </w:p>
        </w:tc>
        <w:tc>
          <w:tcPr>
            <w:tcW w:type="dxa" w:w="3068"/>
            <w:tcMar>
              <w:top w:type="dxa" w:w="90"/>
              <w:left w:type="dxa" w:w="120"/>
              <w:bottom w:type="dxa" w:w="90"/>
              <w:right w:type="dxa" w:w="120"/>
            </w:tcMar>
          </w:tcPr>
          <w:p>
            <w:pPr>
              <w:spacing w:after="0" w:line="264"/>
            </w:pPr>
            <w:r>
              <w:rPr>
                <w:color w:val="322F30"/>
                <w:sz w:val="19"/>
                <w:szCs w:val="19"/>
              </w:rPr>
              <w:t xml:space="preserve">Contact data, communication records</w:t>
            </w:r>
          </w:p>
        </w:tc>
        <w:tc>
          <w:tcPr>
            <w:tcW w:type="dxa" w:w="2529"/>
            <w:tcMar>
              <w:top w:type="dxa" w:w="90"/>
              <w:left w:type="dxa" w:w="120"/>
              <w:bottom w:type="dxa" w:w="90"/>
              <w:right w:type="dxa" w:w="120"/>
            </w:tcMar>
          </w:tcPr>
          <w:p>
            <w:pPr>
              <w:spacing w:after="0" w:line="264"/>
            </w:pPr>
            <w:r>
              <w:rPr>
                <w:color w:val="322F30"/>
                <w:sz w:val="19"/>
                <w:szCs w:val="19"/>
              </w:rPr>
              <w:t xml:space="preserve">Contract; Legitimate interests</w:t>
            </w:r>
          </w:p>
        </w:tc>
      </w:tr>
      <w:tr>
        <w:tc>
          <w:tcPr>
            <w:tcW w:type="dxa" w:w="3429"/>
            <w:tcMar>
              <w:top w:type="dxa" w:w="90"/>
              <w:left w:type="dxa" w:w="120"/>
              <w:bottom w:type="dxa" w:w="90"/>
              <w:right w:type="dxa" w:w="120"/>
            </w:tcMar>
          </w:tcPr>
          <w:p>
            <w:pPr>
              <w:spacing w:after="0" w:line="264"/>
            </w:pPr>
            <w:r>
              <w:rPr>
                <w:color w:val="322F30"/>
                <w:sz w:val="19"/>
                <w:szCs w:val="19"/>
              </w:rPr>
              <w:t xml:space="preserve">Marketing and newsletter communications</w:t>
            </w:r>
          </w:p>
        </w:tc>
        <w:tc>
          <w:tcPr>
            <w:tcW w:type="dxa" w:w="3068"/>
            <w:tcMar>
              <w:top w:type="dxa" w:w="90"/>
              <w:left w:type="dxa" w:w="120"/>
              <w:bottom w:type="dxa" w:w="90"/>
              <w:right w:type="dxa" w:w="120"/>
            </w:tcMar>
          </w:tcPr>
          <w:p>
            <w:pPr>
              <w:spacing w:after="0" w:line="264"/>
            </w:pPr>
            <w:r>
              <w:rPr>
                <w:color w:val="322F30"/>
                <w:sz w:val="19"/>
                <w:szCs w:val="19"/>
              </w:rPr>
              <w:t xml:space="preserve">Name, email, marketing preferences</w:t>
            </w:r>
          </w:p>
        </w:tc>
        <w:tc>
          <w:tcPr>
            <w:tcW w:type="dxa" w:w="2529"/>
            <w:tcMar>
              <w:top w:type="dxa" w:w="90"/>
              <w:left w:type="dxa" w:w="120"/>
              <w:bottom w:type="dxa" w:w="90"/>
              <w:right w:type="dxa" w:w="120"/>
            </w:tcMar>
          </w:tcPr>
          <w:p>
            <w:pPr>
              <w:spacing w:after="0" w:line="264"/>
            </w:pPr>
            <w:r>
              <w:rPr>
                <w:color w:val="322F30"/>
                <w:sz w:val="19"/>
                <w:szCs w:val="19"/>
              </w:rPr>
              <w:t xml:space="preserve">Consent</w:t>
            </w:r>
          </w:p>
        </w:tc>
      </w:tr>
      <w:tr>
        <w:tc>
          <w:tcPr>
            <w:tcW w:type="dxa" w:w="3429"/>
            <w:tcMar>
              <w:top w:type="dxa" w:w="90"/>
              <w:left w:type="dxa" w:w="120"/>
              <w:bottom w:type="dxa" w:w="90"/>
              <w:right w:type="dxa" w:w="120"/>
            </w:tcMar>
          </w:tcPr>
          <w:p>
            <w:pPr>
              <w:spacing w:after="0" w:line="264"/>
            </w:pPr>
            <w:r>
              <w:rPr>
                <w:color w:val="322F30"/>
                <w:sz w:val="19"/>
                <w:szCs w:val="19"/>
              </w:rPr>
              <w:t xml:space="preserve">Website analytics and improvement</w:t>
            </w:r>
          </w:p>
        </w:tc>
        <w:tc>
          <w:tcPr>
            <w:tcW w:type="dxa" w:w="3068"/>
            <w:tcMar>
              <w:top w:type="dxa" w:w="90"/>
              <w:left w:type="dxa" w:w="120"/>
              <w:bottom w:type="dxa" w:w="90"/>
              <w:right w:type="dxa" w:w="120"/>
            </w:tcMar>
          </w:tcPr>
          <w:p>
            <w:pPr>
              <w:spacing w:after="0" w:line="264"/>
            </w:pPr>
            <w:r>
              <w:rPr>
                <w:color w:val="322F30"/>
                <w:sz w:val="19"/>
                <w:szCs w:val="19"/>
              </w:rPr>
              <w:t xml:space="preserve">Website usage data, cookies</w:t>
            </w:r>
          </w:p>
        </w:tc>
        <w:tc>
          <w:tcPr>
            <w:tcW w:type="dxa" w:w="2529"/>
            <w:tcMar>
              <w:top w:type="dxa" w:w="90"/>
              <w:left w:type="dxa" w:w="120"/>
              <w:bottom w:type="dxa" w:w="90"/>
              <w:right w:type="dxa" w:w="120"/>
            </w:tcMar>
          </w:tcPr>
          <w:p>
            <w:pPr>
              <w:spacing w:after="0" w:line="264"/>
            </w:pPr>
            <w:r>
              <w:rPr>
                <w:color w:val="322F30"/>
                <w:sz w:val="19"/>
                <w:szCs w:val="19"/>
              </w:rPr>
              <w:t xml:space="preserve">Consent (non-essential cookies); Legitimate interests (strictly necessary)</w:t>
            </w:r>
          </w:p>
        </w:tc>
      </w:tr>
      <w:tr>
        <w:tc>
          <w:tcPr>
            <w:tcW w:type="dxa" w:w="3429"/>
            <w:tcMar>
              <w:top w:type="dxa" w:w="90"/>
              <w:left w:type="dxa" w:w="120"/>
              <w:bottom w:type="dxa" w:w="90"/>
              <w:right w:type="dxa" w:w="120"/>
            </w:tcMar>
          </w:tcPr>
          <w:p>
            <w:pPr>
              <w:spacing w:after="0" w:line="264"/>
            </w:pPr>
            <w:r>
              <w:rPr>
                <w:color w:val="322F30"/>
                <w:sz w:val="19"/>
                <w:szCs w:val="19"/>
              </w:rPr>
              <w:t xml:space="preserve">Handling queries, concerns or complaints</w:t>
            </w:r>
          </w:p>
        </w:tc>
        <w:tc>
          <w:tcPr>
            <w:tcW w:type="dxa" w:w="3068"/>
            <w:tcMar>
              <w:top w:type="dxa" w:w="90"/>
              <w:left w:type="dxa" w:w="120"/>
              <w:bottom w:type="dxa" w:w="90"/>
              <w:right w:type="dxa" w:w="120"/>
            </w:tcMar>
          </w:tcPr>
          <w:p>
            <w:pPr>
              <w:spacing w:after="0" w:line="264"/>
            </w:pPr>
            <w:r>
              <w:rPr>
                <w:color w:val="322F30"/>
                <w:sz w:val="19"/>
                <w:szCs w:val="19"/>
              </w:rPr>
              <w:t xml:space="preserve">Identity, contact, correspondence</w:t>
            </w:r>
          </w:p>
        </w:tc>
        <w:tc>
          <w:tcPr>
            <w:tcW w:type="dxa" w:w="2529"/>
            <w:tcMar>
              <w:top w:type="dxa" w:w="90"/>
              <w:left w:type="dxa" w:w="120"/>
              <w:bottom w:type="dxa" w:w="90"/>
              <w:right w:type="dxa" w:w="120"/>
            </w:tcMar>
          </w:tcPr>
          <w:p>
            <w:pPr>
              <w:spacing w:after="0" w:line="264"/>
            </w:pPr>
            <w:r>
              <w:rPr>
                <w:color w:val="322F30"/>
                <w:sz w:val="19"/>
                <w:szCs w:val="19"/>
              </w:rPr>
              <w:t xml:space="preserve">Contract; Legal obligation</w:t>
            </w:r>
          </w:p>
        </w:tc>
      </w:tr>
      <w:tr>
        <w:tc>
          <w:tcPr>
            <w:tcW w:type="dxa" w:w="3429"/>
            <w:tcMar>
              <w:top w:type="dxa" w:w="90"/>
              <w:left w:type="dxa" w:w="120"/>
              <w:bottom w:type="dxa" w:w="90"/>
              <w:right w:type="dxa" w:w="120"/>
            </w:tcMar>
          </w:tcPr>
          <w:p>
            <w:pPr>
              <w:spacing w:after="0" w:line="264"/>
            </w:pPr>
            <w:r>
              <w:rPr>
                <w:color w:val="322F30"/>
                <w:sz w:val="19"/>
                <w:szCs w:val="19"/>
              </w:rPr>
              <w:t xml:space="preserve">Safeguarding — disclosure where required</w:t>
            </w:r>
          </w:p>
        </w:tc>
        <w:tc>
          <w:tcPr>
            <w:tcW w:type="dxa" w:w="3068"/>
            <w:tcMar>
              <w:top w:type="dxa" w:w="90"/>
              <w:left w:type="dxa" w:w="120"/>
              <w:bottom w:type="dxa" w:w="90"/>
              <w:right w:type="dxa" w:w="120"/>
            </w:tcMar>
          </w:tcPr>
          <w:p>
            <w:pPr>
              <w:spacing w:after="0" w:line="264"/>
            </w:pPr>
            <w:r>
              <w:rPr>
                <w:color w:val="322F30"/>
                <w:sz w:val="19"/>
                <w:szCs w:val="19"/>
              </w:rPr>
              <w:t xml:space="preserve">Relevant personal and health data</w:t>
            </w:r>
          </w:p>
        </w:tc>
        <w:tc>
          <w:tcPr>
            <w:tcW w:type="dxa" w:w="2529"/>
            <w:tcMar>
              <w:top w:type="dxa" w:w="90"/>
              <w:left w:type="dxa" w:w="120"/>
              <w:bottom w:type="dxa" w:w="90"/>
              <w:right w:type="dxa" w:w="120"/>
            </w:tcMar>
          </w:tcPr>
          <w:p>
            <w:pPr>
              <w:spacing w:after="0" w:line="264"/>
            </w:pPr>
            <w:r>
              <w:rPr>
                <w:color w:val="322F30"/>
                <w:sz w:val="19"/>
                <w:szCs w:val="19"/>
              </w:rPr>
              <w:t xml:space="preserve">Legal obligation; Vital interests</w:t>
            </w:r>
          </w:p>
        </w:tc>
      </w:tr>
      <w:tr>
        <w:tc>
          <w:tcPr>
            <w:tcW w:type="dxa" w:w="3429"/>
            <w:tcMar>
              <w:top w:type="dxa" w:w="90"/>
              <w:left w:type="dxa" w:w="120"/>
              <w:bottom w:type="dxa" w:w="90"/>
              <w:right w:type="dxa" w:w="120"/>
            </w:tcMar>
          </w:tcPr>
          <w:p>
            <w:pPr>
              <w:spacing w:after="0" w:line="264"/>
            </w:pPr>
            <w:r>
              <w:rPr>
                <w:color w:val="322F30"/>
                <w:sz w:val="19"/>
                <w:szCs w:val="19"/>
              </w:rPr>
              <w:t xml:space="preserve">Managing interns, volunteers and contractors</w:t>
            </w:r>
          </w:p>
        </w:tc>
        <w:tc>
          <w:tcPr>
            <w:tcW w:type="dxa" w:w="3068"/>
            <w:tcMar>
              <w:top w:type="dxa" w:w="90"/>
              <w:left w:type="dxa" w:w="120"/>
              <w:bottom w:type="dxa" w:w="90"/>
              <w:right w:type="dxa" w:w="120"/>
            </w:tcMar>
          </w:tcPr>
          <w:p>
            <w:pPr>
              <w:spacing w:after="0" w:line="264"/>
            </w:pPr>
            <w:r>
              <w:rPr>
                <w:color w:val="322F30"/>
                <w:sz w:val="19"/>
                <w:szCs w:val="19"/>
              </w:rPr>
              <w:t xml:space="preserve">Placement, agreement and health and safety records</w:t>
            </w:r>
          </w:p>
        </w:tc>
        <w:tc>
          <w:tcPr>
            <w:tcW w:type="dxa" w:w="2529"/>
            <w:tcMar>
              <w:top w:type="dxa" w:w="90"/>
              <w:left w:type="dxa" w:w="120"/>
              <w:bottom w:type="dxa" w:w="90"/>
              <w:right w:type="dxa" w:w="120"/>
            </w:tcMar>
          </w:tcPr>
          <w:p>
            <w:pPr>
              <w:spacing w:after="0" w:line="264"/>
            </w:pPr>
            <w:r>
              <w:rPr>
                <w:color w:val="322F30"/>
                <w:sz w:val="19"/>
                <w:szCs w:val="19"/>
              </w:rPr>
              <w:t xml:space="preserve">Contract; Legal obligation</w:t>
            </w:r>
          </w:p>
        </w:tc>
      </w:tr>
      <w:tr>
        <w:tc>
          <w:tcPr>
            <w:tcW w:type="dxa" w:w="3429"/>
            <w:tcMar>
              <w:top w:type="dxa" w:w="90"/>
              <w:left w:type="dxa" w:w="120"/>
              <w:bottom w:type="dxa" w:w="90"/>
              <w:right w:type="dxa" w:w="120"/>
            </w:tcMar>
          </w:tcPr>
          <w:p>
            <w:pPr>
              <w:spacing w:after="0" w:line="264"/>
            </w:pPr>
            <w:r>
              <w:rPr>
                <w:color w:val="322F30"/>
                <w:sz w:val="19"/>
                <w:szCs w:val="19"/>
              </w:rPr>
              <w:t xml:space="preserve">Complying with legal and regulatory obligations</w:t>
            </w:r>
          </w:p>
        </w:tc>
        <w:tc>
          <w:tcPr>
            <w:tcW w:type="dxa" w:w="3068"/>
            <w:tcMar>
              <w:top w:type="dxa" w:w="90"/>
              <w:left w:type="dxa" w:w="120"/>
              <w:bottom w:type="dxa" w:w="90"/>
              <w:right w:type="dxa" w:w="120"/>
            </w:tcMar>
          </w:tcPr>
          <w:p>
            <w:pPr>
              <w:spacing w:after="0" w:line="264"/>
            </w:pPr>
            <w:r>
              <w:rPr>
                <w:color w:val="322F30"/>
                <w:sz w:val="19"/>
                <w:szCs w:val="19"/>
              </w:rPr>
              <w:t xml:space="preserve">Relevant data as required by law</w:t>
            </w:r>
          </w:p>
        </w:tc>
        <w:tc>
          <w:tcPr>
            <w:tcW w:type="dxa" w:w="2529"/>
            <w:tcMar>
              <w:top w:type="dxa" w:w="90"/>
              <w:left w:type="dxa" w:w="120"/>
              <w:bottom w:type="dxa" w:w="90"/>
              <w:right w:type="dxa" w:w="120"/>
            </w:tcMar>
          </w:tcPr>
          <w:p>
            <w:pPr>
              <w:spacing w:after="0" w:line="264"/>
            </w:pPr>
            <w:r>
              <w:rPr>
                <w:color w:val="322F30"/>
                <w:sz w:val="19"/>
                <w:szCs w:val="19"/>
              </w:rPr>
              <w:t xml:space="preserve">Legal obligation</w:t>
            </w:r>
          </w:p>
        </w:tc>
      </w:tr>
      <w:tr>
        <w:tc>
          <w:tcPr>
            <w:tcW w:type="dxa" w:w="3429"/>
            <w:tcMar>
              <w:top w:type="dxa" w:w="90"/>
              <w:left w:type="dxa" w:w="120"/>
              <w:bottom w:type="dxa" w:w="90"/>
              <w:right w:type="dxa" w:w="120"/>
            </w:tcMar>
          </w:tcPr>
          <w:p>
            <w:pPr>
              <w:spacing w:after="0" w:line="264"/>
            </w:pPr>
            <w:r>
              <w:rPr>
                <w:color w:val="322F30"/>
                <w:sz w:val="19"/>
                <w:szCs w:val="19"/>
              </w:rPr>
              <w:t xml:space="preserve">Keeping financial and business records</w:t>
            </w:r>
          </w:p>
        </w:tc>
        <w:tc>
          <w:tcPr>
            <w:tcW w:type="dxa" w:w="3068"/>
            <w:tcMar>
              <w:top w:type="dxa" w:w="90"/>
              <w:left w:type="dxa" w:w="120"/>
              <w:bottom w:type="dxa" w:w="90"/>
              <w:right w:type="dxa" w:w="120"/>
            </w:tcMar>
          </w:tcPr>
          <w:p>
            <w:pPr>
              <w:spacing w:after="0" w:line="264"/>
            </w:pPr>
            <w:r>
              <w:rPr>
                <w:color w:val="322F30"/>
                <w:sz w:val="19"/>
                <w:szCs w:val="19"/>
              </w:rPr>
              <w:t xml:space="preserve">Financial and contract data</w:t>
            </w:r>
          </w:p>
        </w:tc>
        <w:tc>
          <w:tcPr>
            <w:tcW w:type="dxa" w:w="2529"/>
            <w:tcMar>
              <w:top w:type="dxa" w:w="90"/>
              <w:left w:type="dxa" w:w="120"/>
              <w:bottom w:type="dxa" w:w="90"/>
              <w:right w:type="dxa" w:w="120"/>
            </w:tcMar>
          </w:tcPr>
          <w:p>
            <w:pPr>
              <w:spacing w:after="0" w:line="264"/>
            </w:pPr>
            <w:r>
              <w:rPr>
                <w:color w:val="322F30"/>
                <w:sz w:val="19"/>
                <w:szCs w:val="19"/>
              </w:rPr>
              <w:t xml:space="preserve">Legal obligation</w:t>
            </w:r>
          </w:p>
        </w:tc>
      </w:tr>
    </w:tbl>
    <w:p>
      <w:pPr>
        <w:spacing w:after="140" w:before="60"/>
      </w:pPr>
      <w:r>
        <w:rPr>
          <w:b/>
          <w:bCs/>
          <w:color w:val="625045"/>
          <w:sz w:val="17"/>
          <w:szCs w:val="17"/>
        </w:rPr>
        <w:t xml:space="preserve">NEW IN v3.1 — </w:t>
      </w:r>
      <w:r>
        <w:rPr>
          <w:i/>
          <w:iCs/>
          <w:color w:val="625045"/>
          <w:sz w:val="17"/>
          <w:szCs w:val="17"/>
        </w:rPr>
        <w:t xml:space="preserve">the three app rows — membership, app content, and the energy economy.</w:t>
      </w:r>
    </w:p>
    <w:p>
      <w:pPr>
        <w:pStyle w:val="Heading1"/>
        <w:spacing w:after="160" w:before="340"/>
      </w:pPr>
      <w:r>
        <w:rPr>
          <w:b/>
          <w:bCs/>
          <w:color w:val="2C3B38"/>
          <w:sz w:val="28"/>
          <w:szCs w:val="28"/>
        </w:rPr>
        <w:t xml:space="preserve">3. Special Category Data</w:t>
      </w:r>
    </w:p>
    <w:p>
      <w:pPr>
        <w:spacing w:after="140" w:line="276"/>
      </w:pPr>
      <w:r>
        <w:rPr>
          <w:color w:val="322F30"/>
          <w:sz w:val="21"/>
          <w:szCs w:val="21"/>
        </w:rPr>
        <w:t xml:space="preserve">Because coaching often involves sensitive personal information — including health conditions, mental wellbeing, trauma history, chronic illness, and identity — we process what UK GDPR classifies as Special Category Data. This carries a higher level of legal protection.</w:t>
      </w:r>
    </w:p>
    <w:p>
      <w:pPr>
        <w:spacing w:after="140" w:line="276"/>
      </w:pPr>
      <w:r>
        <w:rPr>
          <w:color w:val="322F30"/>
          <w:sz w:val="21"/>
          <w:szCs w:val="21"/>
        </w:rPr>
        <w:t xml:space="preserve">Special Category Data we may process includes:</w:t>
      </w:r>
    </w:p>
    <w:p>
      <w:pPr>
        <w:pStyle w:val="ListParagraph"/>
        <w:numPr>
          <w:ilvl w:val="0"/>
          <w:numId w:val="1"/>
        </w:numPr>
        <w:spacing w:after="90" w:line="276"/>
      </w:pPr>
      <w:r>
        <w:rPr>
          <w:color w:val="322F30"/>
          <w:sz w:val="21"/>
          <w:szCs w:val="21"/>
        </w:rPr>
        <w:t xml:space="preserve">Physical health conditions, chronic illness, disability, and symptoms</w:t>
      </w:r>
    </w:p>
    <w:p>
      <w:pPr>
        <w:pStyle w:val="ListParagraph"/>
        <w:numPr>
          <w:ilvl w:val="0"/>
          <w:numId w:val="1"/>
        </w:numPr>
        <w:spacing w:after="90" w:line="276"/>
      </w:pPr>
      <w:r>
        <w:rPr>
          <w:color w:val="322F30"/>
          <w:sz w:val="21"/>
          <w:szCs w:val="21"/>
        </w:rPr>
        <w:t xml:space="preserve">Mental health, emotional wellbeing, and psychological history relevant to coaching</w:t>
      </w:r>
    </w:p>
    <w:p>
      <w:pPr>
        <w:pStyle w:val="ListParagraph"/>
        <w:numPr>
          <w:ilvl w:val="0"/>
          <w:numId w:val="1"/>
        </w:numPr>
        <w:spacing w:after="90" w:line="276"/>
      </w:pPr>
      <w:r>
        <w:rPr>
          <w:color w:val="322F30"/>
          <w:sz w:val="21"/>
          <w:szCs w:val="21"/>
        </w:rPr>
        <w:t xml:space="preserve">Any other sensitive personal information you choose to share in a coaching context</w:t>
      </w:r>
    </w:p>
    <w:p>
      <w:pPr>
        <w:spacing w:after="140" w:line="276"/>
      </w:pPr>
      <w:r>
        <w:rPr>
          <w:color w:val="322F30"/>
          <w:sz w:val="21"/>
          <w:szCs w:val="21"/>
        </w:rPr>
        <w:t xml:space="preserve">We process Special Category Data only:</w:t>
      </w:r>
    </w:p>
    <w:p>
      <w:pPr>
        <w:pStyle w:val="ListParagraph"/>
        <w:numPr>
          <w:ilvl w:val="0"/>
          <w:numId w:val="1"/>
        </w:numPr>
        <w:spacing w:after="90" w:line="276"/>
      </w:pPr>
      <w:r>
        <w:rPr>
          <w:color w:val="322F30"/>
          <w:sz w:val="21"/>
          <w:szCs w:val="21"/>
        </w:rPr>
        <w:t xml:space="preserve">With your explicit consent, which you may withdraw at any time</w:t>
      </w:r>
    </w:p>
    <w:p>
      <w:pPr>
        <w:pStyle w:val="ListParagraph"/>
        <w:numPr>
          <w:ilvl w:val="0"/>
          <w:numId w:val="1"/>
        </w:numPr>
        <w:spacing w:after="90" w:line="276"/>
      </w:pPr>
      <w:r>
        <w:rPr>
          <w:color w:val="322F30"/>
          <w:sz w:val="21"/>
          <w:szCs w:val="21"/>
        </w:rPr>
        <w:t xml:space="preserve">Where necessary for the purposes of the coaching contract</w:t>
      </w:r>
    </w:p>
    <w:p>
      <w:pPr>
        <w:pStyle w:val="ListParagraph"/>
        <w:numPr>
          <w:ilvl w:val="0"/>
          <w:numId w:val="1"/>
        </w:numPr>
        <w:spacing w:after="90" w:line="276"/>
      </w:pPr>
      <w:r>
        <w:rPr>
          <w:color w:val="322F30"/>
          <w:sz w:val="21"/>
          <w:szCs w:val="21"/>
        </w:rPr>
        <w:t xml:space="preserve">Where required by law, including safeguarding obligations</w:t>
      </w:r>
    </w:p>
    <w:p>
      <w:pPr>
        <w:spacing w:after="140" w:line="276"/>
      </w:pPr>
      <w:r>
        <w:rPr>
          <w:color w:val="322F30"/>
          <w:sz w:val="21"/>
          <w:szCs w:val="21"/>
        </w:rPr>
        <w:t xml:space="preserve">We apply the highest standards of care to this data. It is never shared with third parties for commercial or marketing purposes. Where session recording tools (Fathom) process Special Category Data, this is covered by our signed Data Processing Agreement, which includes specific safeguards for sensitive data.</w:t>
      </w:r>
    </w:p>
    <w:p>
      <w:pPr>
        <w:pStyle w:val="Heading1"/>
        <w:spacing w:after="160" w:before="340"/>
      </w:pPr>
      <w:r>
        <w:rPr>
          <w:b/>
          <w:bCs/>
          <w:color w:val="2C3B38"/>
          <w:sz w:val="28"/>
          <w:szCs w:val="28"/>
        </w:rPr>
        <w:t xml:space="preserve">3A. The Wylde App — membership data</w:t>
      </w:r>
    </w:p>
    <w:p>
      <w:pPr>
        <w:spacing w:after="140" w:before="60"/>
      </w:pPr>
      <w:r>
        <w:rPr>
          <w:b/>
          <w:bCs/>
          <w:color w:val="625045"/>
          <w:sz w:val="17"/>
          <w:szCs w:val="17"/>
        </w:rPr>
        <w:t xml:space="preserve">NEW IN v3.1 — </w:t>
      </w:r>
      <w:r>
        <w:rPr>
          <w:i/>
          <w:iCs/>
          <w:color w:val="625045"/>
          <w:sz w:val="17"/>
          <w:szCs w:val="17"/>
        </w:rPr>
        <w:t xml:space="preserve">this entire section.</w:t>
      </w:r>
    </w:p>
    <w:p>
      <w:pPr>
        <w:spacing w:after="140" w:line="276"/>
      </w:pPr>
      <w:r>
        <w:rPr>
          <w:color w:val="322F30"/>
          <w:sz w:val="21"/>
          <w:szCs w:val="21"/>
        </w:rPr>
        <w:t xml:space="preserve">When you join The Wylde App (our members' web app at app.wyldewellbeing.uk), we process personal data relating to your membership and the reflective content you create in the app.</w:t>
      </w:r>
    </w:p>
    <w:p>
      <w:pPr>
        <w:spacing w:after="140" w:line="276"/>
      </w:pPr>
      <w:r>
        <w:rPr>
          <w:b/>
          <w:bCs/>
          <w:color w:val="322F30"/>
          <w:sz w:val="21"/>
          <w:szCs w:val="21"/>
        </w:rPr>
        <w:t xml:space="preserve">What we collect in the app: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88"/>
        <w:gridCol w:w="6138"/>
      </w:tblGrid>
      <w:tr>
        <w:trPr>
          <w:tblHeader/>
        </w:trPr>
        <w:tc>
          <w:tcPr>
            <w:tcW w:type="dxa" w:w="2888"/>
            <w:shd w:fill="EDEFEA" w:color="auto" w:val="clear"/>
            <w:tcMar>
              <w:top w:type="dxa" w:w="90"/>
              <w:left w:type="dxa" w:w="120"/>
              <w:bottom w:type="dxa" w:w="90"/>
              <w:right w:type="dxa" w:w="120"/>
            </w:tcMar>
          </w:tcPr>
          <w:p>
            <w:pPr>
              <w:spacing w:after="0" w:line="264"/>
            </w:pPr>
            <w:r>
              <w:rPr>
                <w:b/>
                <w:bCs/>
                <w:color w:val="405550"/>
                <w:sz w:val="19"/>
                <w:szCs w:val="19"/>
              </w:rPr>
              <w:t xml:space="preserve">CATEGORY</w:t>
            </w:r>
          </w:p>
        </w:tc>
        <w:tc>
          <w:tcPr>
            <w:tcW w:type="dxa" w:w="6138"/>
            <w:shd w:fill="EDEFEA" w:color="auto" w:val="clear"/>
            <w:tcMar>
              <w:top w:type="dxa" w:w="90"/>
              <w:left w:type="dxa" w:w="120"/>
              <w:bottom w:type="dxa" w:w="90"/>
              <w:right w:type="dxa" w:w="120"/>
            </w:tcMar>
          </w:tcPr>
          <w:p>
            <w:pPr>
              <w:spacing w:after="0" w:line="264"/>
            </w:pPr>
            <w:r>
              <w:rPr>
                <w:b/>
                <w:bCs/>
                <w:color w:val="405550"/>
                <w:sz w:val="19"/>
                <w:szCs w:val="19"/>
              </w:rPr>
              <w:t xml:space="preserve">EXAMPLES</w:t>
            </w:r>
          </w:p>
        </w:tc>
      </w:tr>
      <w:tr>
        <w:tc>
          <w:tcPr>
            <w:tcW w:type="dxa" w:w="2888"/>
            <w:tcMar>
              <w:top w:type="dxa" w:w="90"/>
              <w:left w:type="dxa" w:w="120"/>
              <w:bottom w:type="dxa" w:w="90"/>
              <w:right w:type="dxa" w:w="120"/>
            </w:tcMar>
          </w:tcPr>
          <w:p>
            <w:pPr>
              <w:spacing w:after="0" w:line="264"/>
            </w:pPr>
            <w:r>
              <w:rPr>
                <w:color w:val="322F30"/>
                <w:sz w:val="19"/>
                <w:szCs w:val="19"/>
              </w:rPr>
              <w:t xml:space="preserve">Account data</w:t>
            </w:r>
          </w:p>
        </w:tc>
        <w:tc>
          <w:tcPr>
            <w:tcW w:type="dxa" w:w="6138"/>
            <w:tcMar>
              <w:top w:type="dxa" w:w="90"/>
              <w:left w:type="dxa" w:w="120"/>
              <w:bottom w:type="dxa" w:w="90"/>
              <w:right w:type="dxa" w:w="120"/>
            </w:tcMar>
          </w:tcPr>
          <w:p>
            <w:pPr>
              <w:spacing w:after="0" w:line="264"/>
            </w:pPr>
            <w:r>
              <w:rPr>
                <w:color w:val="322F30"/>
                <w:sz w:val="19"/>
                <w:szCs w:val="19"/>
              </w:rPr>
              <w:t xml:space="preserve">Name, email, login credentials (via Supabase), membership status and founding-rate flag</w:t>
            </w:r>
          </w:p>
        </w:tc>
      </w:tr>
      <w:tr>
        <w:tc>
          <w:tcPr>
            <w:tcW w:type="dxa" w:w="2888"/>
            <w:tcMar>
              <w:top w:type="dxa" w:w="90"/>
              <w:left w:type="dxa" w:w="120"/>
              <w:bottom w:type="dxa" w:w="90"/>
              <w:right w:type="dxa" w:w="120"/>
            </w:tcMar>
          </w:tcPr>
          <w:p>
            <w:pPr>
              <w:spacing w:after="0" w:line="264"/>
            </w:pPr>
            <w:r>
              <w:rPr>
                <w:color w:val="322F30"/>
                <w:sz w:val="19"/>
                <w:szCs w:val="19"/>
              </w:rPr>
              <w:t xml:space="preserve">Billing data</w:t>
            </w:r>
          </w:p>
        </w:tc>
        <w:tc>
          <w:tcPr>
            <w:tcW w:type="dxa" w:w="6138"/>
            <w:tcMar>
              <w:top w:type="dxa" w:w="90"/>
              <w:left w:type="dxa" w:w="120"/>
              <w:bottom w:type="dxa" w:w="90"/>
              <w:right w:type="dxa" w:w="120"/>
            </w:tcMar>
          </w:tcPr>
          <w:p>
            <w:pPr>
              <w:spacing w:after="0" w:line="264"/>
            </w:pPr>
            <w:r>
              <w:rPr>
                <w:color w:val="322F30"/>
                <w:sz w:val="19"/>
                <w:szCs w:val="19"/>
              </w:rPr>
              <w:t xml:space="preserve">Subscription and payment records (processed by Stripe; we do not store card details)</w:t>
            </w:r>
          </w:p>
        </w:tc>
      </w:tr>
      <w:tr>
        <w:tc>
          <w:tcPr>
            <w:tcW w:type="dxa" w:w="2888"/>
            <w:tcMar>
              <w:top w:type="dxa" w:w="90"/>
              <w:left w:type="dxa" w:w="120"/>
              <w:bottom w:type="dxa" w:w="90"/>
              <w:right w:type="dxa" w:w="120"/>
            </w:tcMar>
          </w:tcPr>
          <w:p>
            <w:pPr>
              <w:spacing w:after="0" w:line="264"/>
            </w:pPr>
            <w:r>
              <w:rPr>
                <w:color w:val="322F30"/>
                <w:sz w:val="19"/>
                <w:szCs w:val="19"/>
              </w:rPr>
              <w:t xml:space="preserve">Member-generated content (may include Special Category Data)</w:t>
            </w:r>
          </w:p>
        </w:tc>
        <w:tc>
          <w:tcPr>
            <w:tcW w:type="dxa" w:w="6138"/>
            <w:tcMar>
              <w:top w:type="dxa" w:w="90"/>
              <w:left w:type="dxa" w:w="120"/>
              <w:bottom w:type="dxa" w:w="90"/>
              <w:right w:type="dxa" w:w="120"/>
            </w:tcMar>
          </w:tcPr>
          <w:p>
            <w:pPr>
              <w:spacing w:after="0" w:line="264"/>
            </w:pPr>
            <w:r>
              <w:rPr>
                <w:color w:val="322F30"/>
                <w:sz w:val="19"/>
                <w:szCs w:val="19"/>
              </w:rPr>
              <w:t xml:space="preserve">Journal entries and reflections, saved resources, lens progress, and any in-app audit responses — which may include information about your health, chronic illness, emotional wellbeing and identity</w:t>
            </w:r>
          </w:p>
        </w:tc>
      </w:tr>
      <w:tr>
        <w:tc>
          <w:tcPr>
            <w:tcW w:type="dxa" w:w="2888"/>
            <w:tcMar>
              <w:top w:type="dxa" w:w="90"/>
              <w:left w:type="dxa" w:w="120"/>
              <w:bottom w:type="dxa" w:w="90"/>
              <w:right w:type="dxa" w:w="120"/>
            </w:tcMar>
          </w:tcPr>
          <w:p>
            <w:pPr>
              <w:spacing w:after="0" w:line="264"/>
            </w:pPr>
            <w:r>
              <w:rPr>
                <w:color w:val="322F30"/>
                <w:sz w:val="19"/>
                <w:szCs w:val="19"/>
              </w:rPr>
              <w:t xml:space="preserve">Usage data</w:t>
            </w:r>
          </w:p>
        </w:tc>
        <w:tc>
          <w:tcPr>
            <w:tcW w:type="dxa" w:w="6138"/>
            <w:tcMar>
              <w:top w:type="dxa" w:w="90"/>
              <w:left w:type="dxa" w:w="120"/>
              <w:bottom w:type="dxa" w:w="90"/>
              <w:right w:type="dxa" w:w="120"/>
            </w:tcMar>
          </w:tcPr>
          <w:p>
            <w:pPr>
              <w:spacing w:after="0" w:line="264"/>
            </w:pPr>
            <w:r>
              <w:rPr>
                <w:color w:val="322F30"/>
                <w:sz w:val="19"/>
                <w:szCs w:val="19"/>
              </w:rPr>
              <w:t xml:space="preserve">How you interact with the app, to keep it working and improve it</w:t>
            </w:r>
          </w:p>
        </w:tc>
      </w:tr>
    </w:tbl>
    <w:p>
      <w:pPr>
        <w:spacing w:after="160"/>
      </w:pPr>
    </w:p>
    <w:p>
      <w:pPr>
        <w:spacing w:after="140" w:line="276"/>
      </w:pPr>
      <w:r>
        <w:rPr>
          <w:b/>
          <w:bCs/>
          <w:color w:val="322F30"/>
          <w:sz w:val="21"/>
          <w:szCs w:val="21"/>
        </w:rPr>
        <w:t xml:space="preserve">Lawful basis:</w:t>
      </w:r>
    </w:p>
    <w:p>
      <w:pPr>
        <w:pStyle w:val="ListParagraph"/>
        <w:numPr>
          <w:ilvl w:val="0"/>
          <w:numId w:val="1"/>
        </w:numPr>
        <w:spacing w:after="90" w:line="276"/>
      </w:pPr>
      <w:r>
        <w:rPr>
          <w:color w:val="322F30"/>
          <w:sz w:val="21"/>
          <w:szCs w:val="21"/>
        </w:rPr>
        <w:t xml:space="preserve">Contract — to provide the membership you have signed up and paid for.</w:t>
      </w:r>
    </w:p>
    <w:p>
      <w:pPr>
        <w:pStyle w:val="ListParagraph"/>
        <w:numPr>
          <w:ilvl w:val="0"/>
          <w:numId w:val="1"/>
        </w:numPr>
        <w:spacing w:after="90" w:line="276"/>
      </w:pPr>
      <w:r>
        <w:rPr>
          <w:color w:val="322F30"/>
          <w:sz w:val="21"/>
          <w:szCs w:val="21"/>
        </w:rPr>
        <w:t xml:space="preserve">Explicit consent — for any health-adjacent or Special Category content you choose to create or save in the app (for example, journal reflections about your health or wellbeing). You give this consent through a clear, separate opt-in when you join, and you may withdraw it at any time without losing access to the parts of the app that do not depend on it.</w:t>
      </w:r>
    </w:p>
    <w:p>
      <w:pPr>
        <w:spacing w:after="140" w:line="276"/>
      </w:pPr>
      <w:r>
        <w:rPr>
          <w:color w:val="322F30"/>
          <w:sz w:val="21"/>
          <w:szCs w:val="21"/>
        </w:rPr>
        <w:t xml:space="preserve">Your app content is yours. We never share it with third parties for commercial or marketing purposes, and we never use identifiable member content to train AI tools. It is stored securely in the EU — on servers in Frankfurt, Germany (via Supabase).</w:t>
      </w:r>
    </w:p>
    <w:p>
      <w:pPr>
        <w:spacing w:after="140" w:line="276"/>
      </w:pPr>
      <w:r>
        <w:rPr>
          <w:color w:val="322F30"/>
          <w:sz w:val="21"/>
          <w:szCs w:val="21"/>
        </w:rPr>
        <w:t xml:space="preserve">AI note (aligns with Section 4 and the AI Policy): the app does not make automated decisions about you with legal or similarly significant effects; your reflections are not fed into external AI tools in identifiable form.</w:t>
      </w:r>
    </w:p>
    <w:p>
      <w:pPr>
        <w:pStyle w:val="Heading1"/>
        <w:spacing w:after="160" w:before="340"/>
      </w:pPr>
      <w:r>
        <w:rPr>
          <w:b/>
          <w:bCs/>
          <w:color w:val="2C3B38"/>
          <w:sz w:val="28"/>
          <w:szCs w:val="28"/>
        </w:rPr>
        <w:t xml:space="preserve">3B. The Wylde App — the energy economy (health data)</w:t>
      </w:r>
    </w:p>
    <w:p>
      <w:pPr>
        <w:spacing w:after="140" w:before="60"/>
      </w:pPr>
      <w:r>
        <w:rPr>
          <w:b/>
          <w:bCs/>
          <w:color w:val="625045"/>
          <w:sz w:val="17"/>
          <w:szCs w:val="17"/>
        </w:rPr>
        <w:t xml:space="preserve">NEW IN v3.1 — </w:t>
      </w:r>
      <w:r>
        <w:rPr>
          <w:i/>
          <w:iCs/>
          <w:color w:val="625045"/>
          <w:sz w:val="17"/>
          <w:szCs w:val="17"/>
        </w:rPr>
        <w:t xml:space="preserve">this entire section. It carries the most sensitive processing in the business and should be reviewed first.</w:t>
      </w:r>
    </w:p>
    <w:p>
      <w:pPr>
        <w:spacing w:after="140" w:line="276"/>
      </w:pPr>
      <w:r>
        <w:rPr>
          <w:color w:val="322F30"/>
          <w:sz w:val="21"/>
          <w:szCs w:val="21"/>
        </w:rPr>
        <w:t xml:space="preserve">The app includes an optional set of tools called the Wylde Energy Economy, for tracking, pacing and planning your energy when you are living with fatigue, illness or symptoms. Everything in it is optional. You can use the rest of the app without it, and you can stop using it at any time.</w:t>
      </w:r>
    </w:p>
    <w:p>
      <w:pPr>
        <w:spacing w:after="140" w:line="276"/>
      </w:pPr>
      <w:r>
        <w:rPr>
          <w:color w:val="322F30"/>
          <w:sz w:val="21"/>
          <w:szCs w:val="21"/>
        </w:rPr>
        <w:t xml:space="preserve">Because this is health information about you, we set out exactly what it holds.</w:t>
      </w:r>
    </w:p>
    <w:p>
      <w:pPr>
        <w:spacing w:after="140" w:line="276"/>
      </w:pPr>
      <w:r>
        <w:rPr>
          <w:b/>
          <w:bCs/>
          <w:color w:val="322F30"/>
          <w:sz w:val="21"/>
          <w:szCs w:val="21"/>
        </w:rPr>
        <w:t xml:space="preserve">What the energy economy records: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66"/>
        <w:gridCol w:w="6860"/>
      </w:tblGrid>
      <w:tr>
        <w:trPr>
          <w:tblHeader/>
        </w:trPr>
        <w:tc>
          <w:tcPr>
            <w:tcW w:type="dxa" w:w="2166"/>
            <w:shd w:fill="EDEFEA" w:color="auto" w:val="clear"/>
            <w:tcMar>
              <w:top w:type="dxa" w:w="90"/>
              <w:left w:type="dxa" w:w="120"/>
              <w:bottom w:type="dxa" w:w="90"/>
              <w:right w:type="dxa" w:w="120"/>
            </w:tcMar>
          </w:tcPr>
          <w:p>
            <w:pPr>
              <w:spacing w:after="0" w:line="264"/>
            </w:pPr>
            <w:r>
              <w:rPr>
                <w:b/>
                <w:bCs/>
                <w:color w:val="405550"/>
                <w:sz w:val="19"/>
                <w:szCs w:val="19"/>
              </w:rPr>
              <w:t xml:space="preserve">FEATURE</w:t>
            </w:r>
          </w:p>
        </w:tc>
        <w:tc>
          <w:tcPr>
            <w:tcW w:type="dxa" w:w="6860"/>
            <w:shd w:fill="EDEFEA" w:color="auto" w:val="clear"/>
            <w:tcMar>
              <w:top w:type="dxa" w:w="90"/>
              <w:left w:type="dxa" w:w="120"/>
              <w:bottom w:type="dxa" w:w="90"/>
              <w:right w:type="dxa" w:w="120"/>
            </w:tcMar>
          </w:tcPr>
          <w:p>
            <w:pPr>
              <w:spacing w:after="0" w:line="264"/>
            </w:pPr>
            <w:r>
              <w:rPr>
                <w:b/>
                <w:bCs/>
                <w:color w:val="405550"/>
                <w:sz w:val="19"/>
                <w:szCs w:val="19"/>
              </w:rPr>
              <w:t xml:space="preserve">WHAT IT HOLDS</w:t>
            </w:r>
          </w:p>
        </w:tc>
      </w:tr>
      <w:tr>
        <w:tc>
          <w:tcPr>
            <w:tcW w:type="dxa" w:w="2166"/>
            <w:tcMar>
              <w:top w:type="dxa" w:w="90"/>
              <w:left w:type="dxa" w:w="120"/>
              <w:bottom w:type="dxa" w:w="90"/>
              <w:right w:type="dxa" w:w="120"/>
            </w:tcMar>
          </w:tcPr>
          <w:p>
            <w:pPr>
              <w:spacing w:after="0" w:line="264"/>
            </w:pPr>
            <w:r>
              <w:rPr>
                <w:color w:val="322F30"/>
                <w:sz w:val="19"/>
                <w:szCs w:val="19"/>
              </w:rPr>
              <w:t xml:space="preserve">Daily log</w:t>
            </w:r>
          </w:p>
        </w:tc>
        <w:tc>
          <w:tcPr>
            <w:tcW w:type="dxa" w:w="6860"/>
            <w:tcMar>
              <w:top w:type="dxa" w:w="90"/>
              <w:left w:type="dxa" w:w="120"/>
              <w:bottom w:type="dxa" w:w="90"/>
              <w:right w:type="dxa" w:w="120"/>
            </w:tcMar>
          </w:tcPr>
          <w:p>
            <w:pPr>
              <w:spacing w:after="0" w:line="264"/>
            </w:pPr>
            <w:r>
              <w:rPr>
                <w:color w:val="322F30"/>
                <w:sz w:val="19"/>
                <w:szCs w:val="19"/>
              </w:rPr>
              <w:t xml:space="preserve">Pain and fatigue levels (0–5), symptoms you tick or name yourself, how heavily you drew on each of the five lenses, what replenished you, hydration and nourishment, whether you took your medication, whether the day was a crash (post-exertional malaise), menstrual cycle phase if you choose to log it, and any note you write</w:t>
            </w:r>
          </w:p>
        </w:tc>
      </w:tr>
      <w:tr>
        <w:tc>
          <w:tcPr>
            <w:tcW w:type="dxa" w:w="2166"/>
            <w:tcMar>
              <w:top w:type="dxa" w:w="90"/>
              <w:left w:type="dxa" w:w="120"/>
              <w:bottom w:type="dxa" w:w="90"/>
              <w:right w:type="dxa" w:w="120"/>
            </w:tcMar>
          </w:tcPr>
          <w:p>
            <w:pPr>
              <w:spacing w:after="0" w:line="264"/>
            </w:pPr>
            <w:r>
              <w:rPr>
                <w:color w:val="322F30"/>
                <w:sz w:val="19"/>
                <w:szCs w:val="19"/>
              </w:rPr>
              <w:t xml:space="preserve">Activity ledger</w:t>
            </w:r>
          </w:p>
        </w:tc>
        <w:tc>
          <w:tcPr>
            <w:tcW w:type="dxa" w:w="6860"/>
            <w:tcMar>
              <w:top w:type="dxa" w:w="90"/>
              <w:left w:type="dxa" w:w="120"/>
              <w:bottom w:type="dxa" w:w="90"/>
              <w:right w:type="dxa" w:w="120"/>
            </w:tcMar>
          </w:tcPr>
          <w:p>
            <w:pPr>
              <w:spacing w:after="0" w:line="264"/>
            </w:pPr>
            <w:r>
              <w:rPr>
                <w:color w:val="322F30"/>
                <w:sz w:val="19"/>
                <w:szCs w:val="19"/>
              </w:rPr>
              <w:t xml:space="preserve">Activities you log, how long they took, and their physical, mental and emotional cost</w:t>
            </w:r>
          </w:p>
        </w:tc>
      </w:tr>
      <w:tr>
        <w:tc>
          <w:tcPr>
            <w:tcW w:type="dxa" w:w="2166"/>
            <w:tcMar>
              <w:top w:type="dxa" w:w="90"/>
              <w:left w:type="dxa" w:w="120"/>
              <w:bottom w:type="dxa" w:w="90"/>
              <w:right w:type="dxa" w:w="120"/>
            </w:tcMar>
          </w:tcPr>
          <w:p>
            <w:pPr>
              <w:spacing w:after="0" w:line="264"/>
            </w:pPr>
            <w:r>
              <w:rPr>
                <w:color w:val="322F30"/>
                <w:sz w:val="19"/>
                <w:szCs w:val="19"/>
              </w:rPr>
              <w:t xml:space="preserve">Pace planner</w:t>
            </w:r>
          </w:p>
        </w:tc>
        <w:tc>
          <w:tcPr>
            <w:tcW w:type="dxa" w:w="6860"/>
            <w:tcMar>
              <w:top w:type="dxa" w:w="90"/>
              <w:left w:type="dxa" w:w="120"/>
              <w:bottom w:type="dxa" w:w="90"/>
              <w:right w:type="dxa" w:w="120"/>
            </w:tcMar>
          </w:tcPr>
          <w:p>
            <w:pPr>
              <w:spacing w:after="0" w:line="264"/>
            </w:pPr>
            <w:r>
              <w:rPr>
                <w:color w:val="322F30"/>
                <w:sz w:val="19"/>
                <w:szCs w:val="19"/>
              </w:rPr>
              <w:t xml:space="preserve">What you have planned, and the energy cost you expect it to carry</w:t>
            </w:r>
          </w:p>
        </w:tc>
      </w:tr>
      <w:tr>
        <w:tc>
          <w:tcPr>
            <w:tcW w:type="dxa" w:w="2166"/>
            <w:tcMar>
              <w:top w:type="dxa" w:w="90"/>
              <w:left w:type="dxa" w:w="120"/>
              <w:bottom w:type="dxa" w:w="90"/>
              <w:right w:type="dxa" w:w="120"/>
            </w:tcMar>
          </w:tcPr>
          <w:p>
            <w:pPr>
              <w:spacing w:after="0" w:line="264"/>
            </w:pPr>
            <w:r>
              <w:rPr>
                <w:color w:val="322F30"/>
                <w:sz w:val="19"/>
                <w:szCs w:val="19"/>
              </w:rPr>
              <w:t xml:space="preserve">Weekly reflection</w:t>
            </w:r>
          </w:p>
        </w:tc>
        <w:tc>
          <w:tcPr>
            <w:tcW w:type="dxa" w:w="6860"/>
            <w:tcMar>
              <w:top w:type="dxa" w:w="90"/>
              <w:left w:type="dxa" w:w="120"/>
              <w:bottom w:type="dxa" w:w="90"/>
              <w:right w:type="dxa" w:w="120"/>
            </w:tcMar>
          </w:tcPr>
          <w:p>
            <w:pPr>
              <w:spacing w:after="0" w:line="264"/>
            </w:pPr>
            <w:r>
              <w:rPr>
                <w:color w:val="322F30"/>
                <w:sz w:val="19"/>
                <w:szCs w:val="19"/>
              </w:rPr>
              <w:t xml:space="preserve">Your written answers to six questions about the week</w:t>
            </w:r>
          </w:p>
        </w:tc>
      </w:tr>
      <w:tr>
        <w:tc>
          <w:tcPr>
            <w:tcW w:type="dxa" w:w="2166"/>
            <w:tcMar>
              <w:top w:type="dxa" w:w="90"/>
              <w:left w:type="dxa" w:w="120"/>
              <w:bottom w:type="dxa" w:w="90"/>
              <w:right w:type="dxa" w:w="120"/>
            </w:tcMar>
          </w:tcPr>
          <w:p>
            <w:pPr>
              <w:spacing w:after="0" w:line="264"/>
            </w:pPr>
            <w:r>
              <w:rPr>
                <w:color w:val="322F30"/>
                <w:sz w:val="19"/>
                <w:szCs w:val="19"/>
              </w:rPr>
              <w:t xml:space="preserve">Wellness Plan</w:t>
            </w:r>
          </w:p>
        </w:tc>
        <w:tc>
          <w:tcPr>
            <w:tcW w:type="dxa" w:w="6860"/>
            <w:tcMar>
              <w:top w:type="dxa" w:w="90"/>
              <w:left w:type="dxa" w:w="120"/>
              <w:bottom w:type="dxa" w:w="90"/>
              <w:right w:type="dxa" w:w="120"/>
            </w:tcMar>
          </w:tcPr>
          <w:p>
            <w:pPr>
              <w:spacing w:after="0" w:line="264"/>
            </w:pPr>
            <w:r>
              <w:rPr>
                <w:color w:val="322F30"/>
                <w:sz w:val="19"/>
                <w:szCs w:val="19"/>
              </w:rPr>
              <w:t xml:space="preserve">Your answers to sixteen questions — including the diagnosis, condition or illness you are living with, your triggers and early warning signs, what keeps you well, and your working, caring and support arrangements</w:t>
            </w:r>
          </w:p>
        </w:tc>
      </w:tr>
    </w:tbl>
    <w:p>
      <w:pPr>
        <w:spacing w:after="160"/>
      </w:pPr>
    </w:p>
    <w:p>
      <w:pPr>
        <w:spacing w:after="140" w:line="276"/>
      </w:pPr>
      <w:r>
        <w:rPr>
          <w:color w:val="322F30"/>
          <w:sz w:val="21"/>
          <w:szCs w:val="21"/>
        </w:rPr>
        <w:t xml:space="preserve">This is Special Category Data (health data, and — where you log a cycle phase — data concerning your sex life or reproductive health) under Article 9 of the UK GDPR.</w:t>
      </w:r>
    </w:p>
    <w:p>
      <w:pPr>
        <w:spacing w:after="140" w:line="276"/>
      </w:pPr>
      <w:r>
        <w:rPr>
          <w:color w:val="322F30"/>
          <w:sz w:val="21"/>
          <w:szCs w:val="21"/>
        </w:rPr>
        <w:t xml:space="preserve">Lawful basis: Article 6(1)(a) consent and Article 9(2)(a) explicit consent. You give this through a clear, separate opt-in, and you can withdraw it at any time — withdrawing does not remove your access to the rest of the app.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What we do not collect</w:t>
            </w:r>
          </w:p>
          <w:p>
            <w:pPr>
              <w:spacing w:after="80" w:line="276"/>
            </w:pPr>
            <w:r>
              <w:rPr>
                <w:color w:val="322F30"/>
                <w:sz w:val="20"/>
                <w:szCs w:val="20"/>
              </w:rPr>
              <w:t xml:space="preserve">We deliberately do not hold medical records in the app: no appointments, prescriptions, test results, letters or correspondence with clinicians. If you keep those, keep them somewhere else. The app is not a health record and must not be relied on as one.</w:t>
            </w:r>
          </w:p>
        </w:tc>
      </w:tr>
    </w:tbl>
    <w:p>
      <w:pPr>
        <w:spacing w:after="160"/>
      </w:pPr>
    </w:p>
    <w:p>
      <w:pPr>
        <w:spacing w:after="140" w:line="276"/>
      </w:pPr>
      <w:r>
        <w:rPr>
          <w:b/>
          <w:bCs/>
          <w:color w:val="322F30"/>
          <w:sz w:val="21"/>
          <w:szCs w:val="21"/>
        </w:rPr>
        <w:t xml:space="preserve">How it is kept.</w:t>
      </w:r>
    </w:p>
    <w:p>
      <w:pPr>
        <w:spacing w:after="140" w:line="276"/>
      </w:pPr>
      <w:r>
        <w:rPr>
          <w:color w:val="322F30"/>
          <w:sz w:val="21"/>
          <w:szCs w:val="21"/>
        </w:rPr>
        <w:t xml:space="preserve">Your energy economy data is confidential to you and held securely within the app, in line with data protection law. In practice that means:</w:t>
      </w:r>
    </w:p>
    <w:p>
      <w:pPr>
        <w:pStyle w:val="ListParagraph"/>
        <w:numPr>
          <w:ilvl w:val="0"/>
          <w:numId w:val="1"/>
        </w:numPr>
        <w:spacing w:after="90" w:line="276"/>
      </w:pPr>
      <w:r>
        <w:rPr>
          <w:color w:val="322F30"/>
          <w:sz w:val="21"/>
          <w:szCs w:val="21"/>
        </w:rPr>
        <w:t xml:space="preserve">Stored in the EU — on servers in Frankfurt, Germany, encrypted in transit and at rest.</w:t>
      </w:r>
    </w:p>
    <w:p>
      <w:pPr>
        <w:pStyle w:val="ListParagraph"/>
        <w:numPr>
          <w:ilvl w:val="0"/>
          <w:numId w:val="1"/>
        </w:numPr>
        <w:spacing w:after="90" w:line="276"/>
      </w:pPr>
      <w:r>
        <w:rPr>
          <w:color w:val="322F30"/>
          <w:sz w:val="21"/>
          <w:szCs w:val="21"/>
        </w:rPr>
        <w:t xml:space="preserve">Protected by database-level access rules so that only your own account can read or write your rows — it is not visible to other members, and there is no sharing, export-to-community or social feature anywhere in the app.</w:t>
      </w:r>
    </w:p>
    <w:p>
      <w:pPr>
        <w:pStyle w:val="ListParagraph"/>
        <w:numPr>
          <w:ilvl w:val="0"/>
          <w:numId w:val="1"/>
        </w:numPr>
        <w:spacing w:after="90" w:line="276"/>
      </w:pPr>
      <w:r>
        <w:rPr>
          <w:color w:val="322F30"/>
          <w:sz w:val="21"/>
          <w:szCs w:val="21"/>
        </w:rPr>
        <w:t xml:space="preserve">Never sold, never shared with third parties for commercial or marketing purposes, and never used to train AI tools.</w:t>
      </w:r>
    </w:p>
    <w:p>
      <w:pPr>
        <w:pStyle w:val="ListParagraph"/>
        <w:numPr>
          <w:ilvl w:val="0"/>
          <w:numId w:val="1"/>
        </w:numPr>
        <w:spacing w:after="90" w:line="276"/>
      </w:pPr>
      <w:r>
        <w:rPr>
          <w:color w:val="322F30"/>
          <w:sz w:val="21"/>
          <w:szCs w:val="21"/>
        </w:rPr>
        <w:t xml:space="preserve">Deleted when you delete it, or when you close your account.</w:t>
      </w:r>
    </w:p>
    <w:p>
      <w:pPr>
        <w:spacing w:after="140" w:line="276"/>
      </w:pPr>
      <w:r>
        <w:rPr>
          <w:color w:val="322F30"/>
          <w:sz w:val="21"/>
          <w:szCs w:val="21"/>
        </w:rPr>
        <w:t xml:space="preserve">A note on what this is for. The energy economy is a self-tracking and coaching tool. It is not a medical device, it does not diagnose anything, and nothing in it is medical advice. It does not replace your GP or any clinician, and no clinical decision should be made on the strength of it.</w:t>
      </w:r>
    </w:p>
    <w:p>
      <w:pPr>
        <w:pStyle w:val="Heading1"/>
        <w:spacing w:after="160" w:before="340"/>
      </w:pPr>
      <w:r>
        <w:rPr>
          <w:b/>
          <w:bCs/>
          <w:color w:val="2C3B38"/>
          <w:sz w:val="28"/>
          <w:szCs w:val="28"/>
        </w:rPr>
        <w:t xml:space="preserve">4. Automated Decision-Making and AI</w:t>
      </w:r>
    </w:p>
    <w:p>
      <w:pPr>
        <w:spacing w:after="140" w:line="276"/>
      </w:pPr>
      <w:r>
        <w:rPr>
          <w:color w:val="322F30"/>
          <w:sz w:val="21"/>
          <w:szCs w:val="21"/>
        </w:rPr>
        <w:t xml:space="preserve">We do not make any solely automated decisions about you that have legal or similarly significant effects. All coaching decisions, recommendations and interventions are made by Emily Forbes as the qualified lead coach, not by any AI system.</w:t>
      </w:r>
    </w:p>
    <w:p>
      <w:pPr>
        <w:spacing w:after="140" w:line="276"/>
      </w:pPr>
      <w:r>
        <w:rPr>
          <w:color w:val="322F30"/>
          <w:sz w:val="21"/>
          <w:szCs w:val="21"/>
        </w:rPr>
        <w:t xml:space="preserve">We use AI tools in the following limited ways, with your knowledge:</w:t>
      </w:r>
    </w:p>
    <w:p>
      <w:pPr>
        <w:pStyle w:val="ListParagraph"/>
        <w:numPr>
          <w:ilvl w:val="0"/>
          <w:numId w:val="1"/>
        </w:numPr>
        <w:spacing w:after="90" w:line="276"/>
      </w:pPr>
      <w:r>
        <w:rPr>
          <w:color w:val="322F30"/>
          <w:sz w:val="21"/>
          <w:szCs w:val="21"/>
        </w:rPr>
        <w:t xml:space="preserve">Fathom: AI-assisted transcription and session summary generation, used only where you have given explicit consent to recording.</w:t>
      </w:r>
    </w:p>
    <w:p>
      <w:pPr>
        <w:pStyle w:val="ListParagraph"/>
        <w:numPr>
          <w:ilvl w:val="0"/>
          <w:numId w:val="1"/>
        </w:numPr>
        <w:spacing w:after="90" w:line="276"/>
      </w:pPr>
      <w:r>
        <w:rPr>
          <w:color w:val="322F30"/>
          <w:sz w:val="21"/>
          <w:szCs w:val="21"/>
        </w:rPr>
        <w:t xml:space="preserve">Claude (Anthropic): used by the coach for session preparation, framework research and practice development. Only anonymised or pseudonymised scenario information is used. No identifiable client data is entered into this tool.</w:t>
      </w:r>
    </w:p>
    <w:p>
      <w:pPr>
        <w:spacing w:after="140" w:line="276"/>
      </w:pPr>
      <w:r>
        <w:rPr>
          <w:color w:val="322F30"/>
          <w:sz w:val="21"/>
          <w:szCs w:val="21"/>
        </w:rPr>
        <w:t xml:space="preserve">The Wylde App is AI-free. It stores what you write and shows it back to you. Nothing inside it generates, infers, predicts or recommends anything about you, and no AI system reads your journal or your energy economy. If that ever changes, this notice changes first, and you will be told before any such feature reaches you.</w:t>
      </w:r>
    </w:p>
    <w:p>
      <w:pPr>
        <w:spacing w:after="140" w:before="60"/>
      </w:pPr>
      <w:r>
        <w:rPr>
          <w:b/>
          <w:bCs/>
          <w:color w:val="625045"/>
          <w:sz w:val="17"/>
          <w:szCs w:val="17"/>
        </w:rPr>
        <w:t xml:space="preserve">NEW IN v3.1 — </w:t>
      </w:r>
      <w:r>
        <w:rPr>
          <w:i/>
          <w:iCs/>
          <w:color w:val="625045"/>
          <w:sz w:val="17"/>
          <w:szCs w:val="17"/>
        </w:rPr>
        <w:t xml:space="preserve">the paragraph above, recording the app as AI-free.</w:t>
      </w:r>
    </w:p>
    <w:p>
      <w:pPr>
        <w:spacing w:after="140" w:line="276"/>
      </w:pPr>
      <w:r>
        <w:rPr>
          <w:color w:val="322F30"/>
          <w:sz w:val="21"/>
          <w:szCs w:val="21"/>
        </w:rPr>
        <w:t xml:space="preserve">Our full AI Policy, which explains our AI use in detail including risk management and data security, is available on request or at wyldewellbeing.uk. Clients are provided with the AI Policy before coaching begins.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DUAA 2025: automated decision-making</w:t>
            </w:r>
          </w:p>
          <w:p>
            <w:pPr>
              <w:spacing w:after="80" w:line="276"/>
            </w:pPr>
            <w:r>
              <w:rPr>
                <w:color w:val="322F30"/>
                <w:sz w:val="20"/>
                <w:szCs w:val="20"/>
              </w:rPr>
              <w:t xml:space="preserve">The Data (Use and Access) Act 2025, in force from 5 February 2026, updated the UK's approach to automated decision-making. As we do not undertake solely automated decision-making with significant effects, these provisions do not currently apply. We keep this under review as our use of technology evolves.</w:t>
            </w:r>
          </w:p>
        </w:tc>
      </w:tr>
    </w:tbl>
    <w:p>
      <w:pPr>
        <w:spacing w:after="160"/>
      </w:pPr>
    </w:p>
    <w:p>
      <w:pPr>
        <w:pStyle w:val="Heading1"/>
        <w:spacing w:after="160" w:before="340"/>
      </w:pPr>
      <w:r>
        <w:rPr>
          <w:b/>
          <w:bCs/>
          <w:color w:val="2C3B38"/>
          <w:sz w:val="28"/>
          <w:szCs w:val="28"/>
        </w:rPr>
        <w:t xml:space="preserve">5. How Long We Keep Your Information</w:t>
      </w:r>
    </w:p>
    <w:p>
      <w:pPr>
        <w:spacing w:after="140" w:line="276"/>
      </w:pPr>
      <w:r>
        <w:rPr>
          <w:color w:val="322F30"/>
          <w:sz w:val="21"/>
          <w:szCs w:val="21"/>
        </w:rPr>
        <w:t xml:space="preserve">This section is our data retention schedule. It sets out every category of record we hold, how long we keep it, and why.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68"/>
        <w:gridCol w:w="3068"/>
        <w:gridCol w:w="2890"/>
      </w:tblGrid>
      <w:tr>
        <w:trPr>
          <w:tblHeader/>
        </w:trPr>
        <w:tc>
          <w:tcPr>
            <w:tcW w:type="dxa" w:w="3068"/>
            <w:shd w:fill="EDEFEA" w:color="auto" w:val="clear"/>
            <w:tcMar>
              <w:top w:type="dxa" w:w="90"/>
              <w:left w:type="dxa" w:w="120"/>
              <w:bottom w:type="dxa" w:w="90"/>
              <w:right w:type="dxa" w:w="120"/>
            </w:tcMar>
          </w:tcPr>
          <w:p>
            <w:pPr>
              <w:spacing w:after="0" w:line="264"/>
            </w:pPr>
            <w:r>
              <w:rPr>
                <w:b/>
                <w:bCs/>
                <w:color w:val="405550"/>
                <w:sz w:val="19"/>
                <w:szCs w:val="19"/>
              </w:rPr>
              <w:t xml:space="preserve">DATA TYPE</w:t>
            </w:r>
          </w:p>
        </w:tc>
        <w:tc>
          <w:tcPr>
            <w:tcW w:type="dxa" w:w="3068"/>
            <w:shd w:fill="EDEFEA" w:color="auto" w:val="clear"/>
            <w:tcMar>
              <w:top w:type="dxa" w:w="90"/>
              <w:left w:type="dxa" w:w="120"/>
              <w:bottom w:type="dxa" w:w="90"/>
              <w:right w:type="dxa" w:w="120"/>
            </w:tcMar>
          </w:tcPr>
          <w:p>
            <w:pPr>
              <w:spacing w:after="0" w:line="264"/>
            </w:pPr>
            <w:r>
              <w:rPr>
                <w:b/>
                <w:bCs/>
                <w:color w:val="405550"/>
                <w:sz w:val="19"/>
                <w:szCs w:val="19"/>
              </w:rPr>
              <w:t xml:space="preserve">RETENTION PERIOD</w:t>
            </w:r>
          </w:p>
        </w:tc>
        <w:tc>
          <w:tcPr>
            <w:tcW w:type="dxa" w:w="2890"/>
            <w:shd w:fill="EDEFEA" w:color="auto" w:val="clear"/>
            <w:tcMar>
              <w:top w:type="dxa" w:w="90"/>
              <w:left w:type="dxa" w:w="120"/>
              <w:bottom w:type="dxa" w:w="90"/>
              <w:right w:type="dxa" w:w="120"/>
            </w:tcMar>
          </w:tcPr>
          <w:p>
            <w:pPr>
              <w:spacing w:after="0" w:line="264"/>
            </w:pPr>
            <w:r>
              <w:rPr>
                <w:b/>
                <w:bCs/>
                <w:color w:val="405550"/>
                <w:sz w:val="19"/>
                <w:szCs w:val="19"/>
              </w:rPr>
              <w:t xml:space="preserve">REASON</w:t>
            </w:r>
          </w:p>
        </w:tc>
      </w:tr>
      <w:tr>
        <w:tc>
          <w:tcPr>
            <w:tcW w:type="dxa" w:w="3068"/>
            <w:tcMar>
              <w:top w:type="dxa" w:w="90"/>
              <w:left w:type="dxa" w:w="120"/>
              <w:bottom w:type="dxa" w:w="90"/>
              <w:right w:type="dxa" w:w="120"/>
            </w:tcMar>
          </w:tcPr>
          <w:p>
            <w:pPr>
              <w:spacing w:after="0" w:line="264"/>
            </w:pPr>
            <w:r>
              <w:rPr>
                <w:color w:val="322F30"/>
                <w:sz w:val="19"/>
                <w:szCs w:val="19"/>
              </w:rPr>
              <w:t xml:space="preserve">Coaching session notes and records</w:t>
            </w:r>
          </w:p>
        </w:tc>
        <w:tc>
          <w:tcPr>
            <w:tcW w:type="dxa" w:w="3068"/>
            <w:tcMar>
              <w:top w:type="dxa" w:w="90"/>
              <w:left w:type="dxa" w:w="120"/>
              <w:bottom w:type="dxa" w:w="90"/>
              <w:right w:type="dxa" w:w="120"/>
            </w:tcMar>
          </w:tcPr>
          <w:p>
            <w:pPr>
              <w:spacing w:after="0" w:line="264"/>
            </w:pPr>
            <w:r>
              <w:rPr>
                <w:color w:val="322F30"/>
                <w:sz w:val="19"/>
                <w:szCs w:val="19"/>
              </w:rPr>
              <w:t xml:space="preserve">7 years after engagement ends</w:t>
            </w:r>
          </w:p>
        </w:tc>
        <w:tc>
          <w:tcPr>
            <w:tcW w:type="dxa" w:w="2890"/>
            <w:tcMar>
              <w:top w:type="dxa" w:w="90"/>
              <w:left w:type="dxa" w:w="120"/>
              <w:bottom w:type="dxa" w:w="90"/>
              <w:right w:type="dxa" w:w="120"/>
            </w:tcMar>
          </w:tcPr>
          <w:p>
            <w:pPr>
              <w:spacing w:after="0" w:line="264"/>
            </w:pPr>
            <w:r>
              <w:rPr>
                <w:color w:val="322F30"/>
                <w:sz w:val="19"/>
                <w:szCs w:val="19"/>
              </w:rPr>
              <w:t xml:space="preserve">Professional standards; consistent with the retention period stated in the Coaching Agreement</w:t>
            </w:r>
          </w:p>
        </w:tc>
      </w:tr>
      <w:tr>
        <w:tc>
          <w:tcPr>
            <w:tcW w:type="dxa" w:w="3068"/>
            <w:tcMar>
              <w:top w:type="dxa" w:w="90"/>
              <w:left w:type="dxa" w:w="120"/>
              <w:bottom w:type="dxa" w:w="90"/>
              <w:right w:type="dxa" w:w="120"/>
            </w:tcMar>
          </w:tcPr>
          <w:p>
            <w:pPr>
              <w:spacing w:after="0" w:line="264"/>
            </w:pPr>
            <w:r>
              <w:rPr>
                <w:color w:val="322F30"/>
                <w:sz w:val="19"/>
                <w:szCs w:val="19"/>
              </w:rPr>
              <w:t xml:space="preserve">Coaching contracts and agreements</w:t>
            </w:r>
          </w:p>
        </w:tc>
        <w:tc>
          <w:tcPr>
            <w:tcW w:type="dxa" w:w="3068"/>
            <w:tcMar>
              <w:top w:type="dxa" w:w="90"/>
              <w:left w:type="dxa" w:w="120"/>
              <w:bottom w:type="dxa" w:w="90"/>
              <w:right w:type="dxa" w:w="120"/>
            </w:tcMar>
          </w:tcPr>
          <w:p>
            <w:pPr>
              <w:spacing w:after="0" w:line="264"/>
            </w:pPr>
            <w:r>
              <w:rPr>
                <w:color w:val="322F30"/>
                <w:sz w:val="19"/>
                <w:szCs w:val="19"/>
              </w:rPr>
              <w:t xml:space="preserve">6 years after contract ends</w:t>
            </w:r>
          </w:p>
        </w:tc>
        <w:tc>
          <w:tcPr>
            <w:tcW w:type="dxa" w:w="2890"/>
            <w:tcMar>
              <w:top w:type="dxa" w:w="90"/>
              <w:left w:type="dxa" w:w="120"/>
              <w:bottom w:type="dxa" w:w="90"/>
              <w:right w:type="dxa" w:w="120"/>
            </w:tcMar>
          </w:tcPr>
          <w:p>
            <w:pPr>
              <w:spacing w:after="0" w:line="264"/>
            </w:pPr>
            <w:r>
              <w:rPr>
                <w:color w:val="322F30"/>
                <w:sz w:val="19"/>
                <w:szCs w:val="19"/>
              </w:rPr>
              <w:t xml:space="preserve">Legal obligation (Limitation Act 1980)</w:t>
            </w:r>
          </w:p>
        </w:tc>
      </w:tr>
      <w:tr>
        <w:tc>
          <w:tcPr>
            <w:tcW w:type="dxa" w:w="3068"/>
            <w:tcMar>
              <w:top w:type="dxa" w:w="90"/>
              <w:left w:type="dxa" w:w="120"/>
              <w:bottom w:type="dxa" w:w="90"/>
              <w:right w:type="dxa" w:w="120"/>
            </w:tcMar>
          </w:tcPr>
          <w:p>
            <w:pPr>
              <w:spacing w:after="0" w:line="264"/>
            </w:pPr>
            <w:r>
              <w:rPr>
                <w:color w:val="322F30"/>
                <w:sz w:val="19"/>
                <w:szCs w:val="19"/>
              </w:rPr>
              <w:t xml:space="preserve">Financial records and invoices</w:t>
            </w:r>
          </w:p>
        </w:tc>
        <w:tc>
          <w:tcPr>
            <w:tcW w:type="dxa" w:w="3068"/>
            <w:tcMar>
              <w:top w:type="dxa" w:w="90"/>
              <w:left w:type="dxa" w:w="120"/>
              <w:bottom w:type="dxa" w:w="90"/>
              <w:right w:type="dxa" w:w="120"/>
            </w:tcMar>
          </w:tcPr>
          <w:p>
            <w:pPr>
              <w:spacing w:after="0" w:line="264"/>
            </w:pPr>
            <w:r>
              <w:rPr>
                <w:color w:val="322F30"/>
                <w:sz w:val="19"/>
                <w:szCs w:val="19"/>
              </w:rPr>
              <w:t xml:space="preserve">6 years from end of financial year</w:t>
            </w:r>
          </w:p>
        </w:tc>
        <w:tc>
          <w:tcPr>
            <w:tcW w:type="dxa" w:w="2890"/>
            <w:tcMar>
              <w:top w:type="dxa" w:w="90"/>
              <w:left w:type="dxa" w:w="120"/>
              <w:bottom w:type="dxa" w:w="90"/>
              <w:right w:type="dxa" w:w="120"/>
            </w:tcMar>
          </w:tcPr>
          <w:p>
            <w:pPr>
              <w:spacing w:after="0" w:line="264"/>
            </w:pPr>
            <w:r>
              <w:rPr>
                <w:color w:val="322F30"/>
                <w:sz w:val="19"/>
                <w:szCs w:val="19"/>
              </w:rPr>
              <w:t xml:space="preserve">Legal obligation (HMRC)</w:t>
            </w:r>
          </w:p>
        </w:tc>
      </w:tr>
      <w:tr>
        <w:tc>
          <w:tcPr>
            <w:tcW w:type="dxa" w:w="3068"/>
            <w:tcMar>
              <w:top w:type="dxa" w:w="90"/>
              <w:left w:type="dxa" w:w="120"/>
              <w:bottom w:type="dxa" w:w="90"/>
              <w:right w:type="dxa" w:w="120"/>
            </w:tcMar>
          </w:tcPr>
          <w:p>
            <w:pPr>
              <w:spacing w:after="0" w:line="264"/>
            </w:pPr>
            <w:r>
              <w:rPr>
                <w:color w:val="322F30"/>
                <w:sz w:val="19"/>
                <w:szCs w:val="19"/>
              </w:rPr>
              <w:t xml:space="preserve">Health and Special Category Data (coaching)</w:t>
            </w:r>
          </w:p>
        </w:tc>
        <w:tc>
          <w:tcPr>
            <w:tcW w:type="dxa" w:w="3068"/>
            <w:tcMar>
              <w:top w:type="dxa" w:w="90"/>
              <w:left w:type="dxa" w:w="120"/>
              <w:bottom w:type="dxa" w:w="90"/>
              <w:right w:type="dxa" w:w="120"/>
            </w:tcMar>
          </w:tcPr>
          <w:p>
            <w:pPr>
              <w:spacing w:after="0" w:line="264"/>
            </w:pPr>
            <w:r>
              <w:rPr>
                <w:color w:val="322F30"/>
                <w:sz w:val="19"/>
                <w:szCs w:val="19"/>
              </w:rPr>
              <w:t xml:space="preserve">7 years after engagement ends, or as required by applicable law</w:t>
            </w:r>
          </w:p>
        </w:tc>
        <w:tc>
          <w:tcPr>
            <w:tcW w:type="dxa" w:w="2890"/>
            <w:tcMar>
              <w:top w:type="dxa" w:w="90"/>
              <w:left w:type="dxa" w:w="120"/>
              <w:bottom w:type="dxa" w:w="90"/>
              <w:right w:type="dxa" w:w="120"/>
            </w:tcMar>
          </w:tcPr>
          <w:p>
            <w:pPr>
              <w:spacing w:after="0" w:line="264"/>
            </w:pPr>
            <w:r>
              <w:rPr>
                <w:color w:val="322F30"/>
                <w:sz w:val="19"/>
                <w:szCs w:val="19"/>
              </w:rPr>
              <w:t xml:space="preserve">Professional standards; consistency with session records</w:t>
            </w:r>
          </w:p>
        </w:tc>
      </w:tr>
      <w:tr>
        <w:tc>
          <w:tcPr>
            <w:tcW w:type="dxa" w:w="3068"/>
            <w:tcMar>
              <w:top w:type="dxa" w:w="90"/>
              <w:left w:type="dxa" w:w="120"/>
              <w:bottom w:type="dxa" w:w="90"/>
              <w:right w:type="dxa" w:w="120"/>
            </w:tcMar>
          </w:tcPr>
          <w:p>
            <w:pPr>
              <w:spacing w:after="0" w:line="264"/>
            </w:pPr>
            <w:r>
              <w:rPr>
                <w:color w:val="322F30"/>
                <w:sz w:val="19"/>
                <w:szCs w:val="19"/>
              </w:rPr>
              <w:t xml:space="preserve">Session recordings and transcripts (Fathom)</w:t>
            </w:r>
          </w:p>
        </w:tc>
        <w:tc>
          <w:tcPr>
            <w:tcW w:type="dxa" w:w="3068"/>
            <w:tcMar>
              <w:top w:type="dxa" w:w="90"/>
              <w:left w:type="dxa" w:w="120"/>
              <w:bottom w:type="dxa" w:w="90"/>
              <w:right w:type="dxa" w:w="120"/>
            </w:tcMar>
          </w:tcPr>
          <w:p>
            <w:pPr>
              <w:spacing w:after="0" w:line="264"/>
            </w:pPr>
            <w:r>
              <w:rPr>
                <w:color w:val="322F30"/>
                <w:sz w:val="19"/>
                <w:szCs w:val="19"/>
              </w:rPr>
              <w:t xml:space="preserve">As set out in our DPA with Fathom; deletable on request</w:t>
            </w:r>
          </w:p>
        </w:tc>
        <w:tc>
          <w:tcPr>
            <w:tcW w:type="dxa" w:w="2890"/>
            <w:tcMar>
              <w:top w:type="dxa" w:w="90"/>
              <w:left w:type="dxa" w:w="120"/>
              <w:bottom w:type="dxa" w:w="90"/>
              <w:right w:type="dxa" w:w="120"/>
            </w:tcMar>
          </w:tcPr>
          <w:p>
            <w:pPr>
              <w:spacing w:after="0" w:line="264"/>
            </w:pPr>
            <w:r>
              <w:rPr>
                <w:color w:val="322F30"/>
                <w:sz w:val="19"/>
                <w:szCs w:val="19"/>
              </w:rPr>
              <w:t xml:space="preserve">Consent; contractual provision</w:t>
            </w:r>
          </w:p>
        </w:tc>
      </w:tr>
      <w:tr>
        <w:tc>
          <w:tcPr>
            <w:tcW w:type="dxa" w:w="3068"/>
            <w:tcMar>
              <w:top w:type="dxa" w:w="90"/>
              <w:left w:type="dxa" w:w="120"/>
              <w:bottom w:type="dxa" w:w="90"/>
              <w:right w:type="dxa" w:w="120"/>
            </w:tcMar>
          </w:tcPr>
          <w:p>
            <w:pPr>
              <w:spacing w:after="0" w:line="264"/>
            </w:pPr>
            <w:r>
              <w:rPr>
                <w:color w:val="322F30"/>
                <w:sz w:val="19"/>
                <w:szCs w:val="19"/>
              </w:rPr>
              <w:t xml:space="preserve">App account data</w:t>
            </w:r>
          </w:p>
        </w:tc>
        <w:tc>
          <w:tcPr>
            <w:tcW w:type="dxa" w:w="3068"/>
            <w:tcMar>
              <w:top w:type="dxa" w:w="90"/>
              <w:left w:type="dxa" w:w="120"/>
              <w:bottom w:type="dxa" w:w="90"/>
              <w:right w:type="dxa" w:w="120"/>
            </w:tcMar>
          </w:tcPr>
          <w:p>
            <w:pPr>
              <w:spacing w:after="0" w:line="264"/>
            </w:pPr>
            <w:r>
              <w:rPr>
                <w:color w:val="322F30"/>
                <w:sz w:val="19"/>
                <w:szCs w:val="19"/>
              </w:rPr>
              <w:t xml:space="preserve">For the life of your membership; deleted within 30 days of account closure (unless we must retain limited records by law)</w:t>
            </w:r>
          </w:p>
        </w:tc>
        <w:tc>
          <w:tcPr>
            <w:tcW w:type="dxa" w:w="2890"/>
            <w:tcMar>
              <w:top w:type="dxa" w:w="90"/>
              <w:left w:type="dxa" w:w="120"/>
              <w:bottom w:type="dxa" w:w="90"/>
              <w:right w:type="dxa" w:w="120"/>
            </w:tcMar>
          </w:tcPr>
          <w:p>
            <w:pPr>
              <w:spacing w:after="0" w:line="264"/>
            </w:pPr>
            <w:r>
              <w:rPr>
                <w:color w:val="322F30"/>
                <w:sz w:val="19"/>
                <w:szCs w:val="19"/>
              </w:rPr>
              <w:t xml:space="preserve">Contract; your right to erasure</w:t>
            </w:r>
          </w:p>
        </w:tc>
      </w:tr>
      <w:tr>
        <w:tc>
          <w:tcPr>
            <w:tcW w:type="dxa" w:w="3068"/>
            <w:tcMar>
              <w:top w:type="dxa" w:w="90"/>
              <w:left w:type="dxa" w:w="120"/>
              <w:bottom w:type="dxa" w:w="90"/>
              <w:right w:type="dxa" w:w="120"/>
            </w:tcMar>
          </w:tcPr>
          <w:p>
            <w:pPr>
              <w:spacing w:after="0" w:line="264"/>
            </w:pPr>
            <w:r>
              <w:rPr>
                <w:color w:val="322F30"/>
                <w:sz w:val="19"/>
                <w:szCs w:val="19"/>
              </w:rPr>
              <w:t xml:space="preserve">App member-generated content (journal, saved items, lens progress, audit responses)</w:t>
            </w:r>
          </w:p>
        </w:tc>
        <w:tc>
          <w:tcPr>
            <w:tcW w:type="dxa" w:w="3068"/>
            <w:tcMar>
              <w:top w:type="dxa" w:w="90"/>
              <w:left w:type="dxa" w:w="120"/>
              <w:bottom w:type="dxa" w:w="90"/>
              <w:right w:type="dxa" w:w="120"/>
            </w:tcMar>
          </w:tcPr>
          <w:p>
            <w:pPr>
              <w:spacing w:after="0" w:line="264"/>
            </w:pPr>
            <w:r>
              <w:rPr>
                <w:color w:val="322F30"/>
                <w:sz w:val="19"/>
                <w:szCs w:val="19"/>
              </w:rPr>
              <w:t xml:space="preserve">Until you delete it, or within 30 days of account closure or withdrawal of consent</w:t>
            </w:r>
          </w:p>
        </w:tc>
        <w:tc>
          <w:tcPr>
            <w:tcW w:type="dxa" w:w="2890"/>
            <w:tcMar>
              <w:top w:type="dxa" w:w="90"/>
              <w:left w:type="dxa" w:w="120"/>
              <w:bottom w:type="dxa" w:w="90"/>
              <w:right w:type="dxa" w:w="120"/>
            </w:tcMar>
          </w:tcPr>
          <w:p>
            <w:pPr>
              <w:spacing w:after="0" w:line="264"/>
            </w:pPr>
            <w:r>
              <w:rPr>
                <w:color w:val="322F30"/>
                <w:sz w:val="19"/>
                <w:szCs w:val="19"/>
              </w:rPr>
              <w:t xml:space="preserve">Consent; your right to erasure</w:t>
            </w:r>
          </w:p>
        </w:tc>
      </w:tr>
      <w:tr>
        <w:tc>
          <w:tcPr>
            <w:tcW w:type="dxa" w:w="3068"/>
            <w:tcMar>
              <w:top w:type="dxa" w:w="90"/>
              <w:left w:type="dxa" w:w="120"/>
              <w:bottom w:type="dxa" w:w="90"/>
              <w:right w:type="dxa" w:w="120"/>
            </w:tcMar>
          </w:tcPr>
          <w:p>
            <w:pPr>
              <w:spacing w:after="0" w:line="264"/>
            </w:pPr>
            <w:r>
              <w:rPr>
                <w:color w:val="322F30"/>
                <w:sz w:val="19"/>
                <w:szCs w:val="19"/>
              </w:rPr>
              <w:t xml:space="preserve">Energy economy health data (daily logs, activity ledger, pace planner, weekly reflections, Wellness Plan)</w:t>
            </w:r>
          </w:p>
        </w:tc>
        <w:tc>
          <w:tcPr>
            <w:tcW w:type="dxa" w:w="3068"/>
            <w:tcMar>
              <w:top w:type="dxa" w:w="90"/>
              <w:left w:type="dxa" w:w="120"/>
              <w:bottom w:type="dxa" w:w="90"/>
              <w:right w:type="dxa" w:w="120"/>
            </w:tcMar>
          </w:tcPr>
          <w:p>
            <w:pPr>
              <w:spacing w:after="0" w:line="264"/>
            </w:pPr>
            <w:r>
              <w:rPr>
                <w:color w:val="322F30"/>
                <w:sz w:val="19"/>
                <w:szCs w:val="19"/>
              </w:rPr>
              <w:t xml:space="preserve">Until you delete it, or within 30 days of account closure or withdrawal of consent</w:t>
            </w:r>
          </w:p>
        </w:tc>
        <w:tc>
          <w:tcPr>
            <w:tcW w:type="dxa" w:w="2890"/>
            <w:tcMar>
              <w:top w:type="dxa" w:w="90"/>
              <w:left w:type="dxa" w:w="120"/>
              <w:bottom w:type="dxa" w:w="90"/>
              <w:right w:type="dxa" w:w="120"/>
            </w:tcMar>
          </w:tcPr>
          <w:p>
            <w:pPr>
              <w:spacing w:after="0" w:line="264"/>
            </w:pPr>
            <w:r>
              <w:rPr>
                <w:color w:val="322F30"/>
                <w:sz w:val="19"/>
                <w:szCs w:val="19"/>
              </w:rPr>
              <w:t xml:space="preserve">Explicit consent (Art. 9(2)(a)); your right to erasure</w:t>
            </w:r>
          </w:p>
        </w:tc>
      </w:tr>
      <w:tr>
        <w:tc>
          <w:tcPr>
            <w:tcW w:type="dxa" w:w="3068"/>
            <w:tcMar>
              <w:top w:type="dxa" w:w="90"/>
              <w:left w:type="dxa" w:w="120"/>
              <w:bottom w:type="dxa" w:w="90"/>
              <w:right w:type="dxa" w:w="120"/>
            </w:tcMar>
          </w:tcPr>
          <w:p>
            <w:pPr>
              <w:spacing w:after="0" w:line="264"/>
            </w:pPr>
            <w:r>
              <w:rPr>
                <w:color w:val="322F30"/>
                <w:sz w:val="19"/>
                <w:szCs w:val="19"/>
              </w:rPr>
              <w:t xml:space="preserve">App subscription and billing records</w:t>
            </w:r>
          </w:p>
        </w:tc>
        <w:tc>
          <w:tcPr>
            <w:tcW w:type="dxa" w:w="3068"/>
            <w:tcMar>
              <w:top w:type="dxa" w:w="90"/>
              <w:left w:type="dxa" w:w="120"/>
              <w:bottom w:type="dxa" w:w="90"/>
              <w:right w:type="dxa" w:w="120"/>
            </w:tcMar>
          </w:tcPr>
          <w:p>
            <w:pPr>
              <w:spacing w:after="0" w:line="264"/>
            </w:pPr>
            <w:r>
              <w:rPr>
                <w:color w:val="322F30"/>
                <w:sz w:val="19"/>
                <w:szCs w:val="19"/>
              </w:rPr>
              <w:t xml:space="preserve">6 years from end of financial year</w:t>
            </w:r>
          </w:p>
        </w:tc>
        <w:tc>
          <w:tcPr>
            <w:tcW w:type="dxa" w:w="2890"/>
            <w:tcMar>
              <w:top w:type="dxa" w:w="90"/>
              <w:left w:type="dxa" w:w="120"/>
              <w:bottom w:type="dxa" w:w="90"/>
              <w:right w:type="dxa" w:w="120"/>
            </w:tcMar>
          </w:tcPr>
          <w:p>
            <w:pPr>
              <w:spacing w:after="0" w:line="264"/>
            </w:pPr>
            <w:r>
              <w:rPr>
                <w:color w:val="322F30"/>
                <w:sz w:val="19"/>
                <w:szCs w:val="19"/>
              </w:rPr>
              <w:t xml:space="preserve">Legal obligation (HMRC)</w:t>
            </w:r>
          </w:p>
        </w:tc>
      </w:tr>
      <w:tr>
        <w:tc>
          <w:tcPr>
            <w:tcW w:type="dxa" w:w="3068"/>
            <w:tcMar>
              <w:top w:type="dxa" w:w="90"/>
              <w:left w:type="dxa" w:w="120"/>
              <w:bottom w:type="dxa" w:w="90"/>
              <w:right w:type="dxa" w:w="120"/>
            </w:tcMar>
          </w:tcPr>
          <w:p>
            <w:pPr>
              <w:spacing w:after="0" w:line="264"/>
            </w:pPr>
            <w:r>
              <w:rPr>
                <w:color w:val="322F30"/>
                <w:sz w:val="19"/>
                <w:szCs w:val="19"/>
              </w:rPr>
              <w:t xml:space="preserve">Email and communications</w:t>
            </w:r>
          </w:p>
        </w:tc>
        <w:tc>
          <w:tcPr>
            <w:tcW w:type="dxa" w:w="3068"/>
            <w:tcMar>
              <w:top w:type="dxa" w:w="90"/>
              <w:left w:type="dxa" w:w="120"/>
              <w:bottom w:type="dxa" w:w="90"/>
              <w:right w:type="dxa" w:w="120"/>
            </w:tcMar>
          </w:tcPr>
          <w:p>
            <w:pPr>
              <w:spacing w:after="0" w:line="264"/>
            </w:pPr>
            <w:r>
              <w:rPr>
                <w:color w:val="322F30"/>
                <w:sz w:val="19"/>
                <w:szCs w:val="19"/>
              </w:rPr>
              <w:t xml:space="preserve">3 years after last contact</w:t>
            </w:r>
          </w:p>
        </w:tc>
        <w:tc>
          <w:tcPr>
            <w:tcW w:type="dxa" w:w="2890"/>
            <w:tcMar>
              <w:top w:type="dxa" w:w="90"/>
              <w:left w:type="dxa" w:w="120"/>
              <w:bottom w:type="dxa" w:w="90"/>
              <w:right w:type="dxa" w:w="120"/>
            </w:tcMar>
          </w:tcPr>
          <w:p>
            <w:pPr>
              <w:spacing w:after="0" w:line="264"/>
            </w:pPr>
            <w:r>
              <w:rPr>
                <w:color w:val="322F30"/>
                <w:sz w:val="19"/>
                <w:szCs w:val="19"/>
              </w:rPr>
              <w:t xml:space="preserve">Legitimate interests; legal obligation</w:t>
            </w:r>
          </w:p>
        </w:tc>
      </w:tr>
      <w:tr>
        <w:tc>
          <w:tcPr>
            <w:tcW w:type="dxa" w:w="3068"/>
            <w:tcMar>
              <w:top w:type="dxa" w:w="90"/>
              <w:left w:type="dxa" w:w="120"/>
              <w:bottom w:type="dxa" w:w="90"/>
              <w:right w:type="dxa" w:w="120"/>
            </w:tcMar>
          </w:tcPr>
          <w:p>
            <w:pPr>
              <w:spacing w:after="0" w:line="264"/>
            </w:pPr>
            <w:r>
              <w:rPr>
                <w:color w:val="322F30"/>
                <w:sz w:val="19"/>
                <w:szCs w:val="19"/>
              </w:rPr>
              <w:t xml:space="preserve">Marketing consent records</w:t>
            </w:r>
          </w:p>
        </w:tc>
        <w:tc>
          <w:tcPr>
            <w:tcW w:type="dxa" w:w="3068"/>
            <w:tcMar>
              <w:top w:type="dxa" w:w="90"/>
              <w:left w:type="dxa" w:w="120"/>
              <w:bottom w:type="dxa" w:w="90"/>
              <w:right w:type="dxa" w:w="120"/>
            </w:tcMar>
          </w:tcPr>
          <w:p>
            <w:pPr>
              <w:spacing w:after="0" w:line="264"/>
            </w:pPr>
            <w:r>
              <w:rPr>
                <w:color w:val="322F30"/>
                <w:sz w:val="19"/>
                <w:szCs w:val="19"/>
              </w:rPr>
              <w:t xml:space="preserve">Until consent is withdrawn, then 1 year</w:t>
            </w:r>
          </w:p>
        </w:tc>
        <w:tc>
          <w:tcPr>
            <w:tcW w:type="dxa" w:w="2890"/>
            <w:tcMar>
              <w:top w:type="dxa" w:w="90"/>
              <w:left w:type="dxa" w:w="120"/>
              <w:bottom w:type="dxa" w:w="90"/>
              <w:right w:type="dxa" w:w="120"/>
            </w:tcMar>
          </w:tcPr>
          <w:p>
            <w:pPr>
              <w:spacing w:after="0" w:line="264"/>
            </w:pPr>
            <w:r>
              <w:rPr>
                <w:color w:val="322F30"/>
                <w:sz w:val="19"/>
                <w:szCs w:val="19"/>
              </w:rPr>
              <w:t xml:space="preserve">Legal obligation (PECR)</w:t>
            </w:r>
          </w:p>
        </w:tc>
      </w:tr>
      <w:tr>
        <w:tc>
          <w:tcPr>
            <w:tcW w:type="dxa" w:w="3068"/>
            <w:tcMar>
              <w:top w:type="dxa" w:w="90"/>
              <w:left w:type="dxa" w:w="120"/>
              <w:bottom w:type="dxa" w:w="90"/>
              <w:right w:type="dxa" w:w="120"/>
            </w:tcMar>
          </w:tcPr>
          <w:p>
            <w:pPr>
              <w:spacing w:after="0" w:line="264"/>
            </w:pPr>
            <w:r>
              <w:rPr>
                <w:color w:val="322F30"/>
                <w:sz w:val="19"/>
                <w:szCs w:val="19"/>
              </w:rPr>
              <w:t xml:space="preserve">Website analytics data</w:t>
            </w:r>
          </w:p>
        </w:tc>
        <w:tc>
          <w:tcPr>
            <w:tcW w:type="dxa" w:w="3068"/>
            <w:tcMar>
              <w:top w:type="dxa" w:w="90"/>
              <w:left w:type="dxa" w:w="120"/>
              <w:bottom w:type="dxa" w:w="90"/>
              <w:right w:type="dxa" w:w="120"/>
            </w:tcMar>
          </w:tcPr>
          <w:p>
            <w:pPr>
              <w:spacing w:after="0" w:line="264"/>
            </w:pPr>
            <w:r>
              <w:rPr>
                <w:color w:val="322F30"/>
                <w:sz w:val="19"/>
                <w:szCs w:val="19"/>
              </w:rPr>
              <w:t xml:space="preserve">26 months from collection</w:t>
            </w:r>
          </w:p>
        </w:tc>
        <w:tc>
          <w:tcPr>
            <w:tcW w:type="dxa" w:w="2890"/>
            <w:tcMar>
              <w:top w:type="dxa" w:w="90"/>
              <w:left w:type="dxa" w:w="120"/>
              <w:bottom w:type="dxa" w:w="90"/>
              <w:right w:type="dxa" w:w="120"/>
            </w:tcMar>
          </w:tcPr>
          <w:p>
            <w:pPr>
              <w:spacing w:after="0" w:line="264"/>
            </w:pPr>
            <w:r>
              <w:rPr>
                <w:color w:val="322F30"/>
                <w:sz w:val="19"/>
                <w:szCs w:val="19"/>
              </w:rPr>
              <w:t xml:space="preserve">Legitimate interests</w:t>
            </w:r>
          </w:p>
        </w:tc>
      </w:tr>
      <w:tr>
        <w:tc>
          <w:tcPr>
            <w:tcW w:type="dxa" w:w="3068"/>
            <w:tcMar>
              <w:top w:type="dxa" w:w="90"/>
              <w:left w:type="dxa" w:w="120"/>
              <w:bottom w:type="dxa" w:w="90"/>
              <w:right w:type="dxa" w:w="120"/>
            </w:tcMar>
          </w:tcPr>
          <w:p>
            <w:pPr>
              <w:spacing w:after="0" w:line="264"/>
            </w:pPr>
            <w:r>
              <w:rPr>
                <w:color w:val="322F30"/>
                <w:sz w:val="19"/>
                <w:szCs w:val="19"/>
              </w:rPr>
              <w:t xml:space="preserve">Complaints and safeguarding records</w:t>
            </w:r>
          </w:p>
        </w:tc>
        <w:tc>
          <w:tcPr>
            <w:tcW w:type="dxa" w:w="3068"/>
            <w:tcMar>
              <w:top w:type="dxa" w:w="90"/>
              <w:left w:type="dxa" w:w="120"/>
              <w:bottom w:type="dxa" w:w="90"/>
              <w:right w:type="dxa" w:w="120"/>
            </w:tcMar>
          </w:tcPr>
          <w:p>
            <w:pPr>
              <w:spacing w:after="0" w:line="264"/>
            </w:pPr>
            <w:r>
              <w:rPr>
                <w:color w:val="322F30"/>
                <w:sz w:val="19"/>
                <w:szCs w:val="19"/>
              </w:rPr>
              <w:t xml:space="preserve">7 years after case closure</w:t>
            </w:r>
          </w:p>
        </w:tc>
        <w:tc>
          <w:tcPr>
            <w:tcW w:type="dxa" w:w="2890"/>
            <w:tcMar>
              <w:top w:type="dxa" w:w="90"/>
              <w:left w:type="dxa" w:w="120"/>
              <w:bottom w:type="dxa" w:w="90"/>
              <w:right w:type="dxa" w:w="120"/>
            </w:tcMar>
          </w:tcPr>
          <w:p>
            <w:pPr>
              <w:spacing w:after="0" w:line="264"/>
            </w:pPr>
            <w:r>
              <w:rPr>
                <w:color w:val="322F30"/>
                <w:sz w:val="19"/>
                <w:szCs w:val="19"/>
              </w:rPr>
              <w:t xml:space="preserve">Legal obligation; professional standards</w:t>
            </w:r>
          </w:p>
        </w:tc>
      </w:tr>
      <w:tr>
        <w:tc>
          <w:tcPr>
            <w:tcW w:type="dxa" w:w="3068"/>
            <w:tcMar>
              <w:top w:type="dxa" w:w="90"/>
              <w:left w:type="dxa" w:w="120"/>
              <w:bottom w:type="dxa" w:w="90"/>
              <w:right w:type="dxa" w:w="120"/>
            </w:tcMar>
          </w:tcPr>
          <w:p>
            <w:pPr>
              <w:spacing w:after="0" w:line="264"/>
            </w:pPr>
            <w:r>
              <w:rPr>
                <w:color w:val="322F30"/>
                <w:sz w:val="19"/>
                <w:szCs w:val="19"/>
              </w:rPr>
              <w:t xml:space="preserve">Business insurance documents</w:t>
            </w:r>
          </w:p>
        </w:tc>
        <w:tc>
          <w:tcPr>
            <w:tcW w:type="dxa" w:w="3068"/>
            <w:tcMar>
              <w:top w:type="dxa" w:w="90"/>
              <w:left w:type="dxa" w:w="120"/>
              <w:bottom w:type="dxa" w:w="90"/>
              <w:right w:type="dxa" w:w="120"/>
            </w:tcMar>
          </w:tcPr>
          <w:p>
            <w:pPr>
              <w:spacing w:after="0" w:line="264"/>
            </w:pPr>
            <w:r>
              <w:rPr>
                <w:color w:val="322F30"/>
                <w:sz w:val="19"/>
                <w:szCs w:val="19"/>
              </w:rPr>
              <w:t xml:space="preserve">7 years after policy ends</w:t>
            </w:r>
          </w:p>
        </w:tc>
        <w:tc>
          <w:tcPr>
            <w:tcW w:type="dxa" w:w="2890"/>
            <w:tcMar>
              <w:top w:type="dxa" w:w="90"/>
              <w:left w:type="dxa" w:w="120"/>
              <w:bottom w:type="dxa" w:w="90"/>
              <w:right w:type="dxa" w:w="120"/>
            </w:tcMar>
          </w:tcPr>
          <w:p>
            <w:pPr>
              <w:spacing w:after="0" w:line="264"/>
            </w:pPr>
            <w:r>
              <w:rPr>
                <w:color w:val="322F30"/>
                <w:sz w:val="19"/>
                <w:szCs w:val="19"/>
              </w:rPr>
              <w:t xml:space="preserve">Legal obligation</w:t>
            </w:r>
          </w:p>
        </w:tc>
      </w:tr>
      <w:tr>
        <w:tc>
          <w:tcPr>
            <w:tcW w:type="dxa" w:w="3068"/>
            <w:tcMar>
              <w:top w:type="dxa" w:w="90"/>
              <w:left w:type="dxa" w:w="120"/>
              <w:bottom w:type="dxa" w:w="90"/>
              <w:right w:type="dxa" w:w="120"/>
            </w:tcMar>
          </w:tcPr>
          <w:p>
            <w:pPr>
              <w:spacing w:after="0" w:line="264"/>
            </w:pPr>
            <w:r>
              <w:rPr>
                <w:color w:val="322F30"/>
                <w:sz w:val="19"/>
                <w:szCs w:val="19"/>
              </w:rPr>
              <w:t xml:space="preserve">HR, placement and payroll records</w:t>
            </w:r>
          </w:p>
        </w:tc>
        <w:tc>
          <w:tcPr>
            <w:tcW w:type="dxa" w:w="3068"/>
            <w:tcMar>
              <w:top w:type="dxa" w:w="90"/>
              <w:left w:type="dxa" w:w="120"/>
              <w:bottom w:type="dxa" w:w="90"/>
              <w:right w:type="dxa" w:w="120"/>
            </w:tcMar>
          </w:tcPr>
          <w:p>
            <w:pPr>
              <w:spacing w:after="0" w:line="264"/>
            </w:pPr>
            <w:r>
              <w:rPr>
                <w:color w:val="322F30"/>
                <w:sz w:val="19"/>
                <w:szCs w:val="19"/>
              </w:rPr>
              <w:t xml:space="preserve">6 years after the working relationship ends</w:t>
            </w:r>
          </w:p>
        </w:tc>
        <w:tc>
          <w:tcPr>
            <w:tcW w:type="dxa" w:w="2890"/>
            <w:tcMar>
              <w:top w:type="dxa" w:w="90"/>
              <w:left w:type="dxa" w:w="120"/>
              <w:bottom w:type="dxa" w:w="90"/>
              <w:right w:type="dxa" w:w="120"/>
            </w:tcMar>
          </w:tcPr>
          <w:p>
            <w:pPr>
              <w:spacing w:after="0" w:line="264"/>
            </w:pPr>
            <w:r>
              <w:rPr>
                <w:color w:val="322F30"/>
                <w:sz w:val="19"/>
                <w:szCs w:val="19"/>
              </w:rPr>
              <w:t xml:space="preserve">Legal obligation; HMRC</w:t>
            </w:r>
          </w:p>
        </w:tc>
      </w:tr>
      <w:tr>
        <w:tc>
          <w:tcPr>
            <w:tcW w:type="dxa" w:w="3068"/>
            <w:tcMar>
              <w:top w:type="dxa" w:w="90"/>
              <w:left w:type="dxa" w:w="120"/>
              <w:bottom w:type="dxa" w:w="90"/>
              <w:right w:type="dxa" w:w="120"/>
            </w:tcMar>
          </w:tcPr>
          <w:p>
            <w:pPr>
              <w:spacing w:after="0" w:line="264"/>
            </w:pPr>
            <w:r>
              <w:rPr>
                <w:color w:val="322F30"/>
                <w:sz w:val="19"/>
                <w:szCs w:val="19"/>
              </w:rPr>
              <w:t xml:space="preserve">Health and safety records</w:t>
            </w:r>
          </w:p>
        </w:tc>
        <w:tc>
          <w:tcPr>
            <w:tcW w:type="dxa" w:w="3068"/>
            <w:tcMar>
              <w:top w:type="dxa" w:w="90"/>
              <w:left w:type="dxa" w:w="120"/>
              <w:bottom w:type="dxa" w:w="90"/>
              <w:right w:type="dxa" w:w="120"/>
            </w:tcMar>
          </w:tcPr>
          <w:p>
            <w:pPr>
              <w:spacing w:after="0" w:line="264"/>
            </w:pPr>
            <w:r>
              <w:rPr>
                <w:color w:val="322F30"/>
                <w:sz w:val="19"/>
                <w:szCs w:val="19"/>
              </w:rPr>
              <w:t xml:space="preserve">3 years from the date of the record</w:t>
            </w:r>
          </w:p>
        </w:tc>
        <w:tc>
          <w:tcPr>
            <w:tcW w:type="dxa" w:w="2890"/>
            <w:tcMar>
              <w:top w:type="dxa" w:w="90"/>
              <w:left w:type="dxa" w:w="120"/>
              <w:bottom w:type="dxa" w:w="90"/>
              <w:right w:type="dxa" w:w="120"/>
            </w:tcMar>
          </w:tcPr>
          <w:p>
            <w:pPr>
              <w:spacing w:after="0" w:line="264"/>
            </w:pPr>
            <w:r>
              <w:rPr>
                <w:color w:val="322F30"/>
                <w:sz w:val="19"/>
                <w:szCs w:val="19"/>
              </w:rPr>
              <w:t xml:space="preserve">Legal obligation (RIDDOR and associated regulations)</w:t>
            </w:r>
          </w:p>
        </w:tc>
      </w:tr>
      <w:tr>
        <w:tc>
          <w:tcPr>
            <w:tcW w:type="dxa" w:w="3068"/>
            <w:tcMar>
              <w:top w:type="dxa" w:w="90"/>
              <w:left w:type="dxa" w:w="120"/>
              <w:bottom w:type="dxa" w:w="90"/>
              <w:right w:type="dxa" w:w="120"/>
            </w:tcMar>
          </w:tcPr>
          <w:p>
            <w:pPr>
              <w:spacing w:after="0" w:line="264"/>
            </w:pPr>
            <w:r>
              <w:rPr>
                <w:color w:val="322F30"/>
                <w:sz w:val="19"/>
                <w:szCs w:val="19"/>
              </w:rPr>
              <w:t xml:space="preserve">Health and safety records — serious incidents and hazardous substances</w:t>
            </w:r>
          </w:p>
        </w:tc>
        <w:tc>
          <w:tcPr>
            <w:tcW w:type="dxa" w:w="3068"/>
            <w:tcMar>
              <w:top w:type="dxa" w:w="90"/>
              <w:left w:type="dxa" w:w="120"/>
              <w:bottom w:type="dxa" w:w="90"/>
              <w:right w:type="dxa" w:w="120"/>
            </w:tcMar>
          </w:tcPr>
          <w:p>
            <w:pPr>
              <w:spacing w:after="0" w:line="264"/>
            </w:pPr>
            <w:r>
              <w:rPr>
                <w:color w:val="322F30"/>
                <w:sz w:val="19"/>
                <w:szCs w:val="19"/>
              </w:rPr>
              <w:t xml:space="preserve">40 years</w:t>
            </w:r>
          </w:p>
        </w:tc>
        <w:tc>
          <w:tcPr>
            <w:tcW w:type="dxa" w:w="2890"/>
            <w:tcMar>
              <w:top w:type="dxa" w:w="90"/>
              <w:left w:type="dxa" w:w="120"/>
              <w:bottom w:type="dxa" w:w="90"/>
              <w:right w:type="dxa" w:w="120"/>
            </w:tcMar>
          </w:tcPr>
          <w:p>
            <w:pPr>
              <w:spacing w:after="0" w:line="264"/>
            </w:pPr>
            <w:r>
              <w:rPr>
                <w:color w:val="322F30"/>
                <w:sz w:val="19"/>
                <w:szCs w:val="19"/>
              </w:rPr>
              <w:t xml:space="preserve">Legal obligation (COSHH and associated regulations)</w:t>
            </w:r>
          </w:p>
        </w:tc>
      </w:tr>
    </w:tbl>
    <w:p>
      <w:pPr>
        <w:spacing w:after="140" w:before="60"/>
      </w:pPr>
      <w:r>
        <w:rPr>
          <w:b/>
          <w:bCs/>
          <w:color w:val="625045"/>
          <w:sz w:val="17"/>
          <w:szCs w:val="17"/>
        </w:rPr>
        <w:t xml:space="preserve">NEW IN v3.1 — </w:t>
      </w:r>
      <w:r>
        <w:rPr>
          <w:i/>
          <w:iCs/>
          <w:color w:val="625045"/>
          <w:sz w:val="17"/>
          <w:szCs w:val="17"/>
        </w:rPr>
        <w:t xml:space="preserve">the four app rows.</w:t>
      </w:r>
    </w:p>
    <w:p>
      <w:pPr>
        <w:spacing w:after="140" w:line="276"/>
      </w:pPr>
      <w:r>
        <w:rPr>
          <w:i/>
          <w:iCs/>
          <w:color w:val="322F30"/>
          <w:sz w:val="21"/>
          <w:szCs w:val="21"/>
        </w:rPr>
        <w:t xml:space="preserve">Note the distinction: app member-generated content is deletable on request and on account closure — it is not held for the 7-year coaching-records period, which applies to formal 1:1 coaching engagements.</w:t>
      </w:r>
    </w:p>
    <w:p>
      <w:pPr>
        <w:spacing w:after="140" w:line="276"/>
      </w:pPr>
      <w:r>
        <w:rPr>
          <w:color w:val="322F30"/>
          <w:sz w:val="21"/>
          <w:szCs w:val="21"/>
        </w:rPr>
        <w:t xml:space="preserve">When data is no longer required, it is securely deleted or anonymised. Anonymised data may be retained for longer for practice development or statistical purposes, but can no longer identify you.</w:t>
      </w:r>
    </w:p>
    <w:p>
      <w:pPr>
        <w:pStyle w:val="Heading1"/>
        <w:spacing w:after="160" w:before="340"/>
      </w:pPr>
      <w:r>
        <w:rPr>
          <w:b/>
          <w:bCs/>
          <w:color w:val="2C3B38"/>
          <w:sz w:val="28"/>
          <w:szCs w:val="28"/>
        </w:rPr>
        <w:t xml:space="preserve">6. Who We Share Your Information With</w:t>
      </w:r>
    </w:p>
    <w:p>
      <w:pPr>
        <w:pStyle w:val="Heading2"/>
        <w:spacing w:after="120" w:before="240"/>
      </w:pPr>
      <w:r>
        <w:rPr>
          <w:b/>
          <w:bCs/>
          <w:color w:val="405550"/>
          <w:sz w:val="23"/>
          <w:szCs w:val="23"/>
        </w:rPr>
        <w:t xml:space="preserve">6.1 Data processors</w:t>
      </w:r>
    </w:p>
    <w:p>
      <w:pPr>
        <w:spacing w:after="140" w:line="276"/>
      </w:pPr>
      <w:r>
        <w:rPr>
          <w:color w:val="322F30"/>
          <w:sz w:val="21"/>
          <w:szCs w:val="21"/>
        </w:rPr>
        <w:t xml:space="preserve">A data processor is an organisation that processes personal data on our behalf and under our instruction. We only use data processors that can demonstrate UK GDPR compliance. We have written contracts in place with each.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44"/>
        <w:gridCol w:w="3068"/>
        <w:gridCol w:w="1624"/>
        <w:gridCol w:w="2890"/>
      </w:tblGrid>
      <w:tr>
        <w:trPr>
          <w:tblHeader/>
        </w:trPr>
        <w:tc>
          <w:tcPr>
            <w:tcW w:type="dxa" w:w="1444"/>
            <w:shd w:fill="EDEFEA" w:color="auto" w:val="clear"/>
            <w:tcMar>
              <w:top w:type="dxa" w:w="90"/>
              <w:left w:type="dxa" w:w="120"/>
              <w:bottom w:type="dxa" w:w="90"/>
              <w:right w:type="dxa" w:w="120"/>
            </w:tcMar>
          </w:tcPr>
          <w:p>
            <w:pPr>
              <w:spacing w:after="0" w:line="264"/>
            </w:pPr>
            <w:r>
              <w:rPr>
                <w:b/>
                <w:bCs/>
                <w:color w:val="405550"/>
                <w:sz w:val="19"/>
                <w:szCs w:val="19"/>
              </w:rPr>
              <w:t xml:space="preserve">PROCESSOR</w:t>
            </w:r>
          </w:p>
        </w:tc>
        <w:tc>
          <w:tcPr>
            <w:tcW w:type="dxa" w:w="3068"/>
            <w:shd w:fill="EDEFEA" w:color="auto" w:val="clear"/>
            <w:tcMar>
              <w:top w:type="dxa" w:w="90"/>
              <w:left w:type="dxa" w:w="120"/>
              <w:bottom w:type="dxa" w:w="90"/>
              <w:right w:type="dxa" w:w="120"/>
            </w:tcMar>
          </w:tcPr>
          <w:p>
            <w:pPr>
              <w:spacing w:after="0" w:line="264"/>
            </w:pPr>
            <w:r>
              <w:rPr>
                <w:b/>
                <w:bCs/>
                <w:color w:val="405550"/>
                <w:sz w:val="19"/>
                <w:szCs w:val="19"/>
              </w:rPr>
              <w:t xml:space="preserve">WHAT THEY DO</w:t>
            </w:r>
          </w:p>
        </w:tc>
        <w:tc>
          <w:tcPr>
            <w:tcW w:type="dxa" w:w="1624"/>
            <w:shd w:fill="EDEFEA" w:color="auto" w:val="clear"/>
            <w:tcMar>
              <w:top w:type="dxa" w:w="90"/>
              <w:left w:type="dxa" w:w="120"/>
              <w:bottom w:type="dxa" w:w="90"/>
              <w:right w:type="dxa" w:w="120"/>
            </w:tcMar>
          </w:tcPr>
          <w:p>
            <w:pPr>
              <w:spacing w:after="0" w:line="264"/>
            </w:pPr>
            <w:r>
              <w:rPr>
                <w:b/>
                <w:bCs/>
                <w:color w:val="405550"/>
                <w:sz w:val="19"/>
                <w:szCs w:val="19"/>
              </w:rPr>
              <w:t xml:space="preserve">DATA LOCATION</w:t>
            </w:r>
          </w:p>
        </w:tc>
        <w:tc>
          <w:tcPr>
            <w:tcW w:type="dxa" w:w="2890"/>
            <w:shd w:fill="EDEFEA" w:color="auto" w:val="clear"/>
            <w:tcMar>
              <w:top w:type="dxa" w:w="90"/>
              <w:left w:type="dxa" w:w="120"/>
              <w:bottom w:type="dxa" w:w="90"/>
              <w:right w:type="dxa" w:w="120"/>
            </w:tcMar>
          </w:tcPr>
          <w:p>
            <w:pPr>
              <w:spacing w:after="0" w:line="264"/>
            </w:pPr>
            <w:r>
              <w:rPr>
                <w:b/>
                <w:bCs/>
                <w:color w:val="405550"/>
                <w:sz w:val="19"/>
                <w:szCs w:val="19"/>
              </w:rPr>
              <w:t xml:space="preserve">SAFEGUARD</w:t>
            </w:r>
          </w:p>
        </w:tc>
      </w:tr>
      <w:tr>
        <w:tc>
          <w:tcPr>
            <w:tcW w:type="dxa" w:w="1444"/>
            <w:tcMar>
              <w:top w:type="dxa" w:w="90"/>
              <w:left w:type="dxa" w:w="120"/>
              <w:bottom w:type="dxa" w:w="90"/>
              <w:right w:type="dxa" w:w="120"/>
            </w:tcMar>
          </w:tcPr>
          <w:p>
            <w:pPr>
              <w:spacing w:after="0" w:line="264"/>
            </w:pPr>
            <w:r>
              <w:rPr>
                <w:color w:val="322F30"/>
                <w:sz w:val="19"/>
                <w:szCs w:val="19"/>
              </w:rPr>
              <w:t xml:space="preserve">FEA Create</w:t>
            </w:r>
          </w:p>
        </w:tc>
        <w:tc>
          <w:tcPr>
            <w:tcW w:type="dxa" w:w="3068"/>
            <w:tcMar>
              <w:top w:type="dxa" w:w="90"/>
              <w:left w:type="dxa" w:w="120"/>
              <w:bottom w:type="dxa" w:w="90"/>
              <w:right w:type="dxa" w:w="120"/>
            </w:tcMar>
          </w:tcPr>
          <w:p>
            <w:pPr>
              <w:spacing w:after="0" w:line="264"/>
            </w:pPr>
            <w:r>
              <w:rPr>
                <w:color w:val="322F30"/>
                <w:sz w:val="19"/>
                <w:szCs w:val="19"/>
              </w:rPr>
              <w:t xml:space="preserve">Scheduling, client data storage, contracts, invoicing, client portal; receives app members as tagged contacts for onboarding email</w:t>
            </w:r>
          </w:p>
        </w:tc>
        <w:tc>
          <w:tcPr>
            <w:tcW w:type="dxa" w:w="1624"/>
            <w:tcMar>
              <w:top w:type="dxa" w:w="90"/>
              <w:left w:type="dxa" w:w="120"/>
              <w:bottom w:type="dxa" w:w="90"/>
              <w:right w:type="dxa" w:w="120"/>
            </w:tcMar>
          </w:tcPr>
          <w:p>
            <w:pPr>
              <w:spacing w:after="0" w:line="264"/>
            </w:pPr>
            <w:r>
              <w:rPr>
                <w:color w:val="322F30"/>
                <w:sz w:val="19"/>
                <w:szCs w:val="19"/>
              </w:rPr>
              <w:t xml:space="preserve">UK / EEA</w:t>
            </w:r>
          </w:p>
        </w:tc>
        <w:tc>
          <w:tcPr>
            <w:tcW w:type="dxa" w:w="2890"/>
            <w:tcMar>
              <w:top w:type="dxa" w:w="90"/>
              <w:left w:type="dxa" w:w="120"/>
              <w:bottom w:type="dxa" w:w="90"/>
              <w:right w:type="dxa" w:w="120"/>
            </w:tcMar>
          </w:tcPr>
          <w:p>
            <w:pPr>
              <w:spacing w:after="0" w:line="264"/>
            </w:pPr>
            <w:r>
              <w:rPr>
                <w:color w:val="322F30"/>
                <w:sz w:val="19"/>
                <w:szCs w:val="19"/>
              </w:rPr>
              <w:t xml:space="preserve">GDPR-compliant contracts. Nothing you write in the app is sent to FEA</w:t>
            </w:r>
          </w:p>
        </w:tc>
      </w:tr>
      <w:tr>
        <w:tc>
          <w:tcPr>
            <w:tcW w:type="dxa" w:w="1444"/>
            <w:tcMar>
              <w:top w:type="dxa" w:w="90"/>
              <w:left w:type="dxa" w:w="120"/>
              <w:bottom w:type="dxa" w:w="90"/>
              <w:right w:type="dxa" w:w="120"/>
            </w:tcMar>
          </w:tcPr>
          <w:p>
            <w:pPr>
              <w:spacing w:after="0" w:line="264"/>
            </w:pPr>
            <w:r>
              <w:rPr>
                <w:color w:val="322F30"/>
                <w:sz w:val="19"/>
                <w:szCs w:val="19"/>
              </w:rPr>
              <w:t xml:space="preserve">Fathom Video Inc.</w:t>
            </w:r>
          </w:p>
        </w:tc>
        <w:tc>
          <w:tcPr>
            <w:tcW w:type="dxa" w:w="3068"/>
            <w:tcMar>
              <w:top w:type="dxa" w:w="90"/>
              <w:left w:type="dxa" w:w="120"/>
              <w:bottom w:type="dxa" w:w="90"/>
              <w:right w:type="dxa" w:w="120"/>
            </w:tcMar>
          </w:tcPr>
          <w:p>
            <w:pPr>
              <w:spacing w:after="0" w:line="264"/>
            </w:pPr>
            <w:r>
              <w:rPr>
                <w:color w:val="322F30"/>
                <w:sz w:val="19"/>
                <w:szCs w:val="19"/>
              </w:rPr>
              <w:t xml:space="preserve">Session recording, transcription, AI-generated summaries (with consent only)</w:t>
            </w:r>
          </w:p>
        </w:tc>
        <w:tc>
          <w:tcPr>
            <w:tcW w:type="dxa" w:w="1624"/>
            <w:tcMar>
              <w:top w:type="dxa" w:w="90"/>
              <w:left w:type="dxa" w:w="120"/>
              <w:bottom w:type="dxa" w:w="90"/>
              <w:right w:type="dxa" w:w="120"/>
            </w:tcMar>
          </w:tcPr>
          <w:p>
            <w:pPr>
              <w:spacing w:after="0" w:line="264"/>
            </w:pPr>
            <w:r>
              <w:rPr>
                <w:color w:val="322F30"/>
                <w:sz w:val="19"/>
                <w:szCs w:val="19"/>
              </w:rPr>
              <w:t xml:space="preserve">USA</w:t>
            </w:r>
          </w:p>
        </w:tc>
        <w:tc>
          <w:tcPr>
            <w:tcW w:type="dxa" w:w="2890"/>
            <w:tcMar>
              <w:top w:type="dxa" w:w="90"/>
              <w:left w:type="dxa" w:w="120"/>
              <w:bottom w:type="dxa" w:w="90"/>
              <w:right w:type="dxa" w:w="120"/>
            </w:tcMar>
          </w:tcPr>
          <w:p>
            <w:pPr>
              <w:spacing w:after="0" w:line="264"/>
            </w:pPr>
            <w:r>
              <w:rPr>
                <w:color w:val="322F30"/>
                <w:sz w:val="19"/>
                <w:szCs w:val="19"/>
              </w:rPr>
              <w:t xml:space="preserve">DPA signed April 2026; UK Addendum (ICO); EEA SCCs; SOC 2 Type II certified; end-to-end encryption</w:t>
            </w:r>
          </w:p>
        </w:tc>
      </w:tr>
      <w:tr>
        <w:tc>
          <w:tcPr>
            <w:tcW w:type="dxa" w:w="1444"/>
            <w:tcMar>
              <w:top w:type="dxa" w:w="90"/>
              <w:left w:type="dxa" w:w="120"/>
              <w:bottom w:type="dxa" w:w="90"/>
              <w:right w:type="dxa" w:w="120"/>
            </w:tcMar>
          </w:tcPr>
          <w:p>
            <w:pPr>
              <w:spacing w:after="0" w:line="264"/>
            </w:pPr>
            <w:r>
              <w:rPr>
                <w:color w:val="322F30"/>
                <w:sz w:val="19"/>
                <w:szCs w:val="19"/>
              </w:rPr>
              <w:t xml:space="preserve">Zoom</w:t>
            </w:r>
          </w:p>
        </w:tc>
        <w:tc>
          <w:tcPr>
            <w:tcW w:type="dxa" w:w="3068"/>
            <w:tcMar>
              <w:top w:type="dxa" w:w="90"/>
              <w:left w:type="dxa" w:w="120"/>
              <w:bottom w:type="dxa" w:w="90"/>
              <w:right w:type="dxa" w:w="120"/>
            </w:tcMar>
          </w:tcPr>
          <w:p>
            <w:pPr>
              <w:spacing w:after="0" w:line="264"/>
            </w:pPr>
            <w:r>
              <w:rPr>
                <w:color w:val="322F30"/>
                <w:sz w:val="19"/>
                <w:szCs w:val="19"/>
              </w:rPr>
              <w:t xml:space="preserve">Video conferencing for sessions</w:t>
            </w:r>
          </w:p>
        </w:tc>
        <w:tc>
          <w:tcPr>
            <w:tcW w:type="dxa" w:w="1624"/>
            <w:tcMar>
              <w:top w:type="dxa" w:w="90"/>
              <w:left w:type="dxa" w:w="120"/>
              <w:bottom w:type="dxa" w:w="90"/>
              <w:right w:type="dxa" w:w="120"/>
            </w:tcMar>
          </w:tcPr>
          <w:p>
            <w:pPr>
              <w:spacing w:after="0" w:line="264"/>
            </w:pPr>
            <w:r>
              <w:rPr>
                <w:color w:val="322F30"/>
                <w:sz w:val="19"/>
                <w:szCs w:val="19"/>
              </w:rPr>
              <w:t xml:space="preserve">USA / EEA</w:t>
            </w:r>
          </w:p>
        </w:tc>
        <w:tc>
          <w:tcPr>
            <w:tcW w:type="dxa" w:w="2890"/>
            <w:tcMar>
              <w:top w:type="dxa" w:w="90"/>
              <w:left w:type="dxa" w:w="120"/>
              <w:bottom w:type="dxa" w:w="90"/>
              <w:right w:type="dxa" w:w="120"/>
            </w:tcMar>
          </w:tcPr>
          <w:p>
            <w:pPr>
              <w:spacing w:after="0" w:line="264"/>
            </w:pPr>
            <w:r>
              <w:rPr>
                <w:color w:val="322F30"/>
                <w:sz w:val="19"/>
                <w:szCs w:val="19"/>
              </w:rPr>
              <w:t xml:space="preserve">Privacy settings applied; standard GDPR provisions</w:t>
            </w:r>
          </w:p>
        </w:tc>
      </w:tr>
      <w:tr>
        <w:tc>
          <w:tcPr>
            <w:tcW w:type="dxa" w:w="1444"/>
            <w:tcMar>
              <w:top w:type="dxa" w:w="90"/>
              <w:left w:type="dxa" w:w="120"/>
              <w:bottom w:type="dxa" w:w="90"/>
              <w:right w:type="dxa" w:w="120"/>
            </w:tcMar>
          </w:tcPr>
          <w:p>
            <w:pPr>
              <w:spacing w:after="0" w:line="264"/>
            </w:pPr>
            <w:r>
              <w:rPr>
                <w:color w:val="322F30"/>
                <w:sz w:val="19"/>
                <w:szCs w:val="19"/>
              </w:rPr>
              <w:t xml:space="preserve">Supabase</w:t>
            </w:r>
          </w:p>
        </w:tc>
        <w:tc>
          <w:tcPr>
            <w:tcW w:type="dxa" w:w="3068"/>
            <w:tcMar>
              <w:top w:type="dxa" w:w="90"/>
              <w:left w:type="dxa" w:w="120"/>
              <w:bottom w:type="dxa" w:w="90"/>
              <w:right w:type="dxa" w:w="120"/>
            </w:tcMar>
          </w:tcPr>
          <w:p>
            <w:pPr>
              <w:spacing w:after="0" w:line="264"/>
            </w:pPr>
            <w:r>
              <w:rPr>
                <w:color w:val="322F30"/>
                <w:sz w:val="19"/>
                <w:szCs w:val="19"/>
              </w:rPr>
              <w:t xml:space="preserve">Hosts app member accounts, authentication, and member-generated app data (journal entries, saved resources, lens progress, energy economy health data)</w:t>
            </w:r>
          </w:p>
        </w:tc>
        <w:tc>
          <w:tcPr>
            <w:tcW w:type="dxa" w:w="1624"/>
            <w:tcMar>
              <w:top w:type="dxa" w:w="90"/>
              <w:left w:type="dxa" w:w="120"/>
              <w:bottom w:type="dxa" w:w="90"/>
              <w:right w:type="dxa" w:w="120"/>
            </w:tcMar>
          </w:tcPr>
          <w:p>
            <w:pPr>
              <w:spacing w:after="0" w:line="264"/>
            </w:pPr>
            <w:r>
              <w:rPr>
                <w:color w:val="322F30"/>
                <w:sz w:val="19"/>
                <w:szCs w:val="19"/>
              </w:rPr>
              <w:t xml:space="preserve">EU — Frankfurt, Germany</w:t>
            </w:r>
          </w:p>
        </w:tc>
        <w:tc>
          <w:tcPr>
            <w:tcW w:type="dxa" w:w="2890"/>
            <w:tcMar>
              <w:top w:type="dxa" w:w="90"/>
              <w:left w:type="dxa" w:w="120"/>
              <w:bottom w:type="dxa" w:w="90"/>
              <w:right w:type="dxa" w:w="120"/>
            </w:tcMar>
          </w:tcPr>
          <w:p>
            <w:pPr>
              <w:spacing w:after="0" w:line="264"/>
            </w:pPr>
            <w:r>
              <w:rPr>
                <w:color w:val="322F30"/>
                <w:sz w:val="19"/>
                <w:szCs w:val="19"/>
              </w:rPr>
              <w:t xml:space="preserve">GDPR-compliant DPA; data residency set to the EU at project creation; encryption at rest and in transit. Transfers from the UK rely on the UK's adequacy finding for the EEA — no IDTA or SCCs required for this leg</w:t>
            </w:r>
          </w:p>
        </w:tc>
      </w:tr>
      <w:tr>
        <w:tc>
          <w:tcPr>
            <w:tcW w:type="dxa" w:w="1444"/>
            <w:tcMar>
              <w:top w:type="dxa" w:w="90"/>
              <w:left w:type="dxa" w:w="120"/>
              <w:bottom w:type="dxa" w:w="90"/>
              <w:right w:type="dxa" w:w="120"/>
            </w:tcMar>
          </w:tcPr>
          <w:p>
            <w:pPr>
              <w:spacing w:after="0" w:line="264"/>
            </w:pPr>
            <w:r>
              <w:rPr>
                <w:color w:val="322F30"/>
                <w:sz w:val="19"/>
                <w:szCs w:val="19"/>
              </w:rPr>
              <w:t xml:space="preserve">Stripe / Stripe Tax</w:t>
            </w:r>
          </w:p>
        </w:tc>
        <w:tc>
          <w:tcPr>
            <w:tcW w:type="dxa" w:w="3068"/>
            <w:tcMar>
              <w:top w:type="dxa" w:w="90"/>
              <w:left w:type="dxa" w:w="120"/>
              <w:bottom w:type="dxa" w:w="90"/>
              <w:right w:type="dxa" w:w="120"/>
            </w:tcMar>
          </w:tcPr>
          <w:p>
            <w:pPr>
              <w:spacing w:after="0" w:line="264"/>
            </w:pPr>
            <w:r>
              <w:rPr>
                <w:color w:val="322F30"/>
                <w:sz w:val="19"/>
                <w:szCs w:val="19"/>
              </w:rPr>
              <w:t xml:space="preserve">Subscription billing, payment processing, and VAT calculation for app membership</w:t>
            </w:r>
          </w:p>
        </w:tc>
        <w:tc>
          <w:tcPr>
            <w:tcW w:type="dxa" w:w="1624"/>
            <w:tcMar>
              <w:top w:type="dxa" w:w="90"/>
              <w:left w:type="dxa" w:w="120"/>
              <w:bottom w:type="dxa" w:w="90"/>
              <w:right w:type="dxa" w:w="120"/>
            </w:tcMar>
          </w:tcPr>
          <w:p>
            <w:pPr>
              <w:spacing w:after="0" w:line="264"/>
            </w:pPr>
            <w:r>
              <w:rPr>
                <w:color w:val="322F30"/>
                <w:sz w:val="19"/>
                <w:szCs w:val="19"/>
              </w:rPr>
              <w:t xml:space="preserve">UK / EEA / USA</w:t>
            </w:r>
          </w:p>
        </w:tc>
        <w:tc>
          <w:tcPr>
            <w:tcW w:type="dxa" w:w="2890"/>
            <w:tcMar>
              <w:top w:type="dxa" w:w="90"/>
              <w:left w:type="dxa" w:w="120"/>
              <w:bottom w:type="dxa" w:w="90"/>
              <w:right w:type="dxa" w:w="120"/>
            </w:tcMar>
          </w:tcPr>
          <w:p>
            <w:pPr>
              <w:spacing w:after="0" w:line="264"/>
            </w:pPr>
            <w:r>
              <w:rPr>
                <w:color w:val="322F30"/>
                <w:sz w:val="19"/>
                <w:szCs w:val="19"/>
              </w:rPr>
              <w:t xml:space="preserve">PCI-DSS Level 1; UK IDTA / EEA SCCs for any transfer; card data handled by Stripe, not stored by us</w:t>
            </w:r>
          </w:p>
        </w:tc>
      </w:tr>
      <w:tr>
        <w:tc>
          <w:tcPr>
            <w:tcW w:type="dxa" w:w="1444"/>
            <w:tcMar>
              <w:top w:type="dxa" w:w="90"/>
              <w:left w:type="dxa" w:w="120"/>
              <w:bottom w:type="dxa" w:w="90"/>
              <w:right w:type="dxa" w:w="120"/>
            </w:tcMar>
          </w:tcPr>
          <w:p>
            <w:pPr>
              <w:spacing w:after="0" w:line="264"/>
            </w:pPr>
            <w:r>
              <w:rPr>
                <w:color w:val="322F30"/>
                <w:sz w:val="19"/>
                <w:szCs w:val="19"/>
              </w:rPr>
              <w:t xml:space="preserve">Vercel</w:t>
            </w:r>
          </w:p>
        </w:tc>
        <w:tc>
          <w:tcPr>
            <w:tcW w:type="dxa" w:w="3068"/>
            <w:tcMar>
              <w:top w:type="dxa" w:w="90"/>
              <w:left w:type="dxa" w:w="120"/>
              <w:bottom w:type="dxa" w:w="90"/>
              <w:right w:type="dxa" w:w="120"/>
            </w:tcMar>
          </w:tcPr>
          <w:p>
            <w:pPr>
              <w:spacing w:after="0" w:line="264"/>
            </w:pPr>
            <w:r>
              <w:rPr>
                <w:color w:val="322F30"/>
                <w:sz w:val="19"/>
                <w:szCs w:val="19"/>
              </w:rPr>
              <w:t xml:space="preserve">Hosting and delivery of the web app</w:t>
            </w:r>
          </w:p>
        </w:tc>
        <w:tc>
          <w:tcPr>
            <w:tcW w:type="dxa" w:w="1624"/>
            <w:tcMar>
              <w:top w:type="dxa" w:w="90"/>
              <w:left w:type="dxa" w:w="120"/>
              <w:bottom w:type="dxa" w:w="90"/>
              <w:right w:type="dxa" w:w="120"/>
            </w:tcMar>
          </w:tcPr>
          <w:p>
            <w:pPr>
              <w:spacing w:after="0" w:line="264"/>
            </w:pPr>
            <w:r>
              <w:rPr>
                <w:color w:val="322F30"/>
                <w:sz w:val="19"/>
                <w:szCs w:val="19"/>
              </w:rPr>
              <w:t xml:space="preserve">USA / global edge</w:t>
            </w:r>
          </w:p>
        </w:tc>
        <w:tc>
          <w:tcPr>
            <w:tcW w:type="dxa" w:w="2890"/>
            <w:tcMar>
              <w:top w:type="dxa" w:w="90"/>
              <w:left w:type="dxa" w:w="120"/>
              <w:bottom w:type="dxa" w:w="90"/>
              <w:right w:type="dxa" w:w="120"/>
            </w:tcMar>
          </w:tcPr>
          <w:p>
            <w:pPr>
              <w:spacing w:after="0" w:line="264"/>
            </w:pPr>
            <w:r>
              <w:rPr>
                <w:color w:val="322F30"/>
                <w:sz w:val="19"/>
                <w:szCs w:val="19"/>
              </w:rPr>
              <w:t xml:space="preserve">UK IDTA / EEA SCCs; no special-category data stored at the hosting layer (data lives in Supabase, UK/EU)</w:t>
            </w:r>
          </w:p>
        </w:tc>
      </w:tr>
      <w:tr>
        <w:tc>
          <w:tcPr>
            <w:tcW w:type="dxa" w:w="1444"/>
            <w:tcMar>
              <w:top w:type="dxa" w:w="90"/>
              <w:left w:type="dxa" w:w="120"/>
              <w:bottom w:type="dxa" w:w="90"/>
              <w:right w:type="dxa" w:w="120"/>
            </w:tcMar>
          </w:tcPr>
          <w:p>
            <w:pPr>
              <w:spacing w:after="0" w:line="264"/>
            </w:pPr>
            <w:r>
              <w:rPr>
                <w:color w:val="322F30"/>
                <w:sz w:val="19"/>
                <w:szCs w:val="19"/>
              </w:rPr>
              <w:t xml:space="preserve">Email provider</w:t>
            </w:r>
          </w:p>
        </w:tc>
        <w:tc>
          <w:tcPr>
            <w:tcW w:type="dxa" w:w="3068"/>
            <w:tcMar>
              <w:top w:type="dxa" w:w="90"/>
              <w:left w:type="dxa" w:w="120"/>
              <w:bottom w:type="dxa" w:w="90"/>
              <w:right w:type="dxa" w:w="120"/>
            </w:tcMar>
          </w:tcPr>
          <w:p>
            <w:pPr>
              <w:spacing w:after="0" w:line="264"/>
            </w:pPr>
            <w:r>
              <w:rPr>
                <w:color w:val="322F30"/>
                <w:sz w:val="19"/>
                <w:szCs w:val="19"/>
              </w:rPr>
              <w:t xml:space="preserve">Client and business communications</w:t>
            </w:r>
          </w:p>
        </w:tc>
        <w:tc>
          <w:tcPr>
            <w:tcW w:type="dxa" w:w="1624"/>
            <w:tcMar>
              <w:top w:type="dxa" w:w="90"/>
              <w:left w:type="dxa" w:w="120"/>
              <w:bottom w:type="dxa" w:w="90"/>
              <w:right w:type="dxa" w:w="120"/>
            </w:tcMar>
          </w:tcPr>
          <w:p>
            <w:pPr>
              <w:spacing w:after="0" w:line="264"/>
            </w:pPr>
            <w:r>
              <w:rPr>
                <w:color w:val="322F30"/>
                <w:sz w:val="19"/>
                <w:szCs w:val="19"/>
              </w:rPr>
              <w:t xml:space="preserve">UK / EEA</w:t>
            </w:r>
          </w:p>
        </w:tc>
        <w:tc>
          <w:tcPr>
            <w:tcW w:type="dxa" w:w="2890"/>
            <w:tcMar>
              <w:top w:type="dxa" w:w="90"/>
              <w:left w:type="dxa" w:w="120"/>
              <w:bottom w:type="dxa" w:w="90"/>
              <w:right w:type="dxa" w:w="120"/>
            </w:tcMar>
          </w:tcPr>
          <w:p>
            <w:pPr>
              <w:spacing w:after="0" w:line="264"/>
            </w:pPr>
            <w:r>
              <w:rPr>
                <w:color w:val="322F30"/>
                <w:sz w:val="19"/>
                <w:szCs w:val="19"/>
              </w:rPr>
              <w:t xml:space="preserve">Standard contractual protections</w:t>
            </w:r>
          </w:p>
        </w:tc>
      </w:tr>
    </w:tbl>
    <w:p>
      <w:pPr>
        <w:spacing w:after="140" w:before="60"/>
      </w:pPr>
      <w:r>
        <w:rPr>
          <w:b/>
          <w:bCs/>
          <w:color w:val="625045"/>
          <w:sz w:val="17"/>
          <w:szCs w:val="17"/>
        </w:rPr>
        <w:t xml:space="preserve">NEW IN v3.1 — </w:t>
      </w:r>
      <w:r>
        <w:rPr>
          <w:i/>
          <w:iCs/>
          <w:color w:val="625045"/>
          <w:sz w:val="17"/>
          <w:szCs w:val="17"/>
        </w:rPr>
        <w:t xml:space="preserve">the Supabase, Stripe and Vercel rows, and the app clause on the FEA Create row.</w:t>
      </w:r>
    </w:p>
    <w:p>
      <w:pPr>
        <w:pStyle w:val="Heading2"/>
        <w:spacing w:after="120" w:before="240"/>
      </w:pPr>
      <w:r>
        <w:rPr>
          <w:b/>
          <w:bCs/>
          <w:color w:val="405550"/>
          <w:sz w:val="23"/>
          <w:szCs w:val="23"/>
        </w:rPr>
        <w:t xml:space="preserve">6.2 International transfers</w:t>
      </w:r>
    </w:p>
    <w:p>
      <w:pPr>
        <w:spacing w:after="140" w:line="276"/>
      </w:pPr>
      <w:r>
        <w:rPr>
          <w:color w:val="322F30"/>
          <w:sz w:val="21"/>
          <w:szCs w:val="21"/>
        </w:rPr>
        <w:t xml:space="preserve">Where data is transferred outside the UK (for example, to Fathom Video Inc. in the USA), we ensure that appropriate safeguards are in place as required by UK GDPR. These include:</w:t>
      </w:r>
    </w:p>
    <w:p>
      <w:pPr>
        <w:pStyle w:val="ListParagraph"/>
        <w:numPr>
          <w:ilvl w:val="0"/>
          <w:numId w:val="1"/>
        </w:numPr>
        <w:spacing w:after="90" w:line="276"/>
      </w:pPr>
      <w:r>
        <w:rPr>
          <w:color w:val="322F30"/>
          <w:sz w:val="21"/>
          <w:szCs w:val="21"/>
        </w:rPr>
        <w:t xml:space="preserve">UK International Data Transfer Agreements (IDTAs) and/or the ICO UK Addendum to EEA Standard Contractual Clauses</w:t>
      </w:r>
    </w:p>
    <w:p>
      <w:pPr>
        <w:pStyle w:val="ListParagraph"/>
        <w:numPr>
          <w:ilvl w:val="0"/>
          <w:numId w:val="1"/>
        </w:numPr>
        <w:spacing w:after="90" w:line="276"/>
      </w:pPr>
      <w:r>
        <w:rPr>
          <w:color w:val="322F30"/>
          <w:sz w:val="21"/>
          <w:szCs w:val="21"/>
        </w:rPr>
        <w:t xml:space="preserve">Adequacy decisions where the destination country has been assessed as providing equivalent protection</w:t>
      </w:r>
    </w:p>
    <w:p>
      <w:pPr>
        <w:pStyle w:val="ListParagraph"/>
        <w:numPr>
          <w:ilvl w:val="0"/>
          <w:numId w:val="1"/>
        </w:numPr>
        <w:spacing w:after="90" w:line="276"/>
      </w:pPr>
      <w:r>
        <w:rPr>
          <w:color w:val="322F30"/>
          <w:sz w:val="21"/>
          <w:szCs w:val="21"/>
        </w:rPr>
        <w:t xml:space="preserve">Explicit consent from you where no other safeguard applies</w:t>
      </w:r>
    </w:p>
    <w:p>
      <w:pPr>
        <w:spacing w:after="140" w:line="276"/>
      </w:pPr>
      <w:r>
        <w:rPr>
          <w:color w:val="322F30"/>
          <w:sz w:val="21"/>
          <w:szCs w:val="21"/>
        </w:rPr>
        <w:t xml:space="preserve">App member data is stored in the EU. For UK members that is a UK-to-EEA transfer, covered by the UK's adequacy finding for the EEA, so no separate transfer agreement is needed for that leg.</w:t>
      </w:r>
    </w:p>
    <w:p>
      <w:pPr>
        <w:spacing w:after="140" w:before="60"/>
      </w:pPr>
      <w:r>
        <w:rPr>
          <w:b/>
          <w:bCs/>
          <w:color w:val="625045"/>
          <w:sz w:val="17"/>
          <w:szCs w:val="17"/>
        </w:rPr>
        <w:t xml:space="preserve">NEW IN v3.1 — </w:t>
      </w:r>
      <w:r>
        <w:rPr>
          <w:i/>
          <w:iCs/>
          <w:color w:val="625045"/>
          <w:sz w:val="17"/>
          <w:szCs w:val="17"/>
        </w:rPr>
        <w:t xml:space="preserve">the paragraph above.</w:t>
      </w:r>
    </w:p>
    <w:p>
      <w:pPr>
        <w:pStyle w:val="Heading2"/>
        <w:spacing w:after="120" w:before="240"/>
      </w:pPr>
      <w:r>
        <w:rPr>
          <w:b/>
          <w:bCs/>
          <w:color w:val="405550"/>
          <w:sz w:val="23"/>
          <w:szCs w:val="23"/>
        </w:rPr>
        <w:t xml:space="preserve">6.3 Other organisations we may share data with</w:t>
      </w:r>
    </w:p>
    <w:p>
      <w:pPr>
        <w:spacing w:after="140" w:line="276"/>
      </w:pPr>
      <w:r>
        <w:rPr>
          <w:color w:val="322F30"/>
          <w:sz w:val="21"/>
          <w:szCs w:val="21"/>
        </w:rPr>
        <w:t xml:space="preserve">We may share your personal data with the following where legally required or necessary:</w:t>
      </w:r>
    </w:p>
    <w:p>
      <w:pPr>
        <w:pStyle w:val="ListParagraph"/>
        <w:numPr>
          <w:ilvl w:val="0"/>
          <w:numId w:val="1"/>
        </w:numPr>
        <w:spacing w:after="90" w:line="276"/>
      </w:pPr>
      <w:r>
        <w:rPr>
          <w:color w:val="322F30"/>
          <w:sz w:val="21"/>
          <w:szCs w:val="21"/>
        </w:rPr>
        <w:t xml:space="preserve">Safeguarding authorities — where there is a risk of serious harm to you or others</w:t>
      </w:r>
    </w:p>
    <w:p>
      <w:pPr>
        <w:pStyle w:val="ListParagraph"/>
        <w:numPr>
          <w:ilvl w:val="0"/>
          <w:numId w:val="1"/>
        </w:numPr>
        <w:spacing w:after="90" w:line="276"/>
      </w:pPr>
      <w:r>
        <w:rPr>
          <w:color w:val="322F30"/>
          <w:sz w:val="21"/>
          <w:szCs w:val="21"/>
        </w:rPr>
        <w:t xml:space="preserve">Law enforcement or regulatory authorities — where legally required</w:t>
      </w:r>
    </w:p>
    <w:p>
      <w:pPr>
        <w:pStyle w:val="ListParagraph"/>
        <w:numPr>
          <w:ilvl w:val="0"/>
          <w:numId w:val="1"/>
        </w:numPr>
        <w:spacing w:after="90" w:line="276"/>
      </w:pPr>
      <w:r>
        <w:rPr>
          <w:color w:val="322F30"/>
          <w:sz w:val="21"/>
          <w:szCs w:val="21"/>
        </w:rPr>
        <w:t xml:space="preserve">Professional or legal advisors — for legal, compliance or professional purposes</w:t>
      </w:r>
    </w:p>
    <w:p>
      <w:pPr>
        <w:pStyle w:val="ListParagraph"/>
        <w:numPr>
          <w:ilvl w:val="0"/>
          <w:numId w:val="1"/>
        </w:numPr>
        <w:spacing w:after="90" w:line="276"/>
      </w:pPr>
      <w:r>
        <w:rPr>
          <w:color w:val="322F30"/>
          <w:sz w:val="21"/>
          <w:szCs w:val="21"/>
        </w:rPr>
        <w:t xml:space="preserve">External auditors or inspectors — where required by law</w:t>
      </w:r>
    </w:p>
    <w:p>
      <w:pPr>
        <w:pStyle w:val="ListParagraph"/>
        <w:numPr>
          <w:ilvl w:val="0"/>
          <w:numId w:val="1"/>
        </w:numPr>
        <w:spacing w:after="90" w:line="276"/>
      </w:pPr>
      <w:r>
        <w:rPr>
          <w:color w:val="322F30"/>
          <w:sz w:val="21"/>
          <w:szCs w:val="21"/>
        </w:rPr>
        <w:t xml:space="preserve">Our nominated representative — in the circumstances set out in our Business Continuity Policy, so that your engagement can be closed properly if we are unable to continue</w:t>
      </w:r>
    </w:p>
    <w:p>
      <w:pPr>
        <w:pStyle w:val="Heading2"/>
        <w:spacing w:after="120" w:before="240"/>
      </w:pPr>
      <w:r>
        <w:rPr>
          <w:b/>
          <w:bCs/>
          <w:color w:val="405550"/>
          <w:sz w:val="23"/>
          <w:szCs w:val="23"/>
        </w:rPr>
        <w:t xml:space="preserve">6.4 Referral partners</w:t>
      </w:r>
    </w:p>
    <w:p>
      <w:pPr>
        <w:spacing w:after="140" w:line="276"/>
      </w:pPr>
      <w:r>
        <w:rPr>
          <w:color w:val="322F30"/>
          <w:sz w:val="21"/>
          <w:szCs w:val="21"/>
        </w:rPr>
        <w:t xml:space="preserve">Where you come to us through a clinical or partner referral, or where we hold sessions at a partner's premises, that organisation and Wylde Wellbeing act as separate data controllers. We do not share the content of your coaching sessions with a referring clinician or partner. Where a referrer asks us to confirm that an engagement has begun or ended, we will only do so with your consent, and we will tell you what has been confirmed.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What we never do</w:t>
            </w:r>
          </w:p>
          <w:p>
            <w:pPr>
              <w:spacing w:after="80" w:line="276"/>
            </w:pPr>
            <w:r>
              <w:rPr>
                <w:color w:val="322F30"/>
                <w:sz w:val="20"/>
                <w:szCs w:val="20"/>
              </w:rPr>
              <w:t xml:space="preserve">We never sell your personal data. We never share client health or session data with third parties for commercial or marketing purposes. We never share identifiable client information with AI tools used for practice support. We never share the content of your coaching sessions with a referring clinician. And there is no way for one app member to see anything another has written — the app holds personal state, not a community.</w:t>
            </w:r>
          </w:p>
        </w:tc>
      </w:tr>
    </w:tbl>
    <w:p>
      <w:pPr>
        <w:spacing w:after="160"/>
      </w:pPr>
    </w:p>
    <w:p>
      <w:pPr>
        <w:pStyle w:val="Heading1"/>
        <w:spacing w:after="160" w:before="340"/>
      </w:pPr>
      <w:r>
        <w:rPr>
          <w:b/>
          <w:bCs/>
          <w:color w:val="2C3B38"/>
          <w:sz w:val="28"/>
          <w:szCs w:val="28"/>
        </w:rPr>
        <w:t xml:space="preserve">7. Cookies and Website Tracking</w:t>
      </w:r>
    </w:p>
    <w:p>
      <w:pPr>
        <w:spacing w:after="140" w:line="276"/>
      </w:pPr>
      <w:r>
        <w:rPr>
          <w:color w:val="322F30"/>
          <w:sz w:val="21"/>
          <w:szCs w:val="21"/>
        </w:rPr>
        <w:t xml:space="preserve">Our website uses cookies — small text files placed on your device when you visit — to help it function, to understand how it is used, and to support marketing where you have given consent.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46"/>
        <w:gridCol w:w="1985"/>
        <w:gridCol w:w="4695"/>
      </w:tblGrid>
      <w:tr>
        <w:trPr>
          <w:tblHeader/>
        </w:trPr>
        <w:tc>
          <w:tcPr>
            <w:tcW w:type="dxa" w:w="2346"/>
            <w:shd w:fill="EDEFEA" w:color="auto" w:val="clear"/>
            <w:tcMar>
              <w:top w:type="dxa" w:w="90"/>
              <w:left w:type="dxa" w:w="120"/>
              <w:bottom w:type="dxa" w:w="90"/>
              <w:right w:type="dxa" w:w="120"/>
            </w:tcMar>
          </w:tcPr>
          <w:p>
            <w:pPr>
              <w:spacing w:after="0" w:line="264"/>
            </w:pPr>
            <w:r>
              <w:rPr>
                <w:b/>
                <w:bCs/>
                <w:color w:val="405550"/>
                <w:sz w:val="19"/>
                <w:szCs w:val="19"/>
              </w:rPr>
              <w:t xml:space="preserve">COOKIE TYPE</w:t>
            </w:r>
          </w:p>
        </w:tc>
        <w:tc>
          <w:tcPr>
            <w:tcW w:type="dxa" w:w="1985"/>
            <w:shd w:fill="EDEFEA" w:color="auto" w:val="clear"/>
            <w:tcMar>
              <w:top w:type="dxa" w:w="90"/>
              <w:left w:type="dxa" w:w="120"/>
              <w:bottom w:type="dxa" w:w="90"/>
              <w:right w:type="dxa" w:w="120"/>
            </w:tcMar>
          </w:tcPr>
          <w:p>
            <w:pPr>
              <w:spacing w:after="0" w:line="264"/>
            </w:pPr>
            <w:r>
              <w:rPr>
                <w:b/>
                <w:bCs/>
                <w:color w:val="405550"/>
                <w:sz w:val="19"/>
                <w:szCs w:val="19"/>
              </w:rPr>
              <w:t xml:space="preserve">LAWFUL BASIS</w:t>
            </w:r>
          </w:p>
        </w:tc>
        <w:tc>
          <w:tcPr>
            <w:tcW w:type="dxa" w:w="4695"/>
            <w:shd w:fill="EDEFEA" w:color="auto" w:val="clear"/>
            <w:tcMar>
              <w:top w:type="dxa" w:w="90"/>
              <w:left w:type="dxa" w:w="120"/>
              <w:bottom w:type="dxa" w:w="90"/>
              <w:right w:type="dxa" w:w="120"/>
            </w:tcMar>
          </w:tcPr>
          <w:p>
            <w:pPr>
              <w:spacing w:after="0" w:line="264"/>
            </w:pPr>
            <w:r>
              <w:rPr>
                <w:b/>
                <w:bCs/>
                <w:color w:val="405550"/>
                <w:sz w:val="19"/>
                <w:szCs w:val="19"/>
              </w:rPr>
              <w:t xml:space="preserve">WHAT THEY DO</w:t>
            </w:r>
          </w:p>
        </w:tc>
      </w:tr>
      <w:tr>
        <w:tc>
          <w:tcPr>
            <w:tcW w:type="dxa" w:w="2346"/>
            <w:tcMar>
              <w:top w:type="dxa" w:w="90"/>
              <w:left w:type="dxa" w:w="120"/>
              <w:bottom w:type="dxa" w:w="90"/>
              <w:right w:type="dxa" w:w="120"/>
            </w:tcMar>
          </w:tcPr>
          <w:p>
            <w:pPr>
              <w:spacing w:after="0" w:line="264"/>
            </w:pPr>
            <w:r>
              <w:rPr>
                <w:color w:val="322F30"/>
                <w:sz w:val="19"/>
                <w:szCs w:val="19"/>
              </w:rPr>
              <w:t xml:space="preserve">Strictly necessary</w:t>
            </w:r>
          </w:p>
        </w:tc>
        <w:tc>
          <w:tcPr>
            <w:tcW w:type="dxa" w:w="1985"/>
            <w:tcMar>
              <w:top w:type="dxa" w:w="90"/>
              <w:left w:type="dxa" w:w="120"/>
              <w:bottom w:type="dxa" w:w="90"/>
              <w:right w:type="dxa" w:w="120"/>
            </w:tcMar>
          </w:tcPr>
          <w:p>
            <w:pPr>
              <w:spacing w:after="0" w:line="264"/>
            </w:pPr>
            <w:r>
              <w:rPr>
                <w:color w:val="322F30"/>
                <w:sz w:val="19"/>
                <w:szCs w:val="19"/>
              </w:rPr>
              <w:t xml:space="preserve">Legitimate interests</w:t>
            </w:r>
          </w:p>
        </w:tc>
        <w:tc>
          <w:tcPr>
            <w:tcW w:type="dxa" w:w="4695"/>
            <w:tcMar>
              <w:top w:type="dxa" w:w="90"/>
              <w:left w:type="dxa" w:w="120"/>
              <w:bottom w:type="dxa" w:w="90"/>
              <w:right w:type="dxa" w:w="120"/>
            </w:tcMar>
          </w:tcPr>
          <w:p>
            <w:pPr>
              <w:spacing w:after="0" w:line="264"/>
            </w:pPr>
            <w:r>
              <w:rPr>
                <w:color w:val="322F30"/>
                <w:sz w:val="19"/>
                <w:szCs w:val="19"/>
              </w:rPr>
              <w:t xml:space="preserve">Essential for the website to function. Cannot be turned off.</w:t>
            </w:r>
          </w:p>
        </w:tc>
      </w:tr>
      <w:tr>
        <w:tc>
          <w:tcPr>
            <w:tcW w:type="dxa" w:w="2346"/>
            <w:tcMar>
              <w:top w:type="dxa" w:w="90"/>
              <w:left w:type="dxa" w:w="120"/>
              <w:bottom w:type="dxa" w:w="90"/>
              <w:right w:type="dxa" w:w="120"/>
            </w:tcMar>
          </w:tcPr>
          <w:p>
            <w:pPr>
              <w:spacing w:after="0" w:line="264"/>
            </w:pPr>
            <w:r>
              <w:rPr>
                <w:color w:val="322F30"/>
                <w:sz w:val="19"/>
                <w:szCs w:val="19"/>
              </w:rPr>
              <w:t xml:space="preserve">Performance / analytics</w:t>
            </w:r>
          </w:p>
        </w:tc>
        <w:tc>
          <w:tcPr>
            <w:tcW w:type="dxa" w:w="1985"/>
            <w:tcMar>
              <w:top w:type="dxa" w:w="90"/>
              <w:left w:type="dxa" w:w="120"/>
              <w:bottom w:type="dxa" w:w="90"/>
              <w:right w:type="dxa" w:w="120"/>
            </w:tcMar>
          </w:tcPr>
          <w:p>
            <w:pPr>
              <w:spacing w:after="0" w:line="264"/>
            </w:pPr>
            <w:r>
              <w:rPr>
                <w:color w:val="322F30"/>
                <w:sz w:val="19"/>
                <w:szCs w:val="19"/>
              </w:rPr>
              <w:t xml:space="preserve">Consent</w:t>
            </w:r>
          </w:p>
        </w:tc>
        <w:tc>
          <w:tcPr>
            <w:tcW w:type="dxa" w:w="4695"/>
            <w:tcMar>
              <w:top w:type="dxa" w:w="90"/>
              <w:left w:type="dxa" w:w="120"/>
              <w:bottom w:type="dxa" w:w="90"/>
              <w:right w:type="dxa" w:w="120"/>
            </w:tcMar>
          </w:tcPr>
          <w:p>
            <w:pPr>
              <w:spacing w:after="0" w:line="264"/>
            </w:pPr>
            <w:r>
              <w:rPr>
                <w:color w:val="322F30"/>
                <w:sz w:val="19"/>
                <w:szCs w:val="19"/>
              </w:rPr>
              <w:t xml:space="preserve">Help us understand how visitors use the site (e.g. Google Analytics). Only set with your consent.</w:t>
            </w:r>
          </w:p>
        </w:tc>
      </w:tr>
      <w:tr>
        <w:tc>
          <w:tcPr>
            <w:tcW w:type="dxa" w:w="2346"/>
            <w:tcMar>
              <w:top w:type="dxa" w:w="90"/>
              <w:left w:type="dxa" w:w="120"/>
              <w:bottom w:type="dxa" w:w="90"/>
              <w:right w:type="dxa" w:w="120"/>
            </w:tcMar>
          </w:tcPr>
          <w:p>
            <w:pPr>
              <w:spacing w:after="0" w:line="264"/>
            </w:pPr>
            <w:r>
              <w:rPr>
                <w:color w:val="322F30"/>
                <w:sz w:val="19"/>
                <w:szCs w:val="19"/>
              </w:rPr>
              <w:t xml:space="preserve">Functionality</w:t>
            </w:r>
          </w:p>
        </w:tc>
        <w:tc>
          <w:tcPr>
            <w:tcW w:type="dxa" w:w="1985"/>
            <w:tcMar>
              <w:top w:type="dxa" w:w="90"/>
              <w:left w:type="dxa" w:w="120"/>
              <w:bottom w:type="dxa" w:w="90"/>
              <w:right w:type="dxa" w:w="120"/>
            </w:tcMar>
          </w:tcPr>
          <w:p>
            <w:pPr>
              <w:spacing w:after="0" w:line="264"/>
            </w:pPr>
            <w:r>
              <w:rPr>
                <w:color w:val="322F30"/>
                <w:sz w:val="19"/>
                <w:szCs w:val="19"/>
              </w:rPr>
              <w:t xml:space="preserve">Consent</w:t>
            </w:r>
          </w:p>
        </w:tc>
        <w:tc>
          <w:tcPr>
            <w:tcW w:type="dxa" w:w="4695"/>
            <w:tcMar>
              <w:top w:type="dxa" w:w="90"/>
              <w:left w:type="dxa" w:w="120"/>
              <w:bottom w:type="dxa" w:w="90"/>
              <w:right w:type="dxa" w:w="120"/>
            </w:tcMar>
          </w:tcPr>
          <w:p>
            <w:pPr>
              <w:spacing w:after="0" w:line="264"/>
            </w:pPr>
            <w:r>
              <w:rPr>
                <w:color w:val="322F30"/>
                <w:sz w:val="19"/>
                <w:szCs w:val="19"/>
              </w:rPr>
              <w:t xml:space="preserve">Remember your preferences and personalise your experience.</w:t>
            </w:r>
          </w:p>
        </w:tc>
      </w:tr>
      <w:tr>
        <w:tc>
          <w:tcPr>
            <w:tcW w:type="dxa" w:w="2346"/>
            <w:tcMar>
              <w:top w:type="dxa" w:w="90"/>
              <w:left w:type="dxa" w:w="120"/>
              <w:bottom w:type="dxa" w:w="90"/>
              <w:right w:type="dxa" w:w="120"/>
            </w:tcMar>
          </w:tcPr>
          <w:p>
            <w:pPr>
              <w:spacing w:after="0" w:line="264"/>
            </w:pPr>
            <w:r>
              <w:rPr>
                <w:color w:val="322F30"/>
                <w:sz w:val="19"/>
                <w:szCs w:val="19"/>
              </w:rPr>
              <w:t xml:space="preserve">Marketing / targeting</w:t>
            </w:r>
          </w:p>
        </w:tc>
        <w:tc>
          <w:tcPr>
            <w:tcW w:type="dxa" w:w="1985"/>
            <w:tcMar>
              <w:top w:type="dxa" w:w="90"/>
              <w:left w:type="dxa" w:w="120"/>
              <w:bottom w:type="dxa" w:w="90"/>
              <w:right w:type="dxa" w:w="120"/>
            </w:tcMar>
          </w:tcPr>
          <w:p>
            <w:pPr>
              <w:spacing w:after="0" w:line="264"/>
            </w:pPr>
            <w:r>
              <w:rPr>
                <w:color w:val="322F30"/>
                <w:sz w:val="19"/>
                <w:szCs w:val="19"/>
              </w:rPr>
              <w:t xml:space="preserve">Consent</w:t>
            </w:r>
          </w:p>
        </w:tc>
        <w:tc>
          <w:tcPr>
            <w:tcW w:type="dxa" w:w="4695"/>
            <w:tcMar>
              <w:top w:type="dxa" w:w="90"/>
              <w:left w:type="dxa" w:w="120"/>
              <w:bottom w:type="dxa" w:w="90"/>
              <w:right w:type="dxa" w:w="120"/>
            </w:tcMar>
          </w:tcPr>
          <w:p>
            <w:pPr>
              <w:spacing w:after="0" w:line="264"/>
            </w:pPr>
            <w:r>
              <w:rPr>
                <w:color w:val="322F30"/>
                <w:sz w:val="19"/>
                <w:szCs w:val="19"/>
              </w:rPr>
              <w:t xml:space="preserve">Used by advertising partners to show relevant content. Only set with your consent.</w:t>
            </w:r>
          </w:p>
        </w:tc>
      </w:tr>
    </w:tbl>
    <w:p>
      <w:pPr>
        <w:spacing w:after="160"/>
      </w:pPr>
    </w:p>
    <w:p>
      <w:pPr>
        <w:spacing w:after="140" w:line="276"/>
      </w:pPr>
      <w:r>
        <w:rPr>
          <w:color w:val="322F30"/>
          <w:sz w:val="21"/>
          <w:szCs w:val="21"/>
        </w:rPr>
        <w:t xml:space="preserve">You can manage or withdraw cookie consent at any time through your browser settings or through any cookie management tool on our website. Withdrawing consent for non-essential cookies will not affect your ability to use our website or our services.</w:t>
      </w:r>
    </w:p>
    <w:p>
      <w:pPr>
        <w:pStyle w:val="Heading1"/>
        <w:spacing w:after="160" w:before="340"/>
      </w:pPr>
      <w:r>
        <w:rPr>
          <w:b/>
          <w:bCs/>
          <w:color w:val="2C3B38"/>
          <w:sz w:val="28"/>
          <w:szCs w:val="28"/>
        </w:rPr>
        <w:t xml:space="preserve">8. Your Data Protection Rights</w:t>
      </w:r>
    </w:p>
    <w:p>
      <w:pPr>
        <w:spacing w:after="140" w:line="276"/>
      </w:pPr>
      <w:r>
        <w:rPr>
          <w:color w:val="322F30"/>
          <w:sz w:val="21"/>
          <w:szCs w:val="21"/>
        </w:rPr>
        <w:t xml:space="preserve">Under UK GDPR and the DUAA 2025, you have the following rights. The rights that apply to you in any given situation depend on the lawful basis we rely on for processing.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46"/>
        <w:gridCol w:w="6680"/>
      </w:tblGrid>
      <w:tr>
        <w:trPr>
          <w:tblHeader/>
        </w:trPr>
        <w:tc>
          <w:tcPr>
            <w:tcW w:type="dxa" w:w="2346"/>
            <w:shd w:fill="EDEFEA" w:color="auto" w:val="clear"/>
            <w:tcMar>
              <w:top w:type="dxa" w:w="90"/>
              <w:left w:type="dxa" w:w="120"/>
              <w:bottom w:type="dxa" w:w="90"/>
              <w:right w:type="dxa" w:w="120"/>
            </w:tcMar>
          </w:tcPr>
          <w:p>
            <w:pPr>
              <w:spacing w:after="0" w:line="264"/>
            </w:pPr>
            <w:r>
              <w:rPr>
                <w:b/>
                <w:bCs/>
                <w:color w:val="405550"/>
                <w:sz w:val="19"/>
                <w:szCs w:val="19"/>
              </w:rPr>
              <w:t xml:space="preserve">YOUR RIGHT</w:t>
            </w:r>
          </w:p>
        </w:tc>
        <w:tc>
          <w:tcPr>
            <w:tcW w:type="dxa" w:w="6680"/>
            <w:shd w:fill="EDEFEA" w:color="auto" w:val="clear"/>
            <w:tcMar>
              <w:top w:type="dxa" w:w="90"/>
              <w:left w:type="dxa" w:w="120"/>
              <w:bottom w:type="dxa" w:w="90"/>
              <w:right w:type="dxa" w:w="120"/>
            </w:tcMar>
          </w:tcPr>
          <w:p>
            <w:pPr>
              <w:spacing w:after="0" w:line="264"/>
            </w:pPr>
            <w:r>
              <w:rPr>
                <w:b/>
                <w:bCs/>
                <w:color w:val="405550"/>
                <w:sz w:val="19"/>
                <w:szCs w:val="19"/>
              </w:rPr>
              <w:t xml:space="preserve">WHAT IT MEANS</w:t>
            </w:r>
          </w:p>
        </w:tc>
      </w:tr>
      <w:tr>
        <w:tc>
          <w:tcPr>
            <w:tcW w:type="dxa" w:w="2346"/>
            <w:tcMar>
              <w:top w:type="dxa" w:w="90"/>
              <w:left w:type="dxa" w:w="120"/>
              <w:bottom w:type="dxa" w:w="90"/>
              <w:right w:type="dxa" w:w="120"/>
            </w:tcMar>
          </w:tcPr>
          <w:p>
            <w:pPr>
              <w:spacing w:after="0" w:line="264"/>
            </w:pPr>
            <w:r>
              <w:rPr>
                <w:color w:val="322F30"/>
                <w:sz w:val="19"/>
                <w:szCs w:val="19"/>
              </w:rPr>
              <w:t xml:space="preserve">Right of access</w:t>
            </w:r>
          </w:p>
        </w:tc>
        <w:tc>
          <w:tcPr>
            <w:tcW w:type="dxa" w:w="6680"/>
            <w:tcMar>
              <w:top w:type="dxa" w:w="90"/>
              <w:left w:type="dxa" w:w="120"/>
              <w:bottom w:type="dxa" w:w="90"/>
              <w:right w:type="dxa" w:w="120"/>
            </w:tcMar>
          </w:tcPr>
          <w:p>
            <w:pPr>
              <w:spacing w:after="0" w:line="264"/>
            </w:pPr>
            <w:r>
              <w:rPr>
                <w:color w:val="322F30"/>
                <w:sz w:val="19"/>
                <w:szCs w:val="19"/>
              </w:rPr>
              <w:t xml:space="preserve">You can ask us for a copy of the personal data we hold about you, and information about how we use it. We must respond within one month.</w:t>
            </w:r>
          </w:p>
        </w:tc>
      </w:tr>
      <w:tr>
        <w:tc>
          <w:tcPr>
            <w:tcW w:type="dxa" w:w="2346"/>
            <w:tcMar>
              <w:top w:type="dxa" w:w="90"/>
              <w:left w:type="dxa" w:w="120"/>
              <w:bottom w:type="dxa" w:w="90"/>
              <w:right w:type="dxa" w:w="120"/>
            </w:tcMar>
          </w:tcPr>
          <w:p>
            <w:pPr>
              <w:spacing w:after="0" w:line="264"/>
            </w:pPr>
            <w:r>
              <w:rPr>
                <w:color w:val="322F30"/>
                <w:sz w:val="19"/>
                <w:szCs w:val="19"/>
              </w:rPr>
              <w:t xml:space="preserve">Right to rectification</w:t>
            </w:r>
          </w:p>
        </w:tc>
        <w:tc>
          <w:tcPr>
            <w:tcW w:type="dxa" w:w="6680"/>
            <w:tcMar>
              <w:top w:type="dxa" w:w="90"/>
              <w:left w:type="dxa" w:w="120"/>
              <w:bottom w:type="dxa" w:w="90"/>
              <w:right w:type="dxa" w:w="120"/>
            </w:tcMar>
          </w:tcPr>
          <w:p>
            <w:pPr>
              <w:spacing w:after="0" w:line="264"/>
            </w:pPr>
            <w:r>
              <w:rPr>
                <w:color w:val="322F30"/>
                <w:sz w:val="19"/>
                <w:szCs w:val="19"/>
              </w:rPr>
              <w:t xml:space="preserve">You can ask us to correct inaccurate or incomplete personal data.</w:t>
            </w:r>
          </w:p>
        </w:tc>
      </w:tr>
      <w:tr>
        <w:tc>
          <w:tcPr>
            <w:tcW w:type="dxa" w:w="2346"/>
            <w:tcMar>
              <w:top w:type="dxa" w:w="90"/>
              <w:left w:type="dxa" w:w="120"/>
              <w:bottom w:type="dxa" w:w="90"/>
              <w:right w:type="dxa" w:w="120"/>
            </w:tcMar>
          </w:tcPr>
          <w:p>
            <w:pPr>
              <w:spacing w:after="0" w:line="264"/>
            </w:pPr>
            <w:r>
              <w:rPr>
                <w:color w:val="322F30"/>
                <w:sz w:val="19"/>
                <w:szCs w:val="19"/>
              </w:rPr>
              <w:t xml:space="preserve">Right to erasure</w:t>
            </w:r>
          </w:p>
        </w:tc>
        <w:tc>
          <w:tcPr>
            <w:tcW w:type="dxa" w:w="6680"/>
            <w:tcMar>
              <w:top w:type="dxa" w:w="90"/>
              <w:left w:type="dxa" w:w="120"/>
              <w:bottom w:type="dxa" w:w="90"/>
              <w:right w:type="dxa" w:w="120"/>
            </w:tcMar>
          </w:tcPr>
          <w:p>
            <w:pPr>
              <w:spacing w:after="0" w:line="264"/>
            </w:pPr>
            <w:r>
              <w:rPr>
                <w:color w:val="322F30"/>
                <w:sz w:val="19"/>
                <w:szCs w:val="19"/>
              </w:rPr>
              <w:t xml:space="preserve">You can ask us to delete your personal data in certain circumstances. This right does not apply where we are required by law to retain the data.</w:t>
            </w:r>
          </w:p>
        </w:tc>
      </w:tr>
      <w:tr>
        <w:tc>
          <w:tcPr>
            <w:tcW w:type="dxa" w:w="2346"/>
            <w:tcMar>
              <w:top w:type="dxa" w:w="90"/>
              <w:left w:type="dxa" w:w="120"/>
              <w:bottom w:type="dxa" w:w="90"/>
              <w:right w:type="dxa" w:w="120"/>
            </w:tcMar>
          </w:tcPr>
          <w:p>
            <w:pPr>
              <w:spacing w:after="0" w:line="264"/>
            </w:pPr>
            <w:r>
              <w:rPr>
                <w:color w:val="322F30"/>
                <w:sz w:val="19"/>
                <w:szCs w:val="19"/>
              </w:rPr>
              <w:t xml:space="preserve">Right to restriction of processing</w:t>
            </w:r>
          </w:p>
        </w:tc>
        <w:tc>
          <w:tcPr>
            <w:tcW w:type="dxa" w:w="6680"/>
            <w:tcMar>
              <w:top w:type="dxa" w:w="90"/>
              <w:left w:type="dxa" w:w="120"/>
              <w:bottom w:type="dxa" w:w="90"/>
              <w:right w:type="dxa" w:w="120"/>
            </w:tcMar>
          </w:tcPr>
          <w:p>
            <w:pPr>
              <w:spacing w:after="0" w:line="264"/>
            </w:pPr>
            <w:r>
              <w:rPr>
                <w:color w:val="322F30"/>
                <w:sz w:val="19"/>
                <w:szCs w:val="19"/>
              </w:rPr>
              <w:t xml:space="preserve">You can ask us to limit how we use your data in certain circumstances.</w:t>
            </w:r>
          </w:p>
        </w:tc>
      </w:tr>
      <w:tr>
        <w:tc>
          <w:tcPr>
            <w:tcW w:type="dxa" w:w="2346"/>
            <w:tcMar>
              <w:top w:type="dxa" w:w="90"/>
              <w:left w:type="dxa" w:w="120"/>
              <w:bottom w:type="dxa" w:w="90"/>
              <w:right w:type="dxa" w:w="120"/>
            </w:tcMar>
          </w:tcPr>
          <w:p>
            <w:pPr>
              <w:spacing w:after="0" w:line="264"/>
            </w:pPr>
            <w:r>
              <w:rPr>
                <w:color w:val="322F30"/>
                <w:sz w:val="19"/>
                <w:szCs w:val="19"/>
              </w:rPr>
              <w:t xml:space="preserve">Right to object</w:t>
            </w:r>
          </w:p>
        </w:tc>
        <w:tc>
          <w:tcPr>
            <w:tcW w:type="dxa" w:w="6680"/>
            <w:tcMar>
              <w:top w:type="dxa" w:w="90"/>
              <w:left w:type="dxa" w:w="120"/>
              <w:bottom w:type="dxa" w:w="90"/>
              <w:right w:type="dxa" w:w="120"/>
            </w:tcMar>
          </w:tcPr>
          <w:p>
            <w:pPr>
              <w:spacing w:after="0" w:line="264"/>
            </w:pPr>
            <w:r>
              <w:rPr>
                <w:color w:val="322F30"/>
                <w:sz w:val="19"/>
                <w:szCs w:val="19"/>
              </w:rPr>
              <w:t xml:space="preserve">You can object to processing based on legitimate interests. We must stop unless we can demonstrate compelling grounds to continue.</w:t>
            </w:r>
          </w:p>
        </w:tc>
      </w:tr>
      <w:tr>
        <w:tc>
          <w:tcPr>
            <w:tcW w:type="dxa" w:w="2346"/>
            <w:tcMar>
              <w:top w:type="dxa" w:w="90"/>
              <w:left w:type="dxa" w:w="120"/>
              <w:bottom w:type="dxa" w:w="90"/>
              <w:right w:type="dxa" w:w="120"/>
            </w:tcMar>
          </w:tcPr>
          <w:p>
            <w:pPr>
              <w:spacing w:after="0" w:line="264"/>
            </w:pPr>
            <w:r>
              <w:rPr>
                <w:color w:val="322F30"/>
                <w:sz w:val="19"/>
                <w:szCs w:val="19"/>
              </w:rPr>
              <w:t xml:space="preserve">Right to data portability</w:t>
            </w:r>
          </w:p>
        </w:tc>
        <w:tc>
          <w:tcPr>
            <w:tcW w:type="dxa" w:w="6680"/>
            <w:tcMar>
              <w:top w:type="dxa" w:w="90"/>
              <w:left w:type="dxa" w:w="120"/>
              <w:bottom w:type="dxa" w:w="90"/>
              <w:right w:type="dxa" w:w="120"/>
            </w:tcMar>
          </w:tcPr>
          <w:p>
            <w:pPr>
              <w:spacing w:after="0" w:line="264"/>
            </w:pPr>
            <w:r>
              <w:rPr>
                <w:color w:val="322F30"/>
                <w:sz w:val="19"/>
                <w:szCs w:val="19"/>
              </w:rPr>
              <w:t xml:space="preserve">Where processing is based on consent or contract and is automated, you can ask us to transfer your data to another organisation or to you directly.</w:t>
            </w:r>
          </w:p>
        </w:tc>
      </w:tr>
      <w:tr>
        <w:tc>
          <w:tcPr>
            <w:tcW w:type="dxa" w:w="2346"/>
            <w:tcMar>
              <w:top w:type="dxa" w:w="90"/>
              <w:left w:type="dxa" w:w="120"/>
              <w:bottom w:type="dxa" w:w="90"/>
              <w:right w:type="dxa" w:w="120"/>
            </w:tcMar>
          </w:tcPr>
          <w:p>
            <w:pPr>
              <w:spacing w:after="0" w:line="264"/>
            </w:pPr>
            <w:r>
              <w:rPr>
                <w:color w:val="322F30"/>
                <w:sz w:val="19"/>
                <w:szCs w:val="19"/>
              </w:rPr>
              <w:t xml:space="preserve">Right to withdraw consent</w:t>
            </w:r>
          </w:p>
        </w:tc>
        <w:tc>
          <w:tcPr>
            <w:tcW w:type="dxa" w:w="6680"/>
            <w:tcMar>
              <w:top w:type="dxa" w:w="90"/>
              <w:left w:type="dxa" w:w="120"/>
              <w:bottom w:type="dxa" w:w="90"/>
              <w:right w:type="dxa" w:w="120"/>
            </w:tcMar>
          </w:tcPr>
          <w:p>
            <w:pPr>
              <w:spacing w:after="0" w:line="264"/>
            </w:pPr>
            <w:r>
              <w:rPr>
                <w:color w:val="322F30"/>
                <w:sz w:val="19"/>
                <w:szCs w:val="19"/>
              </w:rPr>
              <w:t xml:space="preserve">Where we rely on consent as our lawful basis, you can withdraw it at any time. This does not affect the lawfulness of processing before withdrawal.</w:t>
            </w:r>
          </w:p>
        </w:tc>
      </w:tr>
      <w:tr>
        <w:tc>
          <w:tcPr>
            <w:tcW w:type="dxa" w:w="2346"/>
            <w:tcMar>
              <w:top w:type="dxa" w:w="90"/>
              <w:left w:type="dxa" w:w="120"/>
              <w:bottom w:type="dxa" w:w="90"/>
              <w:right w:type="dxa" w:w="120"/>
            </w:tcMar>
          </w:tcPr>
          <w:p>
            <w:pPr>
              <w:spacing w:after="0" w:line="264"/>
            </w:pPr>
            <w:r>
              <w:rPr>
                <w:color w:val="322F30"/>
                <w:sz w:val="19"/>
                <w:szCs w:val="19"/>
              </w:rPr>
              <w:t xml:space="preserve">Right to complain</w:t>
            </w:r>
          </w:p>
        </w:tc>
        <w:tc>
          <w:tcPr>
            <w:tcW w:type="dxa" w:w="6680"/>
            <w:tcMar>
              <w:top w:type="dxa" w:w="90"/>
              <w:left w:type="dxa" w:w="120"/>
              <w:bottom w:type="dxa" w:w="90"/>
              <w:right w:type="dxa" w:w="120"/>
            </w:tcMar>
          </w:tcPr>
          <w:p>
            <w:pPr>
              <w:spacing w:after="0" w:line="264"/>
            </w:pPr>
            <w:r>
              <w:rPr>
                <w:color w:val="322F30"/>
                <w:sz w:val="19"/>
                <w:szCs w:val="19"/>
              </w:rPr>
              <w:t xml:space="preserve">You have the right to complain to the ICO if you are unhappy with how we handle your data. See Section 9.</w:t>
            </w:r>
          </w:p>
        </w:tc>
      </w:tr>
    </w:tbl>
    <w:p>
      <w:pPr>
        <w:spacing w:after="160"/>
      </w:pPr>
    </w:p>
    <w:p>
      <w:pPr>
        <w:spacing w:after="140" w:line="276"/>
      </w:pPr>
      <w:r>
        <w:rPr>
          <w:color w:val="322F30"/>
          <w:sz w:val="21"/>
          <w:szCs w:val="21"/>
        </w:rPr>
        <w:t xml:space="preserve">You can delete your own reflections at any time within The Wylde App, and close your account and delete its content from your account page. Closing your account removes your profile, your journal, your saved resources, your lens progress and every row of your energy economy data, and is irreversible.</w:t>
      </w:r>
    </w:p>
    <w:p>
      <w:pPr>
        <w:spacing w:after="140" w:before="60"/>
      </w:pPr>
      <w:r>
        <w:rPr>
          <w:b/>
          <w:bCs/>
          <w:color w:val="625045"/>
          <w:sz w:val="17"/>
          <w:szCs w:val="17"/>
        </w:rPr>
        <w:t xml:space="preserve">NEW IN v3.1 — </w:t>
      </w:r>
      <w:r>
        <w:rPr>
          <w:i/>
          <w:iCs/>
          <w:color w:val="625045"/>
          <w:sz w:val="17"/>
          <w:szCs w:val="17"/>
        </w:rPr>
        <w:t xml:space="preserve">the paragraph above.</w:t>
      </w:r>
    </w:p>
    <w:p>
      <w:pPr>
        <w:spacing w:after="140" w:line="276"/>
      </w:pPr>
      <w:r>
        <w:rPr>
          <w:color w:val="322F30"/>
          <w:sz w:val="21"/>
          <w:szCs w:val="21"/>
        </w:rPr>
        <w:t xml:space="preserve">To exercise any of your rights, please contact us at info@wyldewellbeing.uk. We will respond within one month of receiving your request. We may need to verify your identity before we can action your request.</w:t>
      </w:r>
    </w:p>
    <w:p>
      <w:pPr>
        <w:pStyle w:val="Heading1"/>
        <w:spacing w:after="160" w:before="340"/>
      </w:pPr>
      <w:r>
        <w:rPr>
          <w:b/>
          <w:bCs/>
          <w:color w:val="2C3B38"/>
          <w:sz w:val="28"/>
          <w:szCs w:val="28"/>
        </w:rPr>
        <w:t xml:space="preserve">9. How to Complain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Data protection complaints procedure (DUAA 2025, in force from 19 June 2026)</w:t>
            </w:r>
          </w:p>
          <w:p>
            <w:pPr>
              <w:spacing w:after="80" w:line="276"/>
            </w:pPr>
            <w:r>
              <w:rPr>
                <w:color w:val="322F30"/>
                <w:sz w:val="20"/>
                <w:szCs w:val="20"/>
              </w:rPr>
              <w:t xml:space="preserve">The Data (Use and Access) Act 2025 requires us to have a formal data protection complaints procedure. If you wish to raise a concern about how we handle your data, please contact us at info@wyldewellbeing.uk. We will acknowledge your complaint within five working days and respond substantively within 30 days.</w:t>
            </w:r>
          </w:p>
          <w:p>
            <w:pPr>
              <w:spacing w:after="80" w:line="276"/>
            </w:pPr>
            <w:r>
              <w:rPr>
                <w:color w:val="322F30"/>
                <w:sz w:val="20"/>
                <w:szCs w:val="20"/>
              </w:rPr>
              <w:t xml:space="preserve">Complaints about the coaching itself, rather than about your data, are handled under our separate Complaints Procedure, which is available on request and at wyldewellbeing.uk.</w:t>
            </w:r>
          </w:p>
        </w:tc>
      </w:tr>
    </w:tbl>
    <w:p>
      <w:pPr>
        <w:spacing w:after="160"/>
      </w:pPr>
    </w:p>
    <w:p>
      <w:pPr>
        <w:spacing w:after="140" w:line="276"/>
      </w:pPr>
      <w:r>
        <w:rPr>
          <w:color w:val="322F30"/>
          <w:sz w:val="21"/>
          <w:szCs w:val="21"/>
        </w:rPr>
        <w:t xml:space="preserve">If you have concerns about how we handle your personal data, please contact us in the first instance:</w:t>
      </w:r>
    </w:p>
    <w:p>
      <w:pPr>
        <w:pStyle w:val="ListParagraph"/>
        <w:numPr>
          <w:ilvl w:val="0"/>
          <w:numId w:val="1"/>
        </w:numPr>
        <w:spacing w:after="90" w:line="276"/>
      </w:pPr>
      <w:r>
        <w:rPr>
          <w:color w:val="322F30"/>
          <w:sz w:val="21"/>
          <w:szCs w:val="21"/>
        </w:rPr>
        <w:t xml:space="preserve">Email: info@wyldewellbeing.uk</w:t>
      </w:r>
    </w:p>
    <w:p>
      <w:pPr>
        <w:pStyle w:val="ListParagraph"/>
        <w:numPr>
          <w:ilvl w:val="0"/>
          <w:numId w:val="1"/>
        </w:numPr>
        <w:spacing w:after="90" w:line="276"/>
      </w:pPr>
      <w:r>
        <w:rPr>
          <w:color w:val="322F30"/>
          <w:sz w:val="21"/>
          <w:szCs w:val="21"/>
        </w:rPr>
        <w:t xml:space="preserve">Address: Highcroft, Factory Road, Cowbridge, Vale of Glamorgan, CF71 7JD</w:t>
      </w:r>
    </w:p>
    <w:p>
      <w:pPr>
        <w:spacing w:after="140" w:line="276"/>
      </w:pPr>
      <w:r>
        <w:rPr>
          <w:color w:val="322F30"/>
          <w:sz w:val="21"/>
          <w:szCs w:val="21"/>
        </w:rPr>
        <w:t xml:space="preserve">We will respond promptly and treat all concerns with care and confidentiality.</w:t>
      </w:r>
    </w:p>
    <w:p>
      <w:pPr>
        <w:spacing w:after="140" w:line="276"/>
      </w:pPr>
      <w:r>
        <w:rPr>
          <w:color w:val="322F30"/>
          <w:sz w:val="21"/>
          <w:szCs w:val="21"/>
        </w:rPr>
        <w:t xml:space="preserve">If you remain unhappy after raising a concern with us, you have the right to complain to the Information Commissioner's Office (ICO):</w:t>
      </w:r>
    </w:p>
    <w:p>
      <w:pPr>
        <w:pStyle w:val="ListParagraph"/>
        <w:numPr>
          <w:ilvl w:val="0"/>
          <w:numId w:val="1"/>
        </w:numPr>
        <w:spacing w:after="90" w:line="276"/>
      </w:pPr>
      <w:r>
        <w:rPr>
          <w:color w:val="322F30"/>
          <w:sz w:val="21"/>
          <w:szCs w:val="21"/>
        </w:rPr>
        <w:t xml:space="preserve">ICO address: Information Commissioner's Office, Wycliffe House, Water Lane, Wilmslow, Cheshire, SK9 5AF</w:t>
      </w:r>
    </w:p>
    <w:p>
      <w:pPr>
        <w:pStyle w:val="ListParagraph"/>
        <w:numPr>
          <w:ilvl w:val="0"/>
          <w:numId w:val="1"/>
        </w:numPr>
        <w:spacing w:after="90" w:line="276"/>
      </w:pPr>
      <w:r>
        <w:rPr>
          <w:color w:val="322F30"/>
          <w:sz w:val="21"/>
          <w:szCs w:val="21"/>
        </w:rPr>
        <w:t xml:space="preserve">ICO helpline: 0303 123 1113</w:t>
      </w:r>
    </w:p>
    <w:p>
      <w:pPr>
        <w:pStyle w:val="ListParagraph"/>
        <w:numPr>
          <w:ilvl w:val="0"/>
          <w:numId w:val="1"/>
        </w:numPr>
        <w:spacing w:after="90" w:line="276"/>
      </w:pPr>
      <w:r>
        <w:rPr>
          <w:color w:val="322F30"/>
          <w:sz w:val="21"/>
          <w:szCs w:val="21"/>
        </w:rPr>
        <w:t xml:space="preserve">ICO website: ico.org.uk/make-a-complaint</w:t>
      </w:r>
    </w:p>
    <w:p>
      <w:pPr>
        <w:spacing w:after="140" w:line="276"/>
      </w:pPr>
      <w:r>
        <w:rPr>
          <w:color w:val="322F30"/>
          <w:sz w:val="21"/>
          <w:szCs w:val="21"/>
        </w:rPr>
        <w:t xml:space="preserve">You also have the right to seek legal remedies if you believe your data protection rights have been infringed.</w:t>
      </w:r>
    </w:p>
    <w:p>
      <w:pPr>
        <w:pStyle w:val="Heading1"/>
        <w:spacing w:after="160" w:before="340"/>
      </w:pPr>
      <w:r>
        <w:rPr>
          <w:b/>
          <w:bCs/>
          <w:color w:val="2C3B38"/>
          <w:sz w:val="28"/>
          <w:szCs w:val="28"/>
        </w:rPr>
        <w:t xml:space="preserve">10. Keeping This Notice Up to Date</w:t>
      </w:r>
    </w:p>
    <w:p>
      <w:pPr>
        <w:spacing w:after="140" w:line="276"/>
      </w:pPr>
      <w:r>
        <w:rPr>
          <w:color w:val="322F30"/>
          <w:sz w:val="21"/>
          <w:szCs w:val="21"/>
        </w:rPr>
        <w:t xml:space="preserve">We review this privacy notice regularly and update it when:</w:t>
      </w:r>
    </w:p>
    <w:p>
      <w:pPr>
        <w:pStyle w:val="ListParagraph"/>
        <w:numPr>
          <w:ilvl w:val="0"/>
          <w:numId w:val="1"/>
        </w:numPr>
        <w:spacing w:after="90" w:line="276"/>
      </w:pPr>
      <w:r>
        <w:rPr>
          <w:color w:val="322F30"/>
          <w:sz w:val="21"/>
          <w:szCs w:val="21"/>
        </w:rPr>
        <w:t xml:space="preserve">Our data practices change</w:t>
      </w:r>
    </w:p>
    <w:p>
      <w:pPr>
        <w:pStyle w:val="ListParagraph"/>
        <w:numPr>
          <w:ilvl w:val="0"/>
          <w:numId w:val="1"/>
        </w:numPr>
        <w:spacing w:after="90" w:line="276"/>
      </w:pPr>
      <w:r>
        <w:rPr>
          <w:color w:val="322F30"/>
          <w:sz w:val="21"/>
          <w:szCs w:val="21"/>
        </w:rPr>
        <w:t xml:space="preserve">We introduce a new data processor or AI tool</w:t>
      </w:r>
    </w:p>
    <w:p>
      <w:pPr>
        <w:pStyle w:val="ListParagraph"/>
        <w:numPr>
          <w:ilvl w:val="0"/>
          <w:numId w:val="1"/>
        </w:numPr>
        <w:spacing w:after="90" w:line="276"/>
      </w:pPr>
      <w:r>
        <w:rPr>
          <w:color w:val="322F30"/>
          <w:sz w:val="21"/>
          <w:szCs w:val="21"/>
        </w:rPr>
        <w:t xml:space="preserve">We begin working from new premises or with a new referral partner</w:t>
      </w:r>
    </w:p>
    <w:p>
      <w:pPr>
        <w:pStyle w:val="ListParagraph"/>
        <w:numPr>
          <w:ilvl w:val="0"/>
          <w:numId w:val="1"/>
        </w:numPr>
        <w:spacing w:after="90" w:line="276"/>
      </w:pPr>
      <w:r>
        <w:rPr>
          <w:color w:val="322F30"/>
          <w:sz w:val="21"/>
          <w:szCs w:val="21"/>
        </w:rPr>
        <w:t xml:space="preserve">Legislation or ICO guidance changes</w:t>
      </w:r>
    </w:p>
    <w:p>
      <w:pPr>
        <w:pStyle w:val="ListParagraph"/>
        <w:numPr>
          <w:ilvl w:val="0"/>
          <w:numId w:val="1"/>
        </w:numPr>
        <w:spacing w:after="90" w:line="276"/>
      </w:pPr>
      <w:r>
        <w:rPr>
          <w:color w:val="322F30"/>
          <w:sz w:val="21"/>
          <w:szCs w:val="21"/>
        </w:rPr>
        <w:t xml:space="preserve">The annual review date falls due</w:t>
      </w:r>
    </w:p>
    <w:p>
      <w:pPr>
        <w:spacing w:after="140" w:line="276"/>
      </w:pPr>
      <w:r>
        <w:rPr>
          <w:color w:val="322F30"/>
          <w:sz w:val="21"/>
          <w:szCs w:val="21"/>
        </w:rPr>
        <w:t xml:space="preserve">Where changes are material, we will notify active clients directly. The version history is set out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
        <w:gridCol w:w="1263"/>
        <w:gridCol w:w="5596"/>
        <w:gridCol w:w="1265"/>
      </w:tblGrid>
      <w:tr>
        <w:trPr>
          <w:tblHeader/>
        </w:trPr>
        <w:tc>
          <w:tcPr>
            <w:tcW w:type="dxa" w:w="902"/>
            <w:shd w:fill="EDEFEA" w:color="auto" w:val="clear"/>
            <w:tcMar>
              <w:top w:type="dxa" w:w="90"/>
              <w:left w:type="dxa" w:w="120"/>
              <w:bottom w:type="dxa" w:w="90"/>
              <w:right w:type="dxa" w:w="120"/>
            </w:tcMar>
          </w:tcPr>
          <w:p>
            <w:pPr>
              <w:spacing w:after="0" w:line="264"/>
            </w:pPr>
            <w:r>
              <w:rPr>
                <w:b/>
                <w:bCs/>
                <w:color w:val="405550"/>
                <w:sz w:val="19"/>
                <w:szCs w:val="19"/>
              </w:rPr>
              <w:t xml:space="preserve">VERSION</w:t>
            </w:r>
          </w:p>
        </w:tc>
        <w:tc>
          <w:tcPr>
            <w:tcW w:type="dxa" w:w="1263"/>
            <w:shd w:fill="EDEFEA" w:color="auto" w:val="clear"/>
            <w:tcMar>
              <w:top w:type="dxa" w:w="90"/>
              <w:left w:type="dxa" w:w="120"/>
              <w:bottom w:type="dxa" w:w="90"/>
              <w:right w:type="dxa" w:w="120"/>
            </w:tcMar>
          </w:tcPr>
          <w:p>
            <w:pPr>
              <w:spacing w:after="0" w:line="264"/>
            </w:pPr>
            <w:r>
              <w:rPr>
                <w:b/>
                <w:bCs/>
                <w:color w:val="405550"/>
                <w:sz w:val="19"/>
                <w:szCs w:val="19"/>
              </w:rPr>
              <w:t xml:space="preserve">DATE</w:t>
            </w:r>
          </w:p>
        </w:tc>
        <w:tc>
          <w:tcPr>
            <w:tcW w:type="dxa" w:w="5596"/>
            <w:shd w:fill="EDEFEA" w:color="auto" w:val="clear"/>
            <w:tcMar>
              <w:top w:type="dxa" w:w="90"/>
              <w:left w:type="dxa" w:w="120"/>
              <w:bottom w:type="dxa" w:w="90"/>
              <w:right w:type="dxa" w:w="120"/>
            </w:tcMar>
          </w:tcPr>
          <w:p>
            <w:pPr>
              <w:spacing w:after="0" w:line="264"/>
            </w:pPr>
            <w:r>
              <w:rPr>
                <w:b/>
                <w:bCs/>
                <w:color w:val="405550"/>
                <w:sz w:val="19"/>
                <w:szCs w:val="19"/>
              </w:rPr>
              <w:t xml:space="preserve">CHANGES</w:t>
            </w:r>
          </w:p>
        </w:tc>
        <w:tc>
          <w:tcPr>
            <w:tcW w:type="dxa" w:w="1265"/>
            <w:shd w:fill="EDEFEA" w:color="auto" w:val="clear"/>
            <w:tcMar>
              <w:top w:type="dxa" w:w="90"/>
              <w:left w:type="dxa" w:w="120"/>
              <w:bottom w:type="dxa" w:w="90"/>
              <w:right w:type="dxa" w:w="120"/>
            </w:tcMar>
          </w:tcPr>
          <w:p>
            <w:pPr>
              <w:spacing w:after="0" w:line="264"/>
            </w:pPr>
            <w:r>
              <w:rPr>
                <w:b/>
                <w:bCs/>
                <w:color w:val="405550"/>
                <w:sz w:val="19"/>
                <w:szCs w:val="19"/>
              </w:rPr>
              <w:t xml:space="preserve">AUTHOR</w:t>
            </w:r>
          </w:p>
        </w:tc>
      </w:tr>
      <w:tr>
        <w:tc>
          <w:tcPr>
            <w:tcW w:type="dxa" w:w="902"/>
            <w:tcMar>
              <w:top w:type="dxa" w:w="90"/>
              <w:left w:type="dxa" w:w="120"/>
              <w:bottom w:type="dxa" w:w="90"/>
              <w:right w:type="dxa" w:w="120"/>
            </w:tcMar>
          </w:tcPr>
          <w:p>
            <w:pPr>
              <w:spacing w:after="0" w:line="264"/>
            </w:pPr>
            <w:r>
              <w:rPr>
                <w:color w:val="322F30"/>
                <w:sz w:val="19"/>
                <w:szCs w:val="19"/>
              </w:rPr>
              <w:t xml:space="preserve">1.0</w:t>
            </w:r>
          </w:p>
        </w:tc>
        <w:tc>
          <w:tcPr>
            <w:tcW w:type="dxa" w:w="1263"/>
            <w:tcMar>
              <w:top w:type="dxa" w:w="90"/>
              <w:left w:type="dxa" w:w="120"/>
              <w:bottom w:type="dxa" w:w="90"/>
              <w:right w:type="dxa" w:w="120"/>
            </w:tcMar>
          </w:tcPr>
          <w:p>
            <w:pPr>
              <w:spacing w:after="0" w:line="264"/>
            </w:pPr>
            <w:r>
              <w:rPr>
                <w:color w:val="322F30"/>
                <w:sz w:val="19"/>
                <w:szCs w:val="19"/>
              </w:rPr>
              <w:t xml:space="preserve">15 Oct 2025</w:t>
            </w:r>
          </w:p>
        </w:tc>
        <w:tc>
          <w:tcPr>
            <w:tcW w:type="dxa" w:w="5596"/>
            <w:tcMar>
              <w:top w:type="dxa" w:w="90"/>
              <w:left w:type="dxa" w:w="120"/>
              <w:bottom w:type="dxa" w:w="90"/>
              <w:right w:type="dxa" w:w="120"/>
            </w:tcMar>
          </w:tcPr>
          <w:p>
            <w:pPr>
              <w:spacing w:after="0" w:line="264"/>
            </w:pPr>
            <w:r>
              <w:rPr>
                <w:color w:val="322F30"/>
                <w:sz w:val="19"/>
                <w:szCs w:val="19"/>
              </w:rPr>
              <w:t xml:space="preserve">Initial ICO-template privacy notice issued</w:t>
            </w:r>
          </w:p>
        </w:tc>
        <w:tc>
          <w:tcPr>
            <w:tcW w:type="dxa" w:w="1265"/>
            <w:tcMar>
              <w:top w:type="dxa" w:w="90"/>
              <w:left w:type="dxa" w:w="120"/>
              <w:bottom w:type="dxa" w:w="90"/>
              <w:right w:type="dxa" w:w="120"/>
            </w:tcMar>
          </w:tcPr>
          <w:p>
            <w:pPr>
              <w:spacing w:after="0" w:line="264"/>
            </w:pPr>
            <w:r>
              <w:rPr>
                <w:color w:val="322F30"/>
                <w:sz w:val="19"/>
                <w:szCs w:val="19"/>
              </w:rPr>
              <w:t xml:space="preserve">Emily Forbes</w:t>
            </w:r>
          </w:p>
        </w:tc>
      </w:tr>
      <w:tr>
        <w:tc>
          <w:tcPr>
            <w:tcW w:type="dxa" w:w="902"/>
            <w:tcMar>
              <w:top w:type="dxa" w:w="90"/>
              <w:left w:type="dxa" w:w="120"/>
              <w:bottom w:type="dxa" w:w="90"/>
              <w:right w:type="dxa" w:w="120"/>
            </w:tcMar>
          </w:tcPr>
          <w:p>
            <w:pPr>
              <w:spacing w:after="0" w:line="264"/>
            </w:pPr>
            <w:r>
              <w:rPr>
                <w:color w:val="322F30"/>
                <w:sz w:val="19"/>
                <w:szCs w:val="19"/>
              </w:rPr>
              <w:t xml:space="preserve">2.0</w:t>
            </w:r>
          </w:p>
        </w:tc>
        <w:tc>
          <w:tcPr>
            <w:tcW w:type="dxa" w:w="1263"/>
            <w:tcMar>
              <w:top w:type="dxa" w:w="90"/>
              <w:left w:type="dxa" w:w="120"/>
              <w:bottom w:type="dxa" w:w="90"/>
              <w:right w:type="dxa" w:w="120"/>
            </w:tcMar>
          </w:tcPr>
          <w:p>
            <w:pPr>
              <w:spacing w:after="0" w:line="264"/>
            </w:pPr>
            <w:r>
              <w:rPr>
                <w:color w:val="322F30"/>
                <w:sz w:val="19"/>
                <w:szCs w:val="19"/>
              </w:rPr>
              <w:t xml:space="preserve">1 May 2026</w:t>
            </w:r>
          </w:p>
        </w:tc>
        <w:tc>
          <w:tcPr>
            <w:tcW w:type="dxa" w:w="5596"/>
            <w:tcMar>
              <w:top w:type="dxa" w:w="90"/>
              <w:left w:type="dxa" w:w="120"/>
              <w:bottom w:type="dxa" w:w="90"/>
              <w:right w:type="dxa" w:w="120"/>
            </w:tcMar>
          </w:tcPr>
          <w:p>
            <w:pPr>
              <w:spacing w:after="0" w:line="264"/>
            </w:pPr>
            <w:r>
              <w:rPr>
                <w:color w:val="322F30"/>
                <w:sz w:val="19"/>
                <w:szCs w:val="19"/>
              </w:rPr>
              <w:t xml:space="preserve">Full redraft: DUAA 2025 compliance; AI and Fathom DPA added; cookies section; automated decision-making; DUAA complaints procedure; lawful basis table</w:t>
            </w:r>
          </w:p>
        </w:tc>
        <w:tc>
          <w:tcPr>
            <w:tcW w:type="dxa" w:w="1265"/>
            <w:tcMar>
              <w:top w:type="dxa" w:w="90"/>
              <w:left w:type="dxa" w:w="120"/>
              <w:bottom w:type="dxa" w:w="90"/>
              <w:right w:type="dxa" w:w="120"/>
            </w:tcMar>
          </w:tcPr>
          <w:p>
            <w:pPr>
              <w:spacing w:after="0" w:line="264"/>
            </w:pPr>
            <w:r>
              <w:rPr>
                <w:color w:val="322F30"/>
                <w:sz w:val="19"/>
                <w:szCs w:val="19"/>
              </w:rPr>
              <w:t xml:space="preserve">Emily Forbes</w:t>
            </w:r>
          </w:p>
        </w:tc>
      </w:tr>
      <w:tr>
        <w:tc>
          <w:tcPr>
            <w:tcW w:type="dxa" w:w="902"/>
            <w:tcMar>
              <w:top w:type="dxa" w:w="90"/>
              <w:left w:type="dxa" w:w="120"/>
              <w:bottom w:type="dxa" w:w="90"/>
              <w:right w:type="dxa" w:w="120"/>
            </w:tcMar>
          </w:tcPr>
          <w:p>
            <w:pPr>
              <w:spacing w:after="0" w:line="264"/>
            </w:pPr>
            <w:r>
              <w:rPr>
                <w:color w:val="322F30"/>
                <w:sz w:val="19"/>
                <w:szCs w:val="19"/>
              </w:rPr>
              <w:t xml:space="preserve">3.0</w:t>
            </w:r>
          </w:p>
        </w:tc>
        <w:tc>
          <w:tcPr>
            <w:tcW w:type="dxa" w:w="1263"/>
            <w:tcMar>
              <w:top w:type="dxa" w:w="90"/>
              <w:left w:type="dxa" w:w="120"/>
              <w:bottom w:type="dxa" w:w="90"/>
              <w:right w:type="dxa" w:w="120"/>
            </w:tcMar>
          </w:tcPr>
          <w:p>
            <w:pPr>
              <w:spacing w:after="0" w:line="264"/>
            </w:pPr>
            <w:r>
              <w:rPr>
                <w:color w:val="322F30"/>
                <w:sz w:val="19"/>
                <w:szCs w:val="19"/>
              </w:rPr>
              <w:t xml:space="preserve">26 Aug 2026</w:t>
            </w:r>
          </w:p>
        </w:tc>
        <w:tc>
          <w:tcPr>
            <w:tcW w:type="dxa" w:w="5596"/>
            <w:tcMar>
              <w:top w:type="dxa" w:w="90"/>
              <w:left w:type="dxa" w:w="120"/>
              <w:bottom w:type="dxa" w:w="90"/>
              <w:right w:type="dxa" w:w="120"/>
            </w:tcMar>
          </w:tcPr>
          <w:p>
            <w:pPr>
              <w:spacing w:after="0" w:line="264"/>
            </w:pPr>
            <w:r>
              <w:rPr>
                <w:color w:val="322F30"/>
                <w:sz w:val="19"/>
                <w:szCs w:val="19"/>
              </w:rPr>
              <w:t xml:space="preserve">v1.0 (ICO template) formally superseded and its remaining content absorbed: HR/placement and health and safety retention periods, and sponsorship records, added to this notice. Section 5 restated as the full data retention schedule. Session note retention aligned to 7 years to match the Coaching Agreement. New: referral partners (6.4), people we work with other than clients (1.4), cross-reference to the Complaints Procedure and Business Continuity Policy.</w:t>
            </w:r>
          </w:p>
        </w:tc>
        <w:tc>
          <w:tcPr>
            <w:tcW w:type="dxa" w:w="1265"/>
            <w:tcMar>
              <w:top w:type="dxa" w:w="90"/>
              <w:left w:type="dxa" w:w="120"/>
              <w:bottom w:type="dxa" w:w="90"/>
              <w:right w:type="dxa" w:w="120"/>
            </w:tcMar>
          </w:tcPr>
          <w:p>
            <w:pPr>
              <w:spacing w:after="0" w:line="264"/>
            </w:pPr>
            <w:r>
              <w:rPr>
                <w:color w:val="322F30"/>
                <w:sz w:val="19"/>
                <w:szCs w:val="19"/>
              </w:rPr>
              <w:t xml:space="preserve">Emily Forbes</w:t>
            </w:r>
          </w:p>
        </w:tc>
      </w:tr>
      <w:tr>
        <w:tc>
          <w:tcPr>
            <w:tcW w:type="dxa" w:w="902"/>
            <w:tcMar>
              <w:top w:type="dxa" w:w="90"/>
              <w:left w:type="dxa" w:w="120"/>
              <w:bottom w:type="dxa" w:w="90"/>
              <w:right w:type="dxa" w:w="120"/>
            </w:tcMar>
          </w:tcPr>
          <w:p>
            <w:pPr>
              <w:spacing w:after="0" w:line="264"/>
            </w:pPr>
            <w:r>
              <w:rPr>
                <w:color w:val="322F30"/>
                <w:sz w:val="19"/>
                <w:szCs w:val="19"/>
              </w:rPr>
              <w:t xml:space="preserve">3.1</w:t>
            </w:r>
          </w:p>
        </w:tc>
        <w:tc>
          <w:tcPr>
            <w:tcW w:type="dxa" w:w="1263"/>
            <w:tcMar>
              <w:top w:type="dxa" w:w="90"/>
              <w:left w:type="dxa" w:w="120"/>
              <w:bottom w:type="dxa" w:w="90"/>
              <w:right w:type="dxa" w:w="120"/>
            </w:tcMar>
          </w:tcPr>
          <w:p>
            <w:pPr>
              <w:spacing w:after="0" w:line="264"/>
            </w:pPr>
            <w:r>
              <w:rPr>
                <w:color w:val="322F30"/>
                <w:sz w:val="19"/>
                <w:szCs w:val="19"/>
              </w:rPr>
              <w:t xml:space="preserve">On app go-live</w:t>
            </w:r>
          </w:p>
        </w:tc>
        <w:tc>
          <w:tcPr>
            <w:tcW w:type="dxa" w:w="5596"/>
            <w:tcMar>
              <w:top w:type="dxa" w:w="90"/>
              <w:left w:type="dxa" w:w="120"/>
              <w:bottom w:type="dxa" w:w="90"/>
              <w:right w:type="dxa" w:w="120"/>
            </w:tcMar>
          </w:tcPr>
          <w:p>
            <w:pPr>
              <w:spacing w:after="0" w:line="264"/>
            </w:pPr>
            <w:r>
              <w:rPr>
                <w:color w:val="322F30"/>
                <w:sz w:val="19"/>
                <w:szCs w:val="19"/>
              </w:rPr>
              <w:t xml:space="preserve">The Wylde App added, folding in the App Additions drafted 5 July 2026 and updated 2 August 2026, which had not previously been merged. New sections 3A (app membership data) and 3B (the energy economy — health data, including symptoms, medication, menstrual cycle phase and diagnosis). New processors: Supabase (EU, Frankfurt), Stripe / Stripe Tax, Vercel. New app retention rows in section 5, and app lawful bases in section 2. Section 4 records the app as AI-free, per AI Governance File v1.2. Company number added. Telephone number removed from the published contact details — email and postal address satisfy UK GDPR Art. 13–14.</w:t>
            </w:r>
          </w:p>
        </w:tc>
        <w:tc>
          <w:tcPr>
            <w:tcW w:type="dxa" w:w="1265"/>
            <w:tcMar>
              <w:top w:type="dxa" w:w="90"/>
              <w:left w:type="dxa" w:w="120"/>
              <w:bottom w:type="dxa" w:w="90"/>
              <w:right w:type="dxa" w:w="120"/>
            </w:tcMar>
          </w:tcPr>
          <w:p>
            <w:pPr>
              <w:spacing w:after="0" w:line="264"/>
            </w:pPr>
            <w:r>
              <w:rPr>
                <w:color w:val="322F30"/>
                <w:sz w:val="19"/>
                <w:szCs w:val="19"/>
              </w:rPr>
              <w:t xml:space="preserve">Emily Forbes</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4F2EA" w:color="auto" w:val="clear"/>
            <w:tcMar>
              <w:top w:type="dxa" w:w="160"/>
              <w:left w:type="dxa" w:w="180"/>
              <w:bottom w:type="dxa" w:w="160"/>
              <w:right w:type="dxa" w:w="180"/>
            </w:tcMar>
          </w:tcPr>
          <w:p>
            <w:pPr>
              <w:spacing w:after="80"/>
            </w:pPr>
            <w:r>
              <w:rPr>
                <w:b/>
                <w:bCs/>
                <w:color w:val="405550"/>
                <w:sz w:val="20"/>
                <w:szCs w:val="20"/>
              </w:rPr>
              <w:t xml:space="preserve">Privacy notice declaration</w:t>
            </w:r>
          </w:p>
          <w:p>
            <w:pPr>
              <w:spacing w:after="80" w:line="276"/>
            </w:pPr>
            <w:r>
              <w:rPr>
                <w:color w:val="322F30"/>
                <w:sz w:val="20"/>
                <w:szCs w:val="20"/>
              </w:rPr>
              <w:t xml:space="preserve">This notice has been prepared in accordance with UK GDPR, the Data Protection Act 2018, and the Data (Use and Access) Act 2025. It reflects data processing practices at Wylde Wellbeing Ltd including The Wylde App.</w:t>
            </w:r>
          </w:p>
          <w:p>
            <w:pPr>
              <w:spacing w:after="80" w:line="276"/>
            </w:pPr>
            <w:r>
              <w:rPr>
                <w:color w:val="322F30"/>
                <w:sz w:val="20"/>
                <w:szCs w:val="20"/>
              </w:rPr>
              <w:t xml:space="preserve">Your privacy matters. If anything in this notice is unclear, we welcome your questions — info@wyldewellbeing.uk</w:t>
            </w:r>
          </w:p>
        </w:tc>
      </w:tr>
    </w:tbl>
    <w:p>
      <w:pPr>
        <w:spacing w:after="160"/>
      </w:pPr>
    </w:p>
    <w:p>
      <w:pPr>
        <w:spacing w:after="140" w:line="276"/>
        <w:jc w:val="center"/>
      </w:pPr>
      <w:r>
        <w:rPr>
          <w:color w:val="625045"/>
          <w:sz w:val="17"/>
          <w:szCs w:val="17"/>
        </w:rPr>
        <w:t xml:space="preserve">Wylde Wellbeing Ltd · Privacy Notice v3.1 · Review 26 Aug 2027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Wylde Wellbeing Privacy Notice v3.1</dc:title>
  <dc:creator>Emily Forbes</dc:creator>
  <dc:description>Privacy Notice v3.1 — v3.0 with The Wylde App merged in</dc:description>
  <cp:lastModifiedBy>Un-named</cp:lastModifiedBy>
  <cp:revision>1</cp:revision>
  <dcterms:created xsi:type="dcterms:W3CDTF">2026-08-27T11:08:38.089Z</dcterms:created>
  <dcterms:modified xsi:type="dcterms:W3CDTF">2026-08-27T11:08:38.092Z</dcterms:modified>
</cp:coreProperties>
</file>

<file path=docProps/custom.xml><?xml version="1.0" encoding="utf-8"?>
<Properties xmlns="http://schemas.openxmlformats.org/officeDocument/2006/custom-properties" xmlns:vt="http://schemas.openxmlformats.org/officeDocument/2006/docPropsVTypes"/>
</file>