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An Athlete and Parent’s Guide to Name, Image, and Likeness (NIL) Deals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>Introduction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The NCAA’s 2021 policy change allowing athletes to profit from their Name, Image, and Likeness (NIL) has created new opportunities—and complexities—for student-athletes. This guide explains how NIL works, key legal considerations, and strategies to maximize value while protecting eligibility.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Section 1: Understanding NIL Basic</w:t>
      </w:r>
      <w:r>
        <w:rPr>
          <w:rFonts w:ascii="Calibri" w:hAnsi="Calibri"/>
          <w:b/>
          <w:bCs/>
        </w:rPr>
        <w:t>s</w:t>
      </w:r>
      <w:r>
        <w:rPr>
          <w:rFonts w:ascii="Calibri" w:hAnsi="Calibri"/>
          <w:b/>
          <w:bCs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What Is NIL?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NIL refers to a student-athlete’s right to earn money from: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Endorsements (e.g., promoting brands on social media)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Sponsorships (e.g., wearing a company’s logo)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Merchandise Sales (e.g., autographed jerseys)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Appearances &amp; Camps (e.g., paid speaking engagements)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Who Can Participate?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NCAA, NAIA, and JUCO athletes (rules vary by division).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High school athletes in some states (but may affect NCAA eligibility).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>What’s Still Prohibited?</w:t>
      </w:r>
      <w:r>
        <w:rPr>
          <w:rFonts w:ascii="Calibri" w:hAnsi="Calibri"/>
        </w:rPr>
        <w:t xml:space="preserve"> 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🚫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Pay-for-play (compensation tied directly to athletic performance). 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🚫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School involvement in arranging deals (but some facilitate NIL collectives). 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🚫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Certain industries (e.g., gambling, adult content, banned substances).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Section 2: How to Secure &amp; Manage NIL Deals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Step 1: Know Your State &amp; School Rules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Some states have NIL laws (e.g., disclosure requirements).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Schools may impose additional restrictions (check your athletic department’s policy).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Step 2: Build Your Brand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Social Media Presence (Instagram, TikTok, YouTube).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Engage with Local Businesses (restaurants, car dealerships, apparel brands).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Join NIL Marketplaces (Opendorse, INFLCR, Icon Source).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Step 3: Negotiate Contracts Carefully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⚠️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Key Terms to Review: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Payment structure (flat fee vs. commission).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Exclusivity clauses (can you work with competitors?).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Termination rights (what happens if you transfer or get injured?).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Intellectual property (who owns your likeness in ads?).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Step 4: Disclose Deals (If Required) </w:t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Some schools require athletes to report NIL agreements.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Failure to disclose could risk eligibility.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Section 3: Tax &amp; Legal Considerations </w:t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Tax Implications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NIL income is taxable (report on IRS Form 1040).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Deductible expenses (agent fees, marketing costs).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Consider forming an LLC for liability protection.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Agent &amp; Legal Representation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NCAA-certified agents can negotiate deals (but not for future pro contracts).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Consult an attorney before signing complex agreements.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Protecting Eligibility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Avoid “Pay-for-Play” Language – Compensation must be for NIL, not athletic performance.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Don’t Use School Logos Without permission (trademark infringement risk).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Section 4: Common NIL Scams &amp; Pitfalls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❌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Fake “Agents” – Verify credentials before signing anything. 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❌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Unrealistic Promises – If it sounds too good to be true, it probably is. 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❌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Violating School/NCAA Rules – Always check </w:t>
      </w:r>
      <w:r>
        <w:rPr>
          <w:rFonts w:ascii="Calibri" w:hAnsi="Calibri"/>
        </w:rPr>
        <w:t xml:space="preserve">with </w:t>
      </w:r>
      <w:r>
        <w:rPr>
          <w:rFonts w:ascii="Calibri" w:hAnsi="Calibri"/>
        </w:rPr>
        <w:t xml:space="preserve">compliance first.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---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Section 5: Maximizing NIL Opportunities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For High-Profile Athletes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Partner with national brands (e.g., Nike, Gatorade).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Leverage NIL collectives (booster-funded groups that facilitate deals).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For Lesser-Known Athletes </w:t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Focus on local businesses (e.g., gyms, restaurants).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Offer personalized content (e.g., Cameo videos, training tutorials).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Conclusion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NIL offers unprecedented financial opportunities, but navigating contracts, taxes, and compliance requires caution. By understanding the rules, building a strong brand, and seeking professional advice, athletes can profit from their NIL while protecting their eligibility.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Need Help?  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For contract reviews, tax planning, or eligibility questions, consult a sports attorney or financial advisor.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---  </w:t>
      </w:r>
    </w:p>
    <w:p>
      <w:pPr>
        <w:pStyle w:val="Normal"/>
        <w:spacing w:before="0" w:after="16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Disclaimer: NIL rules evolve frequently. Always verify with your school’s compliance office or legal counsel.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7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1b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1b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b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1b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1b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1b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1b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b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1b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d41b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6d41b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6d41b7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6d41b7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6d41b7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6d41b7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6d41b7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6d41b7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6d41b7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6d41b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6d41b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6d41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d41b7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6d4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1b7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6d41b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1b7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1b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1b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6d41b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Neat_Office/6.2.8.2$Windows_x86 LibreOffice_project/</Application>
  <Pages>4</Pages>
  <Words>525</Words>
  <Characters>3125</Characters>
  <CharactersWithSpaces>3692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2025-05-09T17:30:00Z</dcterms:created>
  <dc:creator>Geoffrey Gibbs</dc:creator>
  <dc:description/>
  <dc:language>en-US</dc:language>
  <cp:lastModifiedBy/>
  <dcterms:modified xsi:type="dcterms:W3CDTF">2025-05-10T06:19:55Z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