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Brand &amp; System License Agreement</w:t>
        <w:br/>
        <w:t>The Hole in the Wall (California-Compliant Draft)</w:t>
      </w:r>
    </w:p>
    <w:p>
      <w:pPr>
        <w:pStyle w:val="Heading2"/>
      </w:pPr>
      <w:r>
        <w:t>Disclaimer</w:t>
      </w:r>
    </w:p>
    <w:p>
      <w:r>
        <w:t>This Brand &amp; System License Agreement is intended as a non-franchise licensing arrangement. It is drafted to avoid the creation of a franchise relationship under California and federal law. This document must be reviewed by qualified legal counsel prior to execution.</w:t>
      </w:r>
    </w:p>
    <w:p>
      <w:pPr>
        <w:pStyle w:val="Heading2"/>
      </w:pPr>
      <w:r>
        <w:t>1. License Grant</w:t>
      </w:r>
    </w:p>
    <w:p>
      <w:r>
        <w:t>Licensor grants Licensee a limited, non-exclusive, non-transferable license to use The Hole in the Wall brand, visual identity, menu architecture, POS system, and prefabricated facade solely for a single approved location. This Agreement does not constitute a franchise.</w:t>
      </w:r>
    </w:p>
    <w:p>
      <w:pPr>
        <w:pStyle w:val="Heading2"/>
      </w:pPr>
      <w:r>
        <w:t>2. Term</w:t>
      </w:r>
    </w:p>
    <w:p>
      <w:r>
        <w:t>Initial term of five (5) years with optional five (5) year renewals by mutual written agreement.</w:t>
      </w:r>
    </w:p>
    <w:p>
      <w:pPr>
        <w:pStyle w:val="Heading2"/>
      </w:pPr>
      <w:r>
        <w:t>3. Fees</w:t>
      </w:r>
    </w:p>
    <w:p>
      <w:r>
        <w:t>Initial License Fee: $20,000 (one-time).</w:t>
        <w:br/>
        <w:t>Ongoing License Fee: 3% of Gross Sales.</w:t>
        <w:br/>
        <w:t>Technology/POS Fee: $150 per month.</w:t>
      </w:r>
    </w:p>
    <w:p>
      <w:pPr>
        <w:pStyle w:val="Heading2"/>
      </w:pPr>
      <w:r>
        <w:t>4. Prefabricated Facade</w:t>
      </w:r>
    </w:p>
    <w:p>
      <w:r>
        <w:t>Licensee shall purchase the approved prefabricated door/facade system from Licensor or an approved vendor. Estimated cost: $12,000–$18,000. Design rights remain with Licensor.</w:t>
      </w:r>
    </w:p>
    <w:p>
      <w:pPr>
        <w:pStyle w:val="Heading2"/>
      </w:pPr>
      <w:r>
        <w:t>5. Brand Standards</w:t>
      </w:r>
    </w:p>
    <w:p>
      <w:r>
        <w:t>Licensor may establish reasonable brand standards relating to visual identity, menu architecture, and POS usage. Licensor does not control pricing, staffing, hours, or daily operations.</w:t>
      </w:r>
    </w:p>
    <w:p>
      <w:pPr>
        <w:pStyle w:val="Heading2"/>
      </w:pPr>
      <w:r>
        <w:t>6. Intellectual Property</w:t>
      </w:r>
    </w:p>
    <w:p>
      <w:r>
        <w:t>All trademarks, trade dress, menus, systems, and designs remain the exclusive property of Licensor.</w:t>
      </w:r>
    </w:p>
    <w:p>
      <w:pPr>
        <w:pStyle w:val="Heading2"/>
      </w:pPr>
      <w:r>
        <w:t>7. Marketing</w:t>
      </w:r>
    </w:p>
    <w:p>
      <w:r>
        <w:t>Licensee may engage in local marketing provided brand guidelines are followed. No mandatory marketing fund is required.</w:t>
      </w:r>
    </w:p>
    <w:p>
      <w:pPr>
        <w:pStyle w:val="Heading2"/>
      </w:pPr>
      <w:r>
        <w:t>8. Customer Experience Incentives</w:t>
      </w:r>
    </w:p>
    <w:p>
      <w:r>
        <w:t>Licensor may offer voluntary incentives or credits based on customer satisfaction metrics. No penalties or mandatory fees shall be imposed based on reviews.</w:t>
      </w:r>
    </w:p>
    <w:p>
      <w:pPr>
        <w:pStyle w:val="Heading2"/>
      </w:pPr>
      <w:r>
        <w:t>9. Termination</w:t>
      </w:r>
    </w:p>
    <w:p>
      <w:r>
        <w:t>Licensor may terminate this Agreement for non-payment, brand misuse, or intellectual property infringement.</w:t>
      </w:r>
    </w:p>
    <w:p>
      <w:pPr>
        <w:pStyle w:val="Heading2"/>
      </w:pPr>
      <w:r>
        <w:t>10. Governing Law</w:t>
      </w:r>
    </w:p>
    <w:p>
      <w:r>
        <w:t>This Agreement shall be governed by the laws of the State of California.</w:t>
      </w:r>
    </w:p>
    <w:p>
      <w:pPr>
        <w:pStyle w:val="Heading2"/>
      </w:pPr>
      <w:r>
        <w:t>11. Entire Agreement</w:t>
      </w:r>
    </w:p>
    <w:p>
      <w:r>
        <w:t>This Agreement constitutes the entire understanding between the parties.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