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A1E4" w14:textId="77777777" w:rsidR="00E3608F" w:rsidRDefault="00DB426B">
      <w:r>
        <w:rPr>
          <w:b/>
          <w:sz w:val="32"/>
        </w:rPr>
        <w:t>BOWMAN'S PEST MANAGEMENT LTD</w:t>
      </w:r>
      <w:r>
        <w:rPr>
          <w:b/>
          <w:sz w:val="32"/>
        </w:rPr>
        <w:br/>
        <w:t>COSHH RISK ASSESSMENT – PELGAR SUPER STRENGTH FLY SPRAY</w:t>
      </w:r>
    </w:p>
    <w:p w14:paraId="2F056246" w14:textId="40EE2618" w:rsidR="00E3608F" w:rsidRDefault="00DB426B">
      <w:r>
        <w:br/>
        <w:t>1. Substance Information</w:t>
      </w:r>
      <w:r>
        <w:br/>
      </w:r>
      <w:r>
        <w:br/>
        <w:t>Product Name: PELGAR SUPER STRENGTH FLY SPRAY</w:t>
      </w:r>
      <w:r>
        <w:br/>
      </w:r>
      <w:r>
        <w:br/>
        <w:t>Type: Professional Insecticide (Biocide)</w:t>
      </w:r>
      <w:r>
        <w:br/>
      </w:r>
      <w:r>
        <w:br/>
        <w:t>Active Ingredients:</w:t>
      </w:r>
      <w:r>
        <w:br/>
        <w:t>• Permethrin 0.27%</w:t>
      </w:r>
      <w:r>
        <w:br/>
        <w:t>• Piperonyl Butoxide 0.75%</w:t>
      </w:r>
      <w:r>
        <w:br/>
        <w:t>• Tetramethrin (&lt;1%)</w:t>
      </w:r>
      <w:r>
        <w:br/>
      </w:r>
      <w:r>
        <w:br/>
        <w:t>Supplier:</w:t>
      </w:r>
      <w:r>
        <w:br/>
        <w:t>1ENV Solutions Limited</w:t>
      </w:r>
      <w:r>
        <w:br/>
        <w:t>Leigh on Sea, Essex</w:t>
      </w:r>
      <w:r>
        <w:br/>
      </w:r>
      <w:r>
        <w:br/>
        <w:t>Emergency Contact:</w:t>
      </w:r>
      <w:r>
        <w:br/>
        <w:t>+44 (0)1702 617057</w:t>
      </w:r>
      <w:r>
        <w:br/>
        <w:t>National Poisons Information Service</w:t>
      </w:r>
      <w:r>
        <w:br/>
      </w:r>
      <w:r>
        <w:br/>
        <w:t>2. Intended Use</w:t>
      </w:r>
      <w:r>
        <w:br/>
      </w:r>
      <w:r>
        <w:br/>
        <w:t>Professional use insecticide for the control of flying insects.</w:t>
      </w:r>
      <w:r>
        <w:br/>
        <w:t>Use by trained pest control technicians only.</w:t>
      </w:r>
      <w:r>
        <w:br/>
      </w:r>
      <w:r>
        <w:br/>
        <w:t>3. Hazard Identification</w:t>
      </w:r>
      <w:r>
        <w:br/>
      </w:r>
      <w:r>
        <w:br/>
        <w:t>Signal Word: WARNING</w:t>
      </w:r>
      <w:r>
        <w:br/>
      </w:r>
      <w:r>
        <w:br/>
        <w:t>Hazard Statements:</w:t>
      </w:r>
      <w:r>
        <w:br/>
        <w:t>• H410 – Very toxic to aquatic life with long lasting effects</w:t>
      </w:r>
      <w:r>
        <w:br/>
        <w:t>• EUH208 – Contains permethrin. May produce an allergic reaction</w:t>
      </w:r>
      <w:r>
        <w:br/>
      </w:r>
      <w:r>
        <w:br/>
        <w:t>Additional Ingredient Hazards:</w:t>
      </w:r>
      <w:r>
        <w:br/>
        <w:t>• H302 – Harmful if swallowed</w:t>
      </w:r>
      <w:r>
        <w:br/>
        <w:t>• H317 – May cause an allergic skin reaction</w:t>
      </w:r>
      <w:r>
        <w:br/>
      </w:r>
      <w:r>
        <w:lastRenderedPageBreak/>
        <w:t>• H332 – Harmful if inhaled</w:t>
      </w:r>
      <w:r>
        <w:br/>
        <w:t>• H351 – Suspected of causing cancer</w:t>
      </w:r>
      <w:r>
        <w:br/>
        <w:t>• H371 – May cause damage to organs</w:t>
      </w:r>
      <w:r>
        <w:br/>
      </w:r>
      <w:r>
        <w:br/>
        <w:t>4. Routes of Exposure</w:t>
      </w:r>
      <w:r>
        <w:br/>
      </w:r>
      <w:r>
        <w:br/>
        <w:t>• Inhalation of spray mist</w:t>
      </w:r>
      <w:r>
        <w:br/>
        <w:t>• Skin contact</w:t>
      </w:r>
      <w:r>
        <w:br/>
        <w:t>• Eye contact</w:t>
      </w:r>
      <w:r>
        <w:br/>
        <w:t>• Ingestion</w:t>
      </w:r>
      <w:r>
        <w:br/>
      </w:r>
      <w:r>
        <w:br/>
        <w:t>5. Control Measures</w:t>
      </w:r>
      <w:r>
        <w:br/>
      </w:r>
      <w:r>
        <w:br/>
        <w:t>Engineering Controls:</w:t>
      </w:r>
      <w:r>
        <w:br/>
        <w:t>• Ensure adequate ventilation.</w:t>
      </w:r>
      <w:r>
        <w:br/>
        <w:t>• Avoid breathing spray mist.</w:t>
      </w:r>
      <w:r>
        <w:br/>
        <w:t>• Prevent environmental contamination.</w:t>
      </w:r>
      <w:r>
        <w:br/>
      </w:r>
      <w:r>
        <w:br/>
        <w:t>PPE:</w:t>
      </w:r>
      <w:r>
        <w:br/>
        <w:t>• Protective gloves</w:t>
      </w:r>
      <w:r>
        <w:br/>
        <w:t>• Safety glasses</w:t>
      </w:r>
      <w:r>
        <w:br/>
        <w:t>• Protective clothing/coveralls</w:t>
      </w:r>
      <w:r>
        <w:br/>
        <w:t>• Respiratory protection where ventilation is inadequate</w:t>
      </w:r>
      <w:r>
        <w:br/>
        <w:t>• Safety footwear</w:t>
      </w:r>
      <w:r>
        <w:br/>
      </w:r>
      <w:r>
        <w:br/>
        <w:t>6. First Aid Measures</w:t>
      </w:r>
      <w:r>
        <w:br/>
      </w:r>
      <w:r>
        <w:br/>
        <w:t>Inhalation:</w:t>
      </w:r>
      <w:r>
        <w:br/>
        <w:t>Move to fresh air and seek medical advice if symptoms persist.</w:t>
      </w:r>
      <w:r>
        <w:br/>
      </w:r>
      <w:r>
        <w:br/>
        <w:t>Skin Contact:</w:t>
      </w:r>
      <w:r>
        <w:br/>
        <w:t>Wash with plenty of water and remove contaminated clothing.</w:t>
      </w:r>
      <w:r>
        <w:br/>
      </w:r>
      <w:r>
        <w:br/>
        <w:t>Eye Contact:</w:t>
      </w:r>
      <w:r>
        <w:br/>
        <w:t>Rinse cautiously with water and remove contact lenses if present.</w:t>
      </w:r>
      <w:r>
        <w:br/>
      </w:r>
      <w:r>
        <w:br/>
        <w:t>Ingestion:</w:t>
      </w:r>
      <w:r>
        <w:br/>
        <w:t>Rinse mouth. Do not induce vomiting. Seek immediate medical attention.</w:t>
      </w:r>
      <w:r>
        <w:br/>
      </w:r>
      <w:r>
        <w:br/>
        <w:t>7. Spill and Emergency Procedures</w:t>
      </w:r>
      <w:r>
        <w:br/>
      </w:r>
      <w:r>
        <w:br/>
      </w:r>
      <w:r>
        <w:lastRenderedPageBreak/>
        <w:t>• Wear PPE.</w:t>
      </w:r>
      <w:r>
        <w:br/>
        <w:t>• Contain using sand, earth or vermiculite.</w:t>
      </w:r>
      <w:r>
        <w:br/>
        <w:t>• Prevent entry into drains and watercourses.</w:t>
      </w:r>
      <w:r>
        <w:br/>
        <w:t>• Dispose of waste through approved routes.</w:t>
      </w:r>
      <w:r>
        <w:br/>
      </w:r>
      <w:r>
        <w:br/>
        <w:t>8. Storage and Handling</w:t>
      </w:r>
      <w:r>
        <w:br/>
      </w:r>
      <w:r>
        <w:br/>
        <w:t>• Store locked up.</w:t>
      </w:r>
      <w:r>
        <w:br/>
        <w:t>• Keep in original container.</w:t>
      </w:r>
      <w:r>
        <w:br/>
        <w:t>• Store in a cool, well ventilated area.</w:t>
      </w:r>
      <w:r>
        <w:br/>
        <w:t>• Keep container tightly closed.</w:t>
      </w:r>
      <w:r>
        <w:br/>
        <w:t>• Keep away from heat and ignition sources.</w:t>
      </w:r>
      <w:r>
        <w:br/>
      </w:r>
      <w:r>
        <w:br/>
        <w:t>9. Environmental Protection</w:t>
      </w:r>
      <w:r>
        <w:br/>
      </w:r>
      <w:r>
        <w:br/>
        <w:t>• Very toxic to aquatic life with long lasting effects.</w:t>
      </w:r>
      <w:r>
        <w:br/>
        <w:t>• Avoid release to the environment.</w:t>
      </w:r>
      <w:r>
        <w:br/>
        <w:t>• Prevent contamination of drains, ponds, rivers and watercourses.</w:t>
      </w:r>
      <w:r>
        <w:br/>
      </w:r>
      <w:r>
        <w:br/>
        <w:t>10. Disposal</w:t>
      </w:r>
      <w:r>
        <w:br/>
      </w:r>
      <w:r>
        <w:br/>
        <w:t>Dispose of contents and containers through licensed hazardous waste disposal routes.</w:t>
      </w:r>
      <w:r>
        <w:br/>
        <w:t>EWC Code: 20 01 19*</w:t>
      </w:r>
      <w:r>
        <w:br/>
      </w:r>
      <w:r>
        <w:br/>
        <w:t>11. Health Surveillance</w:t>
      </w:r>
      <w:r>
        <w:br/>
      </w:r>
      <w:r>
        <w:br/>
        <w:t>Monitor for:</w:t>
      </w:r>
      <w:r>
        <w:br/>
        <w:t>• Respiratory irritation</w:t>
      </w:r>
      <w:r>
        <w:br/>
        <w:t>• Skin irritation or allergic reactions</w:t>
      </w:r>
      <w:r>
        <w:br/>
        <w:t>• Symptoms of overexposure including dizziness or headaches</w:t>
      </w:r>
      <w:r>
        <w:br/>
      </w:r>
      <w:r>
        <w:br/>
        <w:t>12. Assessment Review &amp; Sign-Off</w:t>
      </w:r>
      <w:r>
        <w:br/>
      </w:r>
      <w:r>
        <w:br/>
        <w:t>Technician: Kurtis Heath</w:t>
      </w:r>
      <w:r>
        <w:br/>
        <w:t>Assessment Date: 07/06/2026</w:t>
      </w:r>
      <w:r>
        <w:br/>
        <w:t>Review Date: 07/06/2027</w:t>
      </w:r>
      <w:r>
        <w:br/>
      </w:r>
      <w:r>
        <w:br/>
      </w:r>
    </w:p>
    <w:sectPr w:rsidR="00E3608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8CAF0" w14:textId="77777777" w:rsidR="00BF6018" w:rsidRDefault="00BF6018" w:rsidP="00B91F93">
      <w:pPr>
        <w:spacing w:after="0" w:line="240" w:lineRule="auto"/>
      </w:pPr>
      <w:r>
        <w:separator/>
      </w:r>
    </w:p>
  </w:endnote>
  <w:endnote w:type="continuationSeparator" w:id="0">
    <w:p w14:paraId="48D61CAE" w14:textId="77777777" w:rsidR="00BF6018" w:rsidRDefault="00BF6018" w:rsidP="00B9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88AF" w14:textId="77777777" w:rsidR="00350C2A" w:rsidRDefault="00350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E684" w14:textId="559E31B9" w:rsidR="00B91F93" w:rsidRDefault="00B91F93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657A8" wp14:editId="0FBD8C8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AD6B56A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  <w:lang w:val="en-GB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en-GB"/>
      </w:rPr>
      <w:t xml:space="preserve">pg.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en-GB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0F57" w14:textId="77777777" w:rsidR="00350C2A" w:rsidRDefault="00350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34FA" w14:textId="77777777" w:rsidR="00BF6018" w:rsidRDefault="00BF6018" w:rsidP="00B91F93">
      <w:pPr>
        <w:spacing w:after="0" w:line="240" w:lineRule="auto"/>
      </w:pPr>
      <w:r>
        <w:separator/>
      </w:r>
    </w:p>
  </w:footnote>
  <w:footnote w:type="continuationSeparator" w:id="0">
    <w:p w14:paraId="16B934A3" w14:textId="77777777" w:rsidR="00BF6018" w:rsidRDefault="00BF6018" w:rsidP="00B9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2AF5" w14:textId="77777777" w:rsidR="00350C2A" w:rsidRDefault="00350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DFAD" w14:textId="77777777" w:rsidR="00350C2A" w:rsidRDefault="00350C2A" w:rsidP="00067DB3">
    <w:pPr>
      <w:spacing w:after="0" w:line="259" w:lineRule="auto"/>
    </w:pPr>
    <w:r>
      <w:rPr>
        <w:rFonts w:ascii="Cambria" w:eastAsia="Cambria" w:hAnsi="Cambria" w:cs="Cambria"/>
      </w:rPr>
      <w:t xml:space="preserve">                                      </w:t>
    </w:r>
    <w:r>
      <w:rPr>
        <w:rFonts w:ascii="Cambria" w:eastAsia="Cambria" w:hAnsi="Cambria" w:cs="Cambria"/>
      </w:rPr>
      <w:t xml:space="preserve">Bowman’s Pest Management LTD (Company #16782146)  </w:t>
    </w:r>
  </w:p>
  <w:p w14:paraId="53D6CA5C" w14:textId="77777777" w:rsidR="00350C2A" w:rsidRDefault="00350C2A" w:rsidP="00067DB3">
    <w:pPr>
      <w:spacing w:after="0" w:line="293" w:lineRule="auto"/>
      <w:ind w:left="1889" w:right="1892"/>
      <w:jc w:val="center"/>
      <w:rPr>
        <w:rFonts w:ascii="Arial" w:eastAsia="Arial" w:hAnsi="Arial" w:cs="Arial"/>
      </w:rPr>
    </w:pPr>
    <w:bookmarkStart w:id="0" w:name="_Hlk217332002"/>
    <w:r>
      <w:rPr>
        <w:rFonts w:ascii="Arial" w:eastAsia="Arial" w:hAnsi="Arial" w:cs="Arial"/>
      </w:rPr>
      <w:t xml:space="preserve">Bowman's Pest Management </w:t>
    </w:r>
  </w:p>
  <w:bookmarkEnd w:id="0"/>
  <w:p w14:paraId="721E1571" w14:textId="77777777" w:rsidR="00350C2A" w:rsidRDefault="00350C2A" w:rsidP="00067DB3">
    <w:pPr>
      <w:spacing w:after="0" w:line="293" w:lineRule="auto"/>
      <w:ind w:left="1889" w:right="1892"/>
      <w:jc w:val="center"/>
    </w:pPr>
    <w:r>
      <w:rPr>
        <w:rFonts w:ascii="Arial" w:eastAsia="Arial" w:hAnsi="Arial" w:cs="Arial"/>
      </w:rPr>
      <w:t xml:space="preserve"> www.bowmans-pest-management.com  </w:t>
    </w:r>
  </w:p>
  <w:p w14:paraId="07299115" w14:textId="77777777" w:rsidR="00350C2A" w:rsidRDefault="00350C2A" w:rsidP="00067DB3">
    <w:pPr>
      <w:spacing w:after="0" w:line="259" w:lineRule="auto"/>
      <w:ind w:right="156"/>
      <w:jc w:val="center"/>
    </w:pPr>
    <w:r>
      <w:rPr>
        <w:rFonts w:ascii="Arial" w:eastAsia="Arial" w:hAnsi="Arial" w:cs="Arial"/>
      </w:rPr>
      <w:t xml:space="preserve">Tel: 07597681568  </w:t>
    </w:r>
  </w:p>
  <w:p w14:paraId="70DF61FA" w14:textId="77777777" w:rsidR="00B91F93" w:rsidRDefault="00B91F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6532" w14:textId="77777777" w:rsidR="00350C2A" w:rsidRDefault="00350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990158">
    <w:abstractNumId w:val="8"/>
  </w:num>
  <w:num w:numId="2" w16cid:durableId="548146650">
    <w:abstractNumId w:val="6"/>
  </w:num>
  <w:num w:numId="3" w16cid:durableId="286009260">
    <w:abstractNumId w:val="5"/>
  </w:num>
  <w:num w:numId="4" w16cid:durableId="232468052">
    <w:abstractNumId w:val="4"/>
  </w:num>
  <w:num w:numId="5" w16cid:durableId="2125881322">
    <w:abstractNumId w:val="7"/>
  </w:num>
  <w:num w:numId="6" w16cid:durableId="1294630373">
    <w:abstractNumId w:val="3"/>
  </w:num>
  <w:num w:numId="7" w16cid:durableId="477770876">
    <w:abstractNumId w:val="2"/>
  </w:num>
  <w:num w:numId="8" w16cid:durableId="496070157">
    <w:abstractNumId w:val="1"/>
  </w:num>
  <w:num w:numId="9" w16cid:durableId="1396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FE8"/>
    <w:rsid w:val="0015074B"/>
    <w:rsid w:val="0029639D"/>
    <w:rsid w:val="00326F90"/>
    <w:rsid w:val="00350C2A"/>
    <w:rsid w:val="007441C4"/>
    <w:rsid w:val="00AA1D8D"/>
    <w:rsid w:val="00B47730"/>
    <w:rsid w:val="00B91F93"/>
    <w:rsid w:val="00BF6018"/>
    <w:rsid w:val="00CB0664"/>
    <w:rsid w:val="00DB426B"/>
    <w:rsid w:val="00E360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125500"/>
  <w14:defaultImageDpi w14:val="300"/>
  <w15:docId w15:val="{2A5A86AF-80D2-430E-B4E7-5BD650BA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kurtis heath</cp:lastModifiedBy>
  <cp:revision>3</cp:revision>
  <dcterms:created xsi:type="dcterms:W3CDTF">2026-06-07T10:22:00Z</dcterms:created>
  <dcterms:modified xsi:type="dcterms:W3CDTF">2026-06-29T09:26:00Z</dcterms:modified>
  <cp:category/>
</cp:coreProperties>
</file>