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r w:rsidRPr="00673538">
        <w:rPr>
          <w:rFonts w:ascii="Times New Roman" w:hAnsi="Times New Roman" w:cs="Times New Roman"/>
          <w:color w:val="000000"/>
          <w:sz w:val="16"/>
          <w:szCs w:val="16"/>
        </w:rPr>
        <w:t>1461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3538">
        <w:rPr>
          <w:rFonts w:ascii="Times New Roman" w:hAnsi="Times New Roman" w:cs="Times New Roman"/>
          <w:color w:val="000000"/>
          <w:sz w:val="28"/>
          <w:szCs w:val="28"/>
        </w:rPr>
        <w:t>THE CONSTITUTIONAL RIGHTS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3538">
        <w:rPr>
          <w:rFonts w:ascii="Times New Roman" w:hAnsi="Times New Roman" w:cs="Times New Roman"/>
          <w:color w:val="000000"/>
          <w:sz w:val="28"/>
          <w:szCs w:val="28"/>
        </w:rPr>
        <w:t>NON-CUSTODIAL PARENTS</w:t>
      </w:r>
    </w:p>
    <w:bookmarkEnd w:id="0"/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David D. Meyer*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I. I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>NTRODUCTION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The legal treatment of non-custodial parents has become a lightning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rod in modern family law. The topic is obviously important. Every year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in this country, about one million children see their parents divorce.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addition, roughly a third of all children are born to parents who are not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married.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Many of these parents, of course, will never live together, and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those who do face a high risk of breaking up before the children are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grown.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Taken together, the trends suggest that fewer than half of all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* Professor of Law and Mildred Van Voorhis Jones Faculty Scholar, University of Illinois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College of Law. An earlier draft of this Article was delivered as the 2006 Sidney &amp; Walter Siben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Distinguished Professorship Lecture at Hofstra University School of Law. I am most grateful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Professor John DeWitt Gregory and the rest of the Hofstra faculty for their generous hospitality and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insightful comments on the lecture.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1. See A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NDREW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I. 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CHEPARD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HILDREN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OURTS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AND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USTODY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: I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NTERDISCIPLINARY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ODELS FOR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IVORCING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AMILIES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28 (2004).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2. See Brady E. Hamilton et al., Births: Preliminary Data for 2002, N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AT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L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V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ITAL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TAT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EP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(Ctrs. for Disease Control &amp; Prevention, Hyattsville, Md.), June 25, 2003, at 3 (indicating that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33.8% of all U.S. births in 2002 were to unmarried women), available 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http://cdc.gov/nchs/data/nvsr51_11.pdf; Robert D. Plotnick, Seven Decades of Nonmarital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Childbearing in the United States, at 1 (Feb. 2004), available 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http://npc.umich.edu/news/events/others/SevenDecades.pdf.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3. In the United States, most non-marital births are to women who are not cohabiting with a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partner. See Marsha Garrison, Is Consent Necessary? An Evaluation of the Emerging Law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fr-FR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  <w:lang w:val="fr-FR"/>
        </w:rPr>
        <w:t>Cohabitant Obligation, 52 UCLA L. R</w:t>
      </w:r>
      <w:r w:rsidRPr="00673538">
        <w:rPr>
          <w:rFonts w:ascii="Times New Roman" w:hAnsi="Times New Roman" w:cs="Times New Roman"/>
          <w:color w:val="000000"/>
          <w:sz w:val="13"/>
          <w:szCs w:val="13"/>
          <w:lang w:val="fr-FR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  <w:lang w:val="fr-FR"/>
        </w:rPr>
        <w:t>. 815, 881-82 (2005) [hereinafter Garrison, Is Consent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Necessary?]. Unmarried parents who do cohabit are more likely to split up; most cohabiting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nb-NO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 xml:space="preserve">relationships dissolve within five years. </w:t>
      </w:r>
      <w:r w:rsidRPr="00673538">
        <w:rPr>
          <w:rFonts w:ascii="Times New Roman" w:hAnsi="Times New Roman" w:cs="Times New Roman"/>
          <w:color w:val="000000"/>
          <w:sz w:val="16"/>
          <w:szCs w:val="16"/>
          <w:lang w:val="nb-NO"/>
        </w:rPr>
        <w:t>See id. at 839 &amp; nn.90-92; Margaret F. Brinig &amp; Steven L.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Nock, Marry Me, Bill: Should Cohabitation Be the (Legal) Default Option?, 64 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403,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408 (2004) (discussing social science evidence showing that cohabiting “relationships . . . last a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shorter time than marriage, even if there are children”); Marsha Garrison, Reviving Marriage: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Should We? Could We?, at 19-22 (Oct. 2005) (unpublished paper available 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http://ssrn.com/abstract=829825) (discussing evidence of comparative instability and qualification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of commitment in cohabiting relationships and noting that “[e]ven the arrival of a child does not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appear to alter the feeling that cohabitation is fundamentally different from marriage”) [hereinafter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Garrison, Reviving Marriage]; Elizabeth S. Scott, Marriage, Cohabitation and Collective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Responsibility for Dependency, 2004 U.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HI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ORUM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225, 244-46 (discussing the greater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instability of cohabitating relationships); Robin Fretwell Wilson, Evaluating Marriage: Does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Marriage Matter to the Nurturing of Children?, 42 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IEGO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847, 857, 869-70 (2005)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(discussing growing incidence of childrearing and the high rate of dissolution among unmarried,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lastRenderedPageBreak/>
        <w:t>cohabiting couples). As David Popenoe notes, the effective shift of childbearing from marriage into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generally less stable non-marital relationships means that even as the divorce rate has leveled off,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“[t]he estimated combined breakup rate of both married and unmarried unions . . . continues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escalate.” 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AVID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OPENOE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IFE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ITHOUT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ATHER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20 (1996).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C0C0C0"/>
        </w:rPr>
      </w:pPr>
      <w:r w:rsidRPr="00673538">
        <w:rPr>
          <w:rFonts w:ascii="Times New Roman" w:hAnsi="Times New Roman" w:cs="Times New Roman"/>
          <w:color w:val="C0C0C0"/>
        </w:rPr>
        <w:t>Type text here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C0C0C0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2006] NON-CUSTODIAL PARENTS 1463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circle of non-custodial parents.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10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Because non-custodial parents are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overwhelmingly men, the clash over custody is often seen as a front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the so-called “gender wars.”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11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Certainly, it is true that the cause of noncustodial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parents is championed most visibly by a newly energized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Fathers’ Rights movement,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12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and that a distressing share of the internet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polemics on the topic crackles with misogynistic invective.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13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The gender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implications of the topic are real, but the issue is not solely about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rights of fathers. There are smaller numbers of women, too—both noncustodial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mothers and the new partners of non-custodial fathers—who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are agitating for greater empowerment of non-custodial parents.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14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Significantly, the push for non-custodial parents’ rights is doing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much more than generating headlines; it has already spurred significant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changes to family law in some states and, indeed, around the world.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movement’s influence can be seen in laws affecting custody, visitation,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child support, and paternity, not only in the United States but also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Australia, Canada, and Europe.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15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Non-custodial parents have gained new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10. See Patrick Parkinson, The Past Caretaking Standard in Comparative Perspective,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ECONCEIVING 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AMILY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: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RITIQUE ON 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MERICAN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AW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NSTITUTE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RINCIPLES OF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AW OF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AMILY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ISSOLUTION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446, 461 (Robin Fretwell Wilson ed., 2006).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11. See generally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ARY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NN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ASON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T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USTODY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ARS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: 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HILDREN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OSING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EGAL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B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ATTLE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AND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HAT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BOUT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T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2 (1999) [hereinafter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ASON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USTODY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ARS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]; June Carbone, The Missing Piece of the Custody Puzzle: Creating a New Model of Parental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Partnership, 39 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ANTA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LARA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1091, 1095 (1999) (noting that “[t]he battle lines” over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custody “are well drawn and they are gendered ones”); Herma Hill Kay, No-Fault Divorce and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Child Custody: Chilling Out the Gender Wars, 36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L.Q. 27, 34-39 (2002) (discussing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“gender wars over custody” spurred by claims of fathers’ rights).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12. See Dominus, supra note 6, at 26; Parkinson, supra note 10, at 467; William C. Smith,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Dads Want Their Day: Fathers Charge Legal Bias Toward Moms Hamstrings Them as Full-Time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Parents, 89 A.B.A. J. 38, 39-40 (Feb. 2003).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13. See Nancy E. Dowd, Fathers and the Supreme Court: Founding Fathers and Nurturing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Fathers, 54 E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MORY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L.J. 1271, 1272 (2005) [hereinafter Dowd, Fathers and the Supreme Court]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(noting that some strains of fathers’ rights advocacy are “strongly antifeminist, even womanhating”)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(footnotes omitted); Martha Albertson Fineman, Fatherhood, Feminism and Family Law,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lastRenderedPageBreak/>
        <w:t>32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C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EORGE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1031, 1043 (2001) [hereinafter Fineman, Fatherhood] (observing that “[a]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substantial amount of fathers’ rights discourse characterizes mothers in negative and malicious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stereotypes, arguing for monitoring, punishment, containment and control over mothers”).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14. See, e.g., Julian v. Julian, No. M1997-00236-COA-R3-CV, 2000 WL 343817, at *1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(Tenn. Ct. App. Apr. 4, 2000) (asserting constitutional rights of non-custodial mother). Reportedly,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 third of the members of Fathers 4 Justice are women. See Activist: How I Stormed Lottery Show,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LYMOUTH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VENING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H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ERALD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May 22, 2006, at 9, available at 2006 WLNR 8797790.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dramatize the point, one of the six custody-rights activists who stormed a BBC studio in May 2006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was a woman. Id.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15. See Smith, supra note 12, at 39 (noting that “[f]athers’ rights advocates have lobbied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several states to adopt a legal preference for joint custody, pressed for stricter enforcement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noncustodial fathers’ visitation rights, and pushed for DNA paternity tests in child support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proceedings” and that “this loosely organized movement has demonstrated its political clout in state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legislatures and family courts nationwide”). Surveying recent development in child custody law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Australia, Canada, Denmark, England, France, Hong Kong, Portugal, and the United States, Helen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1464 HOFSTRA LAW REVIEW [Vol. 35:1461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rights to enforce visitation, limit their support obligations based on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additional time caring for the child, and even to “disestablish” their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parental status (and obligations) altogether based on DNA proof of nonpaternity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later in the child’s life.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16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Most of the changes so far have come through legislative action,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and proponents are presently pushing many new initiatives in state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legislatures across the United States.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17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Increasingly, however, noncustodial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parents are turning their attention to the courts as well,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demanding better or equal treatment as a matter of constitutional right.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Michael Newdow, the California father who took his fight against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Pledge of Allegiance at his daughter’s school all the way to the U.S.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Supreme Court, may be the best known of these litigants.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18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But, with less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fanfare, many other parents have also gone to court claiming a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constitutional entitlement to play a larger and co-equal role in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Rhoades and Susan Boyd observe that a “common thread” is “the central role played by fathers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triggering the legislative reviews, and the tendency for new policies to embrace a normative shift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towards a shared parenting model.” Helen Rhoades &amp; Susan B. Boyd, Reforming Custody Laws: A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Comparative Study, 18 I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NT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L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J.L. 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OL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&amp;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119, 119 (2004). Australia enacted new legislation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in 2006 strengthening its legal preference for “shared parental responsibility.” See Family Law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Amendment (Shared Parental Responsibility) Act 2006, available 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http://www.comlaw.gov.au/ComLaw/Legislation/Act1.nsf/0/1D1968BB157D8090CA257178000B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0A56?OpenDocument&amp;VIEWCAT=item&amp;COUNT=999&amp;START=1. For further discussion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“shared parenting” initiatives in Australia, Canada, and Europe, see Ian Curry-Sumner &amp; Caroline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Forder, The Dutch Family Law Chronicles: Continued Parenting Notwithstanding Divorce, in T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NTERNATIONAL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URVEY OF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AMILY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AW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261 (Andrew Bainham ed., 2006); Parkinson, supra note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10, at 456-70; and Helen Rhoades, The Rise and Rise of Shared Parenting Laws, 19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J.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lastRenderedPageBreak/>
        <w:t>75 (2002).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16. See, e.g., Margaret F. Brinig, Does Parental Autonomy Require Equal Custody 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Divorce?, 65 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1345, 1347-48 (2005) [hereinafter Brinig, Parental Autonomy] (discussing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Oregon legislation strengthening non-custodial parents’ rights concerning visitation and child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support); Marygold S. Melli, The American Law Institute Principles of Family Dissolution,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Approximation Rule and Shared-Parenting, 25 N. I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LL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347, 358-61 (2005) [hereinafter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Melli, Shared-Parenting] (discussing reductions of child support based upon shared parenting);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Linda Lea M. Viken, Child Support in South Dakota from Obligor Only to Shared Responsibility,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an Overview, 48 S.D.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443, 447-52 (2003) (recounting changes in South Dakota law). For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critical analyses of the recent legislative and judicial trend allowing legal fathers to “disestablish”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paternity, see generally Melanie B. Jacobs, When Daddy Doesn’t Want to Be Daddy Anymore: An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Argument Against Paternity Fraud Claims, 16 Y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ALE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J.L. &amp;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EMINISM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193 (2004); Jana Singer,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Marriage, Biology, and Paternity: The Case for Revitalizing the Marital Presumption, 65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D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246 (2006).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17. Many of the pending legislative initiatives are summarized on the website of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American Coalition for Fathers and Children, https://secure2.convio.net/acfc/site/SPageServer?page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name=SharedParentingLegislation&amp;JServSessionIdr002=ytmwy06ur1.app6a.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18. See Elk Grove Uniform Sch. Dist. v. Newdow, 542 U.S. 1 (2004). Profiles of Michael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Newdow, the medical doctor and law school graduate who argued his own case pro se in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Supreme Court, appeared widely in the press. See, e.g., Dominus, supra note 6. Recently, Newdow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reemerged in the headlines when he filed a lawsuit challenging the constitutionality of the use of “In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God We Trust” on U.S. currency. See Atheist Targets Currency, 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RAND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APIDS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RESS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Nov. 19,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2005, at A8, available at 2005 WLNR 18779412.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2006] NON-CUSTODIAL PARENTS 1465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upbringing of their children. In the fall of 2004, for example,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coordinated class-action lawsuits were filed in forty-four states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challenging the constitutionality of prevailing custody law and asserting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 constitutional right to “shared parenting,” or equal time with and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authority over their children.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19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To date, non-custodial parents have met mostly with frustration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their resort to constitutional law.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20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There have been some important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successes over the years—most notably, the series of U.S. Supreme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Court decisions recognizing the parenting status of some unwed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fathers.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21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But, in large measure, recent claimants asserting a right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equal parenting prerogatives have been stymied by a battery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impediments relating to standing, jurisdiction, or the merits.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22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As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discussed in greater detail below, the broad view that emerges from this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litigation, in varied contexts, is that parents are not constitutionally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entitled to a co-equal role in raising their children following separation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or divorce. The state, in this view, retains considerable discretion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allocate parental authority and access following dissolution, including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lastRenderedPageBreak/>
        <w:t>giving one parent a superior and dominant child-rearing role, without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having to prove extraordinary or compelling grounds.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This Article scrutinizes that conclusion. Is it right to think that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Constitution, which is said to zealously protect the rights and authority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of parents within the intact family, falls away so sharply following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divorce or family break-up? And, if so, why and on what ground? In my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view, the Constitution does in fact tolerate unequal roles for parents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the divided family, although not for the reasons most courts have given.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The reason the Constitution tolerates unequal roles is not that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parenting interests of non-custodial parents are unprotected or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insubstantial, as some courts have reasoned, or that the “best interests”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of children is a “compelling” state interest which categorically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overcomes the fundamental rights of parents under strict constitutional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scrutiny.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23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Rather, it is because constitutional protection of parental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19. See Kim Kozlowski, Divorced Michigan. Fathers Sue for Equity in Child Custody: Class-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Action Lawsuit Seeks to Make Joint Custody the First Option Judges Consider, 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ETROIT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EWS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Oct. 31, 2004, available at http://www.fathers.ca/fathers_sue_for _equality.htm; Sheldon Gordon,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Fathers’ Day, N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ATIONAL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Dec. 2003 (describing similar legal claims in Canada), available 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http://www.canadiancrc.com/articles/CBA_Fathers_Day_2003.htm; see generally Maury D.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Beaulier, Establishing a Presumption for Joint Physical Custody, T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RANSITIONS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Mar. 1, 2006, at 1.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For a listing and summary of the lawsuits, see the website of the Indiana Civil Rights Council,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http://indianacrc.org/classaction.html.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20. See infra notes 90-137 and accompanying text.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21. See, e.g., Caban v. Mohammed, 441 U.S. 380 (1979); Stanley v. Illinois, 405 U.S. 645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(1972); see also discussion infra Part III.A.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22. See discussion infra Parts III.B-C.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23. See infra notes 95-133 and accompanying text.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1466 HOFSTRA LAW REVIEW [Vol. 35:1461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rights—of custodial and non-custodial parents alike—is always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necessarily qualified by the competing interests of other family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members. By this view, the qualification—or, to be frank,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weakness—of non-custodial parents’ rights does not so much reflect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unique disabilities of the non-custodial parent, as it does the relative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weakness of “family privacy” rights more generally: Even within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ongoing “intact” family, the Constitution must be understood to leave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room for sensitive accommodation by the state of the potentially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conflicting interests of various family members. My claim, finally, is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that honesty in confronting the dilemma posed by the claims of noncustodial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lastRenderedPageBreak/>
        <w:t>parents should lead courts not to ratchet up dramatically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protection those parents receive, but to acknowledge candidly that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Constitution permits—and even requires—the state to balance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interests of others within the family in drawing the limits of family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privacy.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This Article proceeds in three parts. Part I describes the evolution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of modern custody law, providing a context for evaluating the present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constitutional claims. Part II then surveys how non-custodial parents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have fared in pressing their claims in court. Part III, finally, critiques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rationales courts have used to limit constitutional protection for noncustodial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parents, and suggests an alternative basis for resolving these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claims. It concludes, moreover, by suggesting why it would be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preferable to openly concede the indeterminate nature of family-privacy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protection, even if doing so would not drastically alter the bottom-line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outcome of many family disputes over parenting.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II. T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 xml:space="preserve">HE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 xml:space="preserve">VOLUTION OF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 xml:space="preserve">USTODY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>AW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: F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 xml:space="preserve">ROM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 xml:space="preserve">OLE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>USTODY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 xml:space="preserve">HARED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673538">
        <w:rPr>
          <w:rFonts w:ascii="Times New Roman" w:hAnsi="Times New Roman" w:cs="Times New Roman"/>
          <w:color w:val="000000"/>
          <w:sz w:val="18"/>
          <w:szCs w:val="18"/>
        </w:rPr>
        <w:t>ARENTING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The law of child custody has undergone a dramatic transformation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over the past 150 years—or, more accurately, several transformations.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24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American law began with a powerful presumption for custody with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fathers. The entitlement of the father—“the Lord of the fireside,”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Chancellor Kent’s phrase—was nearly absolute and, as historian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Michael Grossberg has noted, was “[m]oored in the medieval equation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of legal rights with property ownership.”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25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The father was naturally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24. See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ARY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NN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ASON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ROM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ATHER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ROPERTY TO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HILDREN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IGHTS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: T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H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ISTORY OF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HILD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USTODY IN 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U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NITED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TATES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xii (1994) [hereinafter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ASON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ROM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ATHER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ROPERTY TO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HILDREN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IGHTS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].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25.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ICHAEL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ROSSBERG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OVERNING 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H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EARTH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: 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AW AND 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AMILY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INETEENTH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-C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ENTURY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MERICA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235, 240 (1985). Barbara Woodhouse has demonstrated how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essentially similar property notions imbued the Supreme Court’s recognition of parental rights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under the Constitution. See generally Barbara Bennett Woodhouse, “Who Owns the Child?”: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2006] NON-CUSTODIAL PARENTS 1467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entitled to the benefit of the child’s labor, it was supposed, in exchange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for the father’s investment in the child’s support.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26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This rule favoring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fathers gave way only if the father was shown to be wholly “unfit”—that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is, if he were shown, in the words of one South Carolina judge, to have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lastRenderedPageBreak/>
        <w:t>“monstrously and cruelly abused” his parental power;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27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otherwise,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Blackstone observed, the mother was “entitled to no power, but only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reverence and respect.”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28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This rule was then turned on its head over the course of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nineteenth century. The rule favoring fathers in divorce had always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coexisted with one granting mothers custody of children born outside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marriage.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29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So-called “illegitimate children” were essentially disregarded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by English law as “the child of no one,” but by custom lived with their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mothers.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30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And in early America this custom took on the force of law,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with early custody battles recognizing a parallel entitlement of mothers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to retain custody of non-marital children.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31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Further cracks began to open in the paternal preference in cases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divorce as early as the 1810s and 1820s, with judges expressing new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concern for the interests of children and for the unique values of “mother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love,” particularly for younger children.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32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By the end of the century, it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had crumbled entirely, replaced with a mirror-image preference for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mothers.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33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Under the Tender Years doctrine, mothers were heavily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Meyer and Pierce and the Child as Property, 33 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&amp;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ARY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995 (1992).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26. See 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ROSSBERG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supra note 25, at 235;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ASON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ROM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ATHER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ROPERTY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HILDREN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IGHTS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supra note 24, at 61.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27. In Prather v. Prather, 4 S.C. Eq. 33 (1809), the court wrote in an action seeking separate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maintenance and custody against an abusive husband: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With respect to the children, I do not feel myself at liberty to take them out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the care and custody of the father. He is the natural guardian, invested by God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and the law of the country, with reasonable power over them. Unless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therefore his paternal power has been monstrously and cruelly abused, this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court would be very cautious of interfering in the exercise of it.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Id.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28. See B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LACKSTONE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OMMENTARIES ON 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AW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196 (Bernard C. Gavit ed., 1941);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ROSSBERG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supra note 25, at 236.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29. See 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ROSSBERG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supra note 25, at 207-08.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30. See generally id. at 197-210; H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ARRY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D. K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RAUSE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I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LLEGITIMACY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: 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AW AND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OCIAL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OLICY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1-8 (1971).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31. See 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ROSSBERG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supra note 25, at 207-11.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32. See Jamil S. Zainaldin, The Emergence of a Modern American Family Law: Child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Custody, Adoption, and the Courts, 1796-1851, 73 N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W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U.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1038, 1052-59 (1979)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(describing how the common law’s strict paternal entitlement began to give way to discretionary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judicial consideration of child welfare in early nineteenth century cases).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33. See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ASON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ROM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ATHER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ROPERTY TO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HILDREN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IGHTS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supra note 24, at 3-4.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As Cynthia Starnes aptly notes, “[w]hat thus began as a rule of absolute paternal preference under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lastRenderedPageBreak/>
        <w:t>Roman law evolved into a rule of absolute maternal preference in U.S. law, at least in cases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children of ‘tender’ years.” Cynthia Starnes, Swords in the Hands of Babes: Rethinking Custody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Interviews After Troxel, 2003 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IS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115, 120.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1468 HOFSTRA LAW REVIEW [Vol. 35:1461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presumed to be the proper custodian of young children.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34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Custody went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to fathers only if the mothers were altogether “unfit” to parent.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35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Explicit gender preferences in custody were finally set aside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almost all states during the 1970s. A new intolerance for sex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discrimination in equal protection doctrine, along with the entry of more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women into the permanent workforce, made a categorical preference for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mothers untenable.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36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Custody law was then recentered on a formally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gender-neutral inquiry into the “best interest of the child.”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37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This did not mean, of course, that gender bias no longer infected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custody decisions, but it was largely pushed underground. Undoubtedly,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some judges continue to favor mother custody generally, and some seem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to disfavor men or women who buck traditional gender stereotypes.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38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2004 study of family court judges in Indiana, for example, found that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more half expressed support for the Tender Years doctrine in private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interviews and acted consistently with that view in deciding cases.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39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study in 2005 by political scientists Elaine Martin and Barry Pyle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concluded that the best predictor of voting behavior by state supreme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court judges in divorce cases generally (not only custody disputes) was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gender—with female judges favoring female litigants about 60% of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time and male judges favoring divorcing husbands about 55% of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34. See H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OMER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H.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LARK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J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R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., T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AW OF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OMESTIC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ELATIONS IN 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U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NITED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TATES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§ 19.4, at 799-800 (2d ed. 1988).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35. See Ramsay Laing Klaff, The Tender Years Doctrine: A Defense, 70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AL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335,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342 (1982).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36. See generally Fineman, Fatherhood, supra note 13, at 1038 (2001).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37. See id.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38. A task force study of the Virginia courts, for example, concluded that “[d]ecisions in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custody matters may reflect gender bias” and that “[m]any participants in the study, particularly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men, perceive that courts are biased against men in custody matters, which may be based to a great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extent on continued application of the ‘tender years’ presumption.” Gender Bias in the Courts Task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Force, Gender Bias in the Courts of the Commonwealth Final Report, 7 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&amp;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ARY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 xml:space="preserve">J. 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OMEN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&amp; L. 705, 718 (2001). Studies in other states have similarly concluded that gender bias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continues to influence custody decisions. See Gender and Justice in the Courts: A Report to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Supreme Court of Georgia by the Commission on Gender Bias in the Judicial System, 8 G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T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U.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539, 657-58 (1992); Gender Bias Study of the Court System in Massachusetts, 24 N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EW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  <w:lang w:val="nb-NO"/>
        </w:rPr>
        <w:lastRenderedPageBreak/>
        <w:t>E</w:t>
      </w:r>
      <w:r w:rsidRPr="00673538">
        <w:rPr>
          <w:rFonts w:ascii="Times New Roman" w:hAnsi="Times New Roman" w:cs="Times New Roman"/>
          <w:color w:val="000000"/>
          <w:sz w:val="13"/>
          <w:szCs w:val="13"/>
          <w:lang w:val="nb-NO"/>
        </w:rPr>
        <w:t>NG</w:t>
      </w:r>
      <w:r w:rsidRPr="00673538">
        <w:rPr>
          <w:rFonts w:ascii="Times New Roman" w:hAnsi="Times New Roman" w:cs="Times New Roman"/>
          <w:color w:val="000000"/>
          <w:sz w:val="16"/>
          <w:szCs w:val="16"/>
          <w:lang w:val="nb-NO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  <w:lang w:val="nb-NO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  <w:lang w:val="nb-NO"/>
        </w:rPr>
        <w:t xml:space="preserve">. 745, 827 n.47 (reprint 1990).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But cf. Report of the Florida Supreme Court Gender Bias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Study Commission 7 (Mar. 1990) (finding that “[c]ontrary to public perception, men are quite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successful in obtaining residential custody of their children when they actually seek it,” but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acknowledging that “[n]oncustodial fathers are disadvantaged in the allotment of visitation”),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available at http://floridasupremecourt.org/pub_info/documents/bias.pdf. See also Stephen J. Bahr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et al., Trends in Child Custody Awards: Has the Removal of Maternal Preference Made a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Difference?, 28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L.Q. 247, 255 (1994); Solangel Maldonado, Beyond Economic Fatherhood: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Encouraging Divorced Fathers To Parent, 153 U. P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921, 967-74 (2005); Cynthia A.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McNeely, Lagging Behind the Times: Parenthood, Custody, and Gender Bias in the Family Court,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25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LA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T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U.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891, 906-18 (1998).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39. Julie E. Artis, Judging the Best Interests of the Child: Judges’ Accounts of the Tender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Years Doctrine, 38 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AW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&amp; 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OC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769, 771 (2004).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2006] NON-CUSTODIAL PARENTS 1469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time.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40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Although mothers still usually end up with custody of children—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the latest census data shows that mothers lead single-parent households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by a 5-to-1 margin—some studies suggest that fathers prevail in closer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to half of all contested cases decided by a judge, a fact that in part may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reflect selection effects in that small subset of cases.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41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Throughout these changes—shifting focus from fathers to mothers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to children—custody law through the 1970s remained premised on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idea of sole custody.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42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The point was always to designate a single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custodial parent who would assume primary responsibility for the child.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This parent lived with the child, tended to the daily joys and toils of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child-rearing, and had final say in major decisions affecting the child—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such as the child’s education, religious upbringing, and medical care.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>43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The non-custodial parent, meanwhile, was consigned to a decidedly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secondary role. These parents—in most cases fathers—were expected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pay child support and exercise “visitation,” a term many resented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bitterly.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44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In a despairing number of cases, they did neither. Whether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because of awkwardness over their new role, ongoing conflicts with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custodial parent, or other factors, a great many non-custodial fathers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simply recede from their children’s lives following divorce—and this is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equally true even of fathers who were significantly involved with their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3538">
        <w:rPr>
          <w:rFonts w:ascii="Times New Roman" w:hAnsi="Times New Roman" w:cs="Times New Roman"/>
          <w:color w:val="000000"/>
          <w:sz w:val="22"/>
          <w:szCs w:val="22"/>
        </w:rPr>
        <w:t>children before the divorce.</w:t>
      </w:r>
      <w:r w:rsidRPr="00673538">
        <w:rPr>
          <w:rFonts w:ascii="Times New Roman" w:hAnsi="Times New Roman" w:cs="Times New Roman"/>
          <w:color w:val="000000"/>
          <w:sz w:val="14"/>
          <w:szCs w:val="14"/>
        </w:rPr>
        <w:t xml:space="preserve">45 </w:t>
      </w:r>
      <w:r w:rsidRPr="00673538">
        <w:rPr>
          <w:rFonts w:ascii="Times New Roman" w:hAnsi="Times New Roman" w:cs="Times New Roman"/>
          <w:color w:val="000000"/>
          <w:sz w:val="22"/>
          <w:szCs w:val="22"/>
        </w:rPr>
        <w:t>Within a year of the breakup, most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40. Elaine Martin &amp; Barry Pyle, State High Courts and Divorce: The Impact of Judicial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Gender, 36 U. T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OL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923, 936 (2005).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41. See generally Mary Ann Mason &amp; Ann Quirk, Are Mothers Losing Custody? Read My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Lips: Trends in Judicial Decision-Making in Custody Disputes—1920, 1960, 1990, and 1995, 31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lastRenderedPageBreak/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L.Q. 215 (1997). But cf. Elizabeth Brandt, Cautionary Tales of Adoption: Addressing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Litigation Crisis at the Moment of Adoption, 4 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HITTIER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J.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HILD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&amp;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A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DVOC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187, 215 n.166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(2005) (collecting conflicting data on question). Of course, only a tiny fraction of custody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arrangements are resolved by judicial decision following trial. Eleanor Maccoby and Robert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Mnookin famously found in their study of California divorces that judge-decided cases represented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just 1.5 percent of all divorces involving children. See E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LEANOR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E.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ACCOBY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&amp;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OBERT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H.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NOOKIN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IVIDING THE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HILD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: 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OCIAL AND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EGAL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ILEMMAS OF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USTODY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137-38 (1992).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42. See Marygold S. Melli et al., Child Custody in a Changing World: A Study of Postdivorce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Arrangements in Wisconsin, 1997 U. I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LL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L. 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EV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773, 776 [hereinafter Melli et al., Child Custody].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43. See, e.g., Rust v. Rust, 864 S.W.2d 52, 55 (Tenn. Ct. App. 1993) (holding that “in the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absence of specific provisions in the custody decree, the parent receiving custody retains the sole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prerogative to make the significant decisions concerning the child’s education, residence, religious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training, and medical care”).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44. See, e.g., Marilyn Gardner, Yours, Mine, Then Yours Again, C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HRISTIAN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CI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ONITOR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May 3, 2006, at 13 (quoting one supporter of shared parenting as stating that “[t]he words ‘custody’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and ‘visitation’ belong to prisons and hospitals” and that “[t]his may be useful language for the legal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system, but not for families”).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45. See E. M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AVIS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H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ETHERINGTON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&amp; J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OHN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K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ELLY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,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OR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B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ETTER OR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OR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W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ORSE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: D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IVORCE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 xml:space="preserve">ECONSIDERED 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118-21 (2002); Cynthia R. Mabry, Disappearing Acts: Encouraging Fathers To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3538">
        <w:rPr>
          <w:rFonts w:ascii="Times New Roman" w:hAnsi="Times New Roman" w:cs="Times New Roman"/>
          <w:color w:val="000000"/>
          <w:sz w:val="16"/>
          <w:szCs w:val="16"/>
        </w:rPr>
        <w:t>Reappear for their Children, 7 J.L. &amp; F</w:t>
      </w:r>
      <w:r w:rsidRPr="00673538">
        <w:rPr>
          <w:rFonts w:ascii="Times New Roman" w:hAnsi="Times New Roman" w:cs="Times New Roman"/>
          <w:color w:val="000000"/>
          <w:sz w:val="13"/>
          <w:szCs w:val="13"/>
        </w:rPr>
        <w:t>AM</w:t>
      </w:r>
      <w:r w:rsidRPr="00673538">
        <w:rPr>
          <w:rFonts w:ascii="Times New Roman" w:hAnsi="Times New Roman" w:cs="Times New Roman"/>
          <w:color w:val="000000"/>
          <w:sz w:val="16"/>
          <w:szCs w:val="16"/>
        </w:rPr>
        <w:t>. Stud. 111, 114-18 (2005); Maldonado, supra note 38, at</w:t>
      </w: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Pr="00673538" w:rsidRDefault="00673538" w:rsidP="006735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3538" w:rsidRDefault="00673538" w:rsidP="00673538">
      <w:pPr>
        <w:spacing w:line="360" w:lineRule="auto"/>
        <w:jc w:val="center"/>
      </w:pPr>
    </w:p>
    <w:sectPr w:rsidR="00673538" w:rsidSect="0065013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38"/>
    <w:rsid w:val="00673538"/>
    <w:rsid w:val="006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8A358-DB68-AE48-A9A1-6B32DCA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4128</Words>
  <Characters>23532</Characters>
  <Application>Microsoft Office Word</Application>
  <DocSecurity>0</DocSecurity>
  <Lines>196</Lines>
  <Paragraphs>55</Paragraphs>
  <ScaleCrop>false</ScaleCrop>
  <Company/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wrigley joseph</dc:creator>
  <cp:keywords/>
  <dc:description/>
  <cp:lastModifiedBy>wrigley joseph</cp:lastModifiedBy>
  <cp:revision>1</cp:revision>
  <dcterms:created xsi:type="dcterms:W3CDTF">2022-05-11T17:28:00Z</dcterms:created>
  <dcterms:modified xsi:type="dcterms:W3CDTF">2022-05-11T17:29:00Z</dcterms:modified>
</cp:coreProperties>
</file>