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askerville" w:hAnsi="Baskerville"/>
          <w:b/>
          <w:b/>
          <w:bCs/>
          <w:color w:val="660066"/>
        </w:rPr>
      </w:pPr>
      <w:r>
        <w:rPr>
          <w:rFonts w:ascii="Baskerville" w:hAnsi="Baskerville"/>
          <w:b/>
          <w:bCs/>
          <w:color w:val="660066"/>
        </w:rPr>
        <w:t>Freedom of Information Request</w:t>
      </w:r>
    </w:p>
    <w:p>
      <w:pPr>
        <w:pStyle w:val="Normal"/>
        <w:jc w:val="center"/>
        <w:rPr>
          <w:rFonts w:ascii="Baskerville" w:hAnsi="Baskerville"/>
          <w:b/>
          <w:b/>
          <w:bCs/>
          <w:color w:val="660066"/>
        </w:rPr>
      </w:pPr>
      <w:r>
        <w:rPr>
          <w:rFonts w:ascii="Baskerville" w:hAnsi="Baskerville"/>
          <w:b/>
          <w:bCs/>
          <w:color w:val="660066"/>
        </w:rPr>
        <w:t>and</w:t>
      </w:r>
    </w:p>
    <w:p>
      <w:pPr>
        <w:pStyle w:val="Normal"/>
        <w:jc w:val="center"/>
        <w:rPr>
          <w:rFonts w:ascii="Baskerville" w:hAnsi="Baskerville"/>
          <w:b/>
          <w:b/>
          <w:bCs/>
          <w:color w:val="660066"/>
        </w:rPr>
      </w:pPr>
      <w:r>
        <w:rPr>
          <w:rFonts w:ascii="Baskerville" w:hAnsi="Baskerville"/>
          <w:b/>
          <w:bCs/>
          <w:color w:val="660066"/>
        </w:rPr>
        <w:t xml:space="preserve">Notice of Request </w:t>
      </w:r>
    </w:p>
    <w:p>
      <w:pPr>
        <w:pStyle w:val="Normal"/>
        <w:jc w:val="center"/>
        <w:rPr>
          <w:rFonts w:ascii="Baskerville" w:hAnsi="Baskerville"/>
          <w:b/>
          <w:b/>
          <w:bCs/>
          <w:color w:val="660066"/>
        </w:rPr>
      </w:pPr>
      <w:r>
        <w:rPr>
          <w:rFonts w:ascii="Baskerville" w:hAnsi="Baskerville"/>
          <w:b/>
          <w:bCs/>
          <w:color w:val="660066"/>
        </w:rPr>
        <w:t>for Further and Better Particulars</w:t>
      </w:r>
    </w:p>
    <w:p>
      <w:pPr>
        <w:pStyle w:val="Normal"/>
        <w:jc w:val="center"/>
        <w:rPr>
          <w:rFonts w:ascii="Baskerville" w:hAnsi="Baskerville"/>
          <w:b/>
          <w:b/>
          <w:bCs/>
          <w:color w:val="660066"/>
        </w:rPr>
      </w:pPr>
      <w:r>
        <w:rPr>
          <w:rFonts w:ascii="Baskerville" w:hAnsi="Baskerville"/>
          <w:b/>
          <w:bCs/>
          <w:color w:val="660066"/>
        </w:rPr>
        <w:t>and Full Disclosure</w:t>
      </w:r>
    </w:p>
    <w:p>
      <w:pPr>
        <w:pStyle w:val="Normal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</w:r>
    </w:p>
    <w:p>
      <w:pPr>
        <w:pStyle w:val="Normal"/>
        <w:jc w:val="right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  <w:t>The date known as “1 March 2022”</w:t>
      </w:r>
    </w:p>
    <w:p>
      <w:pPr>
        <w:pStyle w:val="Normal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  <w:t>To:</w:t>
      </w:r>
    </w:p>
    <w:p>
      <w:pPr>
        <w:pStyle w:val="Normal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</w:r>
    </w:p>
    <w:p>
      <w:pPr>
        <w:pStyle w:val="Normal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  <w:t xml:space="preserve">The living </w:t>
      </w:r>
      <w:r>
        <w:rPr>
          <w:rFonts w:ascii="Baskerville" w:hAnsi="Baskerville"/>
          <w:color w:val="660066"/>
        </w:rPr>
        <w:t>wo</w:t>
      </w:r>
      <w:r>
        <w:rPr>
          <w:rFonts w:ascii="Baskerville" w:hAnsi="Baskerville"/>
          <w:color w:val="660066"/>
        </w:rPr>
        <w:t>man known as “</w:t>
      </w:r>
      <w:r>
        <w:rPr>
          <w:rFonts w:ascii="Baskerville" w:hAnsi="Baskerville"/>
          <w:color w:val="660066"/>
        </w:rPr>
        <w:t>Lisa Neville</w:t>
      </w:r>
      <w:r>
        <w:rPr>
          <w:rFonts w:ascii="Baskerville" w:hAnsi="Baskerville"/>
          <w:color w:val="660066"/>
        </w:rPr>
        <w:t>”</w:t>
      </w:r>
    </w:p>
    <w:p>
      <w:pPr>
        <w:pStyle w:val="Normal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  <w:t>Acting as “</w:t>
      </w:r>
      <w:r>
        <w:rPr>
          <w:rFonts w:ascii="Baskerville" w:hAnsi="Baskerville"/>
          <w:color w:val="660066"/>
        </w:rPr>
        <w:t xml:space="preserve">Minister of Police” for </w:t>
      </w:r>
      <w:r>
        <w:rPr>
          <w:rFonts w:ascii="Baskerville" w:hAnsi="Baskerville"/>
          <w:color w:val="660066"/>
        </w:rPr>
        <w:t>“</w:t>
      </w:r>
      <w:r>
        <w:rPr>
          <w:rFonts w:ascii="Baskerville" w:hAnsi="Baskerville"/>
          <w:color w:val="660066"/>
        </w:rPr>
        <w:t>PARLIAMENT OF VICTORIA</w:t>
      </w:r>
      <w:r>
        <w:rPr>
          <w:rFonts w:ascii="Baskerville" w:hAnsi="Baskerville"/>
          <w:color w:val="660066"/>
        </w:rPr>
        <w:t xml:space="preserve">”, </w:t>
      </w:r>
    </w:p>
    <w:p>
      <w:pPr>
        <w:pStyle w:val="Normal"/>
        <w:rPr>
          <w:color w:val="660066"/>
        </w:rPr>
      </w:pPr>
      <w:r>
        <w:rPr>
          <w:rFonts w:ascii="Baskerville" w:hAnsi="Baskerville"/>
          <w:color w:val="660066"/>
        </w:rPr>
        <w:t>a trading name of “STATE OF VICTORIA - PARLIAMENT OF VICTORIA</w:t>
      </w:r>
      <w:r>
        <w:rPr>
          <w:color w:val="660066"/>
        </w:rPr>
        <w:t xml:space="preserve">” </w:t>
      </w:r>
      <w:r>
        <w:rPr>
          <w:color w:val="660066"/>
        </w:rPr>
        <w:t>ABN 57 505 521 939</w:t>
      </w:r>
    </w:p>
    <w:p>
      <w:pPr>
        <w:pStyle w:val="Normal"/>
        <w:rPr>
          <w:color w:val="660066"/>
        </w:rPr>
      </w:pPr>
      <w:r>
        <w:rPr>
          <w:color w:val="660066"/>
        </w:rPr>
        <w:t>C/o “</w:t>
      </w:r>
      <w:r>
        <w:rPr>
          <w:color w:val="660066"/>
        </w:rPr>
        <w:t>Level 17, 8 Nicholson Street, “</w:t>
      </w:r>
      <w:r>
        <w:rPr>
          <w:color w:val="660066"/>
        </w:rPr>
        <w:t>[</w:t>
      </w:r>
      <w:r>
        <w:rPr>
          <w:color w:val="660066"/>
        </w:rPr>
        <w:t>East Melbourne</w:t>
      </w:r>
      <w:r>
        <w:rPr>
          <w:color w:val="660066"/>
        </w:rPr>
        <w:t>]”</w:t>
      </w:r>
      <w:r>
        <w:rPr>
          <w:color w:val="660066"/>
        </w:rPr>
        <w:t>, “</w:t>
      </w:r>
      <w:r>
        <w:rPr>
          <w:color w:val="660066"/>
        </w:rPr>
        <w:t>[</w:t>
      </w:r>
      <w:r>
        <w:rPr>
          <w:color w:val="660066"/>
        </w:rPr>
        <w:t>VIC 3002</w:t>
      </w:r>
      <w:r>
        <w:rPr>
          <w:color w:val="660066"/>
        </w:rPr>
        <w:t>]”</w:t>
      </w:r>
    </w:p>
    <w:p>
      <w:pPr>
        <w:pStyle w:val="ListContents"/>
        <w:ind w:left="0" w:right="0" w:hanging="0"/>
        <w:rPr>
          <w:color w:val="660066"/>
        </w:rPr>
      </w:pPr>
      <w:r>
        <w:rPr>
          <w:color w:val="660066"/>
        </w:rPr>
        <w:t>lisa.neville@parliament.vic.gov.au</w:t>
      </w:r>
    </w:p>
    <w:p>
      <w:pPr>
        <w:pStyle w:val="Normal"/>
        <w:rPr>
          <w:color w:val="660066"/>
        </w:rPr>
      </w:pPr>
      <w:r>
        <w:rPr>
          <w:color w:val="660066"/>
        </w:rPr>
      </w:r>
    </w:p>
    <w:p>
      <w:pPr>
        <w:pStyle w:val="Normal"/>
        <w:rPr/>
      </w:pPr>
      <w:r>
        <w:rPr>
          <w:rFonts w:ascii="Baskerville" w:hAnsi="Baskerville"/>
          <w:color w:val="660066"/>
        </w:rPr>
        <w:t>Cc: “</w:t>
      </w:r>
      <w:r>
        <w:rPr>
          <w:rStyle w:val="StrongEmphasis"/>
          <w:b w:val="false"/>
          <w:bCs w:val="false"/>
          <w:color w:val="660066"/>
        </w:rPr>
        <w:t>Office of the Victorian Information Commissioner”</w:t>
      </w:r>
    </w:p>
    <w:p>
      <w:pPr>
        <w:pStyle w:val="Normal"/>
        <w:rPr/>
      </w:pPr>
      <w:r>
        <w:rPr>
          <w:rStyle w:val="StrongEmphasis"/>
          <w:b w:val="false"/>
          <w:bCs w:val="false"/>
          <w:color w:val="660066"/>
        </w:rPr>
        <w:t>“</w:t>
      </w:r>
      <w:r>
        <w:rPr>
          <w:rStyle w:val="StrongEmphasis"/>
          <w:b w:val="false"/>
          <w:bCs w:val="false"/>
          <w:color w:val="660066"/>
        </w:rPr>
        <w:t>[</w:t>
      </w:r>
      <w:r>
        <w:rPr>
          <w:rStyle w:val="StrongEmphasis"/>
          <w:b w:val="false"/>
          <w:bCs w:val="false"/>
          <w:color w:val="660066"/>
        </w:rPr>
        <w:t>PO Box 24274</w:t>
        <w:br/>
        <w:t>Melbourne VIC 3001</w:t>
      </w:r>
      <w:r>
        <w:rPr>
          <w:rStyle w:val="StrongEmphasis"/>
          <w:b w:val="false"/>
          <w:bCs w:val="false"/>
          <w:color w:val="660066"/>
        </w:rPr>
        <w:t>]”</w:t>
      </w:r>
    </w:p>
    <w:p>
      <w:pPr>
        <w:pStyle w:val="Normal"/>
        <w:rPr/>
      </w:pPr>
      <w:hyperlink r:id="rId2">
        <w:r>
          <w:rPr>
            <w:rStyle w:val="StrongEmphasis"/>
            <w:b w:val="false"/>
            <w:bCs w:val="false"/>
            <w:color w:val="660066"/>
          </w:rPr>
          <w:t>enquiries@ovic.vic.gov.au</w:t>
        </w:r>
      </w:hyperlink>
    </w:p>
    <w:p>
      <w:pPr>
        <w:pStyle w:val="Normal"/>
        <w:rPr>
          <w:rStyle w:val="StrongEmphasis"/>
          <w:b w:val="false"/>
          <w:b w:val="false"/>
          <w:bCs w:val="false"/>
          <w:color w:val="660066"/>
        </w:rPr>
      </w:pPr>
      <w:r>
        <w:rPr/>
      </w:r>
    </w:p>
    <w:p>
      <w:pPr>
        <w:pStyle w:val="Normal"/>
        <w:jc w:val="center"/>
        <w:rPr/>
      </w:pPr>
      <w:r>
        <w:rPr>
          <w:rStyle w:val="StrongEmphasis"/>
          <w:b/>
          <w:bCs/>
          <w:color w:val="660066"/>
        </w:rPr>
        <w:t>Notice to Principal is Notice to Agent</w:t>
      </w:r>
    </w:p>
    <w:p>
      <w:pPr>
        <w:pStyle w:val="Normal"/>
        <w:jc w:val="center"/>
        <w:rPr/>
      </w:pPr>
      <w:r>
        <w:rPr>
          <w:rStyle w:val="StrongEmphasis"/>
          <w:b/>
          <w:bCs/>
          <w:color w:val="660066"/>
        </w:rPr>
        <w:t>Notice to Agent is Notice to Principal</w:t>
      </w:r>
    </w:p>
    <w:p>
      <w:pPr>
        <w:pStyle w:val="Normal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  <w:t>“</w:t>
      </w:r>
      <w:r>
        <w:rPr>
          <w:rFonts w:ascii="Baskerville" w:hAnsi="Baskerville"/>
          <w:color w:val="660066"/>
        </w:rPr>
        <w:t>Lisa Neville”,</w:t>
      </w:r>
    </w:p>
    <w:p>
      <w:pPr>
        <w:pStyle w:val="Normal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</w:r>
    </w:p>
    <w:p>
      <w:pPr>
        <w:pStyle w:val="Normal"/>
        <w:spacing w:before="0" w:after="144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  <w:t>You are hereby and here-within requested, pursuant to the “</w:t>
      </w:r>
      <w:r>
        <w:rPr>
          <w:rFonts w:ascii="Baskerville" w:hAnsi="Baskerville"/>
          <w:b/>
          <w:bCs/>
          <w:color w:val="660066"/>
        </w:rPr>
        <w:t>Freedom of Information Act 1982</w:t>
      </w:r>
      <w:r>
        <w:rPr>
          <w:rFonts w:ascii="Baskerville" w:hAnsi="Baskerville"/>
          <w:color w:val="660066"/>
        </w:rPr>
        <w:t xml:space="preserve">” (FOI Act) </w:t>
      </w:r>
      <w:r>
        <w:rPr>
          <w:rFonts w:ascii="Baskerville" w:hAnsi="Baskerville"/>
          <w:color w:val="660066"/>
        </w:rPr>
        <w:t>(see attached forms)</w:t>
      </w:r>
      <w:r>
        <w:rPr>
          <w:rFonts w:ascii="Baskerville" w:hAnsi="Baskerville"/>
          <w:color w:val="660066"/>
        </w:rPr>
        <w:t xml:space="preserve">, </w:t>
      </w:r>
      <w:r>
        <w:rPr>
          <w:rFonts w:ascii="Baskerville" w:hAnsi="Baskerville"/>
          <w:color w:val="660066"/>
        </w:rPr>
        <w:t>and pursuant to the “</w:t>
      </w:r>
      <w:r>
        <w:rPr>
          <w:rFonts w:ascii="Baskerville" w:hAnsi="Baskerville"/>
          <w:b/>
          <w:bCs/>
          <w:color w:val="660066"/>
        </w:rPr>
        <w:t>Rules of Discovery</w:t>
      </w:r>
      <w:r>
        <w:rPr>
          <w:rFonts w:ascii="Baskerville" w:hAnsi="Baskerville"/>
          <w:color w:val="660066"/>
        </w:rPr>
        <w:t>”, to provide a full and complete list of;</w:t>
      </w:r>
    </w:p>
    <w:p>
      <w:pPr>
        <w:pStyle w:val="Normal"/>
        <w:numPr>
          <w:ilvl w:val="0"/>
          <w:numId w:val="2"/>
        </w:numPr>
        <w:rPr>
          <w:color w:val="660066"/>
        </w:rPr>
      </w:pPr>
      <w:r>
        <w:rPr>
          <w:rFonts w:ascii="Baskerville" w:hAnsi="Baskerville"/>
          <w:color w:val="660066"/>
        </w:rPr>
        <w:t xml:space="preserve">the </w:t>
      </w:r>
      <w:r>
        <w:rPr>
          <w:rFonts w:ascii="Baskerville" w:hAnsi="Baskerville"/>
          <w:color w:val="660066"/>
        </w:rPr>
        <w:t xml:space="preserve">1,076 police officers as well as 157 protective services officers and up to 29 police custody officers, </w:t>
      </w:r>
      <w:r>
        <w:rPr>
          <w:rFonts w:ascii="Baskerville" w:hAnsi="Baskerville"/>
          <w:color w:val="660066"/>
        </w:rPr>
        <w:t xml:space="preserve">you publicly announced have invalidly sworn in over the past eight years, and whom </w:t>
      </w:r>
      <w:r>
        <w:rPr>
          <w:rFonts w:ascii="Baskerville" w:hAnsi="Baskerville"/>
          <w:color w:val="660066"/>
        </w:rPr>
        <w:t>all of wh</w:t>
      </w:r>
      <w:r>
        <w:rPr>
          <w:rFonts w:ascii="Baskerville" w:hAnsi="Baskerville"/>
          <w:color w:val="660066"/>
        </w:rPr>
        <w:t xml:space="preserve">ich </w:t>
      </w:r>
      <w:r>
        <w:rPr>
          <w:rFonts w:ascii="Baskerville" w:hAnsi="Baskerville"/>
          <w:color w:val="660066"/>
        </w:rPr>
        <w:t>have been performing their duties without having the legal powers to do so</w:t>
      </w:r>
    </w:p>
    <w:p>
      <w:pPr>
        <w:pStyle w:val="Normal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</w:r>
    </w:p>
    <w:p>
      <w:pPr>
        <w:pStyle w:val="Normal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  <w:t>T</w:t>
      </w:r>
      <w:r>
        <w:rPr>
          <w:rFonts w:ascii="Baskerville" w:hAnsi="Baskerville"/>
          <w:color w:val="660066"/>
        </w:rPr>
        <w:t xml:space="preserve">he implications of the hundreds of “officers” carrying out their duties without the valid power to do so, </w:t>
      </w:r>
      <w:r>
        <w:rPr>
          <w:rFonts w:ascii="Baskerville" w:hAnsi="Baskerville"/>
          <w:color w:val="660066"/>
        </w:rPr>
        <w:t>means that as living men and women they may have committed crimes against other living men and women</w:t>
      </w:r>
      <w:r>
        <w:rPr>
          <w:rFonts w:ascii="Baskerville" w:hAnsi="Baskerville"/>
          <w:color w:val="660066"/>
        </w:rPr>
        <w:t>.</w:t>
      </w:r>
    </w:p>
    <w:p>
      <w:pPr>
        <w:pStyle w:val="Normal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</w:r>
    </w:p>
    <w:p>
      <w:pPr>
        <w:pStyle w:val="Normal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  <w:t>This list must be</w:t>
      </w:r>
      <w:r>
        <w:rPr>
          <w:rFonts w:ascii="Baskerville" w:hAnsi="Baskerville"/>
          <w:color w:val="660066"/>
        </w:rPr>
        <w:t xml:space="preserve"> made public, </w:t>
      </w:r>
      <w:r>
        <w:rPr>
          <w:rFonts w:ascii="Baskerville" w:hAnsi="Baskerville"/>
          <w:color w:val="660066"/>
        </w:rPr>
        <w:t xml:space="preserve">as </w:t>
      </w:r>
      <w:r>
        <w:rPr>
          <w:rFonts w:ascii="Baskerville" w:hAnsi="Baskerville"/>
          <w:color w:val="660066"/>
        </w:rPr>
        <w:t xml:space="preserve">people have a right to know the names of those who </w:t>
      </w:r>
      <w:r>
        <w:rPr>
          <w:rFonts w:ascii="Baskerville" w:hAnsi="Baskerville"/>
          <w:color w:val="660066"/>
        </w:rPr>
        <w:t>may have</w:t>
      </w:r>
      <w:r>
        <w:rPr>
          <w:rFonts w:ascii="Baskerville" w:hAnsi="Baskerville"/>
          <w:color w:val="660066"/>
        </w:rPr>
        <w:t xml:space="preserve"> unlawfully </w:t>
      </w:r>
      <w:r>
        <w:rPr>
          <w:rFonts w:ascii="Baskerville" w:hAnsi="Baskerville"/>
          <w:color w:val="660066"/>
        </w:rPr>
        <w:t xml:space="preserve">committed crimes against </w:t>
      </w:r>
      <w:r>
        <w:rPr>
          <w:rFonts w:ascii="Baskerville" w:hAnsi="Baskerville"/>
          <w:color w:val="660066"/>
        </w:rPr>
        <w:t>them.</w:t>
      </w:r>
    </w:p>
    <w:p>
      <w:pPr>
        <w:pStyle w:val="Normal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</w:r>
    </w:p>
    <w:p>
      <w:pPr>
        <w:pStyle w:val="Normal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  <w:t xml:space="preserve">If this list is not supplied within the allotted time-frame of 30 days, it will be taken, under Tacit Acquiescence, that you, the living woman known as “Lisa Neville”, acting as </w:t>
      </w:r>
      <w:r>
        <w:rPr>
          <w:rFonts w:ascii="Baskerville" w:hAnsi="Baskerville"/>
          <w:color w:val="660066"/>
        </w:rPr>
        <w:t xml:space="preserve">the </w:t>
      </w:r>
      <w:r>
        <w:rPr>
          <w:rFonts w:ascii="Baskerville" w:hAnsi="Baskerville"/>
          <w:color w:val="660066"/>
        </w:rPr>
        <w:t>“Minister of Police” for “PARLIAMENT OF VICTORIA”, a trading name of “STATE OF VICTORIA - PARLIAMENT OF VICTORIA” ABN 57 505 521 939, are</w:t>
      </w:r>
      <w:r>
        <w:rPr>
          <w:rFonts w:ascii="Baskerville" w:hAnsi="Baskerville"/>
          <w:color w:val="660066"/>
        </w:rPr>
        <w:t xml:space="preserve"> perverting the course of justice and complicit in aiding a</w:t>
      </w:r>
      <w:r>
        <w:rPr>
          <w:rFonts w:ascii="Baskerville" w:hAnsi="Baskerville"/>
          <w:color w:val="660066"/>
        </w:rPr>
        <w:t>nd</w:t>
      </w:r>
      <w:r>
        <w:rPr>
          <w:rFonts w:ascii="Baskerville" w:hAnsi="Baskerville"/>
          <w:color w:val="660066"/>
        </w:rPr>
        <w:t xml:space="preserve"> abetting </w:t>
      </w:r>
      <w:r>
        <w:rPr>
          <w:rFonts w:ascii="Baskerville" w:hAnsi="Baskerville"/>
          <w:color w:val="660066"/>
        </w:rPr>
        <w:t>any and all</w:t>
      </w:r>
      <w:r>
        <w:rPr>
          <w:rFonts w:ascii="Baskerville" w:hAnsi="Baskerville"/>
          <w:color w:val="660066"/>
        </w:rPr>
        <w:t xml:space="preserve"> crimes </w:t>
      </w:r>
      <w:r>
        <w:rPr>
          <w:rFonts w:ascii="Baskerville" w:hAnsi="Baskerville"/>
          <w:color w:val="660066"/>
        </w:rPr>
        <w:t>committed by any living man or woman whose name appears on that list and who has not been legally sworn into “office” since 2014.</w:t>
      </w:r>
    </w:p>
    <w:p>
      <w:pPr>
        <w:pStyle w:val="Normal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</w:r>
    </w:p>
    <w:p>
      <w:pPr>
        <w:pStyle w:val="Normal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  <w:t xml:space="preserve">Note: It is unlawful, and one might contend illegal, to </w:t>
      </w:r>
      <w:r>
        <w:rPr>
          <w:rFonts w:ascii="Baskerville" w:hAnsi="Baskerville"/>
          <w:color w:val="660066"/>
        </w:rPr>
        <w:t>retrospectively cover up for someone committing a crime!</w:t>
      </w:r>
    </w:p>
    <w:p>
      <w:pPr>
        <w:pStyle w:val="Normal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</w:r>
    </w:p>
    <w:p>
      <w:pPr>
        <w:pStyle w:val="Normal"/>
        <w:rPr>
          <w:rFonts w:ascii="Baskerville" w:hAnsi="Baskerville"/>
          <w:color w:val="FF0000"/>
        </w:rPr>
      </w:pPr>
      <w:r>
        <w:rPr>
          <w:rFonts w:ascii="Baskerville" w:hAnsi="Baskerville"/>
          <w:color w:val="FF0000"/>
        </w:rPr>
        <w:t>As I am impecunious and have a Pensio</w:t>
      </w:r>
      <w:r>
        <w:rPr>
          <w:rFonts w:ascii="Baskerville" w:hAnsi="Baskerville"/>
          <w:color w:val="FF0000"/>
        </w:rPr>
        <w:t>ne</w:t>
      </w:r>
      <w:r>
        <w:rPr>
          <w:rFonts w:ascii="Baskerville" w:hAnsi="Baskerville"/>
          <w:color w:val="FF0000"/>
        </w:rPr>
        <w:t xml:space="preserve">r Concession Card, CRN </w:t>
      </w:r>
      <w:r>
        <w:rPr>
          <w:rFonts w:ascii="Baskerville" w:hAnsi="Baskerville"/>
          <w:color w:val="FF0000"/>
        </w:rPr>
        <w:t>xxx-xxx-xxx</w:t>
      </w:r>
      <w:r>
        <w:rPr>
          <w:rFonts w:ascii="Baskerville" w:hAnsi="Baskerville"/>
          <w:color w:val="FF0000"/>
        </w:rPr>
        <w:t xml:space="preserve">K, I request </w:t>
      </w:r>
    </w:p>
    <w:p>
      <w:pPr>
        <w:pStyle w:val="Normal"/>
        <w:rPr>
          <w:rFonts w:ascii="Baskerville" w:hAnsi="Baskerville"/>
          <w:color w:val="660066"/>
        </w:rPr>
      </w:pPr>
      <w:r>
        <w:rPr>
          <w:rFonts w:ascii="Baskerville" w:hAnsi="Baskerville"/>
          <w:color w:val="FF0000"/>
        </w:rPr>
        <w:t xml:space="preserve">the application fee </w:t>
      </w:r>
      <w:r>
        <w:rPr>
          <w:rFonts w:ascii="Baskerville" w:hAnsi="Baskerville"/>
          <w:color w:val="FF0000"/>
        </w:rPr>
        <w:t>be waived as</w:t>
      </w:r>
      <w:r>
        <w:rPr>
          <w:rFonts w:ascii="Baskerville" w:hAnsi="Baskerville"/>
          <w:color w:val="FF0000"/>
        </w:rPr>
        <w:t xml:space="preserve"> it would cause </w:t>
      </w:r>
      <w:r>
        <w:rPr>
          <w:rFonts w:ascii="Baskerville" w:hAnsi="Baskerville"/>
          <w:color w:val="FF0000"/>
        </w:rPr>
        <w:t>me</w:t>
      </w:r>
      <w:r>
        <w:rPr>
          <w:rFonts w:ascii="Baskerville" w:hAnsi="Baskerville"/>
          <w:color w:val="FF0000"/>
        </w:rPr>
        <w:t xml:space="preserve"> financial hardship.</w:t>
      </w:r>
      <w:r>
        <w:rPr>
          <w:rFonts w:ascii="Baskerville" w:hAnsi="Baskerville"/>
          <w:color w:val="660066"/>
        </w:rPr>
        <w:t xml:space="preserve"> </w:t>
      </w:r>
    </w:p>
    <w:p>
      <w:pPr>
        <w:pStyle w:val="Normal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</w:r>
    </w:p>
    <w:p>
      <w:pPr>
        <w:pStyle w:val="Normal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</w:r>
    </w:p>
    <w:p>
      <w:pPr>
        <w:pStyle w:val="Normal"/>
        <w:jc w:val="right"/>
        <w:rPr>
          <w:rFonts w:ascii="Baskerville" w:hAnsi="Baskerville"/>
          <w:color w:val="FF0000"/>
        </w:rPr>
      </w:pPr>
      <w:r>
        <w:rPr>
          <w:rFonts w:ascii="Baskerville" w:hAnsi="Baskerville"/>
          <w:color w:val="FF0000"/>
        </w:rPr>
        <w:t>‘</w:t>
      </w:r>
      <w:r>
        <w:rPr>
          <w:rFonts w:ascii="Baskerville" w:hAnsi="Baskerville"/>
          <w:color w:val="FF0000"/>
        </w:rPr>
        <w:t>Trevor John’</w:t>
      </w:r>
    </w:p>
    <w:p>
      <w:pPr>
        <w:pStyle w:val="Normal"/>
        <w:jc w:val="right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  <w:t xml:space="preserve">of the family </w:t>
      </w:r>
      <w:r>
        <w:rPr>
          <w:rFonts w:ascii="Baskerville" w:hAnsi="Baskerville"/>
          <w:color w:val="FF0000"/>
        </w:rPr>
        <w:t>Alexander</w:t>
      </w:r>
    </w:p>
    <w:p>
      <w:pPr>
        <w:pStyle w:val="Normal"/>
        <w:jc w:val="right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</w:r>
    </w:p>
    <w:sectPr>
      <w:type w:val="nextPage"/>
      <w:pgSz w:w="11333" w:h="18720"/>
      <w:pgMar w:left="1134" w:right="1134" w:header="0" w:top="86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Baskerville"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en-A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sz w:val="24"/>
      <w:szCs w:val="24"/>
      <w:lang w:val="en-AU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Arial Unicode MS" w:cs="Arial Unicode MS"/>
      <w:b/>
      <w:bCs/>
      <w:sz w:val="48"/>
      <w:szCs w:val="48"/>
    </w:rPr>
  </w:style>
  <w:style w:type="paragraph" w:styleId="Heading3">
    <w:name w:val="Heading 3"/>
    <w:basedOn w:val="Heading"/>
    <w:next w:val="TextBody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Arial Unicode MS" w:cs="Arial Unicode MS"/>
      <w:b/>
      <w:bCs/>
      <w:sz w:val="28"/>
      <w:szCs w:val="28"/>
    </w:rPr>
  </w:style>
  <w:style w:type="character" w:styleId="StrongEmphasis">
    <w:name w:val="Strong Emphasis"/>
    <w:rPr>
      <w:b/>
      <w:bCs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istContents">
    <w:name w:val="List Contents"/>
    <w:basedOn w:val="Normal"/>
    <w:qFormat/>
    <w:pPr>
      <w:ind w:left="567" w:right="0" w:hanging="0"/>
    </w:pPr>
    <w:rPr/>
  </w:style>
  <w:style w:type="paragraph" w:styleId="ListHeading">
    <w:name w:val="List Heading"/>
    <w:basedOn w:val="Normal"/>
    <w:next w:val="ListContents"/>
    <w:qFormat/>
    <w:pPr>
      <w:ind w:left="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nquiries@ovic.vic.gov.a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LibreOffice/5.1.1.3$MacOSX_X86_64 LibreOffice_project/89f508ef3ecebd2cfb8e1def0f0ba9a803b88a6d</Application>
  <Pages>1</Pages>
  <Words>386</Words>
  <Characters>1936</Characters>
  <CharactersWithSpaces>2297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2020-08-12T13:59:53Z</dcterms:created>
  <dc:creator/>
  <dc:description/>
  <dc:language>en-AU</dc:language>
  <cp:lastModifiedBy/>
  <cp:lastPrinted>2022-03-01T11:18:48Z</cp:lastPrinted>
  <dcterms:modified xsi:type="dcterms:W3CDTF">2022-03-01T14:55:14Z</dcterms:modified>
  <cp:revision>8</cp:revision>
  <dc:subject/>
  <dc:title/>
</cp:coreProperties>
</file>