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FA731" w14:textId="77777777" w:rsidR="00E21D28" w:rsidRDefault="00E21D28">
      <w:bookmarkStart w:id="0" w:name="_heading=h.gjdgxs" w:colFirst="0" w:colLast="0"/>
      <w:bookmarkEnd w:id="0"/>
    </w:p>
    <w:p w14:paraId="4511ABDB" w14:textId="54F7D509" w:rsidR="007667E0" w:rsidRDefault="007667E0" w:rsidP="007667E0">
      <w:pPr>
        <w:ind w:left="720" w:right="360"/>
        <w:jc w:val="center"/>
      </w:pPr>
      <w:r>
        <w:t>July 14, 2023</w:t>
      </w:r>
    </w:p>
    <w:p w14:paraId="4F5A4437" w14:textId="77777777" w:rsidR="007667E0" w:rsidRDefault="007667E0" w:rsidP="007667E0">
      <w:pPr>
        <w:ind w:left="720" w:right="360"/>
        <w:jc w:val="center"/>
      </w:pPr>
    </w:p>
    <w:p w14:paraId="42B4990E" w14:textId="2EF08910" w:rsidR="007667E0" w:rsidRDefault="007667E0" w:rsidP="007667E0">
      <w:pPr>
        <w:ind w:left="720" w:right="360"/>
      </w:pPr>
      <w:r>
        <w:t>Tim Sweeney</w:t>
      </w:r>
    </w:p>
    <w:p w14:paraId="5CC6F6F0" w14:textId="2A17C1BD" w:rsidR="007667E0" w:rsidRDefault="007667E0" w:rsidP="007667E0">
      <w:pPr>
        <w:ind w:left="720" w:right="360"/>
      </w:pPr>
      <w:hyperlink r:id="rId8" w:history="1">
        <w:r w:rsidRPr="004F47C7">
          <w:rPr>
            <w:rStyle w:val="Hyperlink"/>
          </w:rPr>
          <w:t>tims1952.ts@gmail.com</w:t>
        </w:r>
      </w:hyperlink>
    </w:p>
    <w:p w14:paraId="11EA9319" w14:textId="0C763073" w:rsidR="007667E0" w:rsidRDefault="007667E0" w:rsidP="007667E0">
      <w:pPr>
        <w:ind w:left="720" w:right="360"/>
      </w:pPr>
      <w:r>
        <w:t>501-442-7997</w:t>
      </w:r>
    </w:p>
    <w:p w14:paraId="2D2D59B6" w14:textId="77777777" w:rsidR="007667E0" w:rsidRDefault="007667E0" w:rsidP="007667E0">
      <w:pPr>
        <w:ind w:left="720" w:right="360"/>
      </w:pPr>
    </w:p>
    <w:p w14:paraId="3FD75BDB" w14:textId="11B11744" w:rsidR="007667E0" w:rsidRDefault="007667E0" w:rsidP="007667E0">
      <w:pPr>
        <w:ind w:left="720" w:right="360"/>
      </w:pPr>
      <w:r>
        <w:t>Mr. Sweeney,</w:t>
      </w:r>
    </w:p>
    <w:p w14:paraId="6606106D" w14:textId="77777777" w:rsidR="007667E0" w:rsidRDefault="007667E0" w:rsidP="007667E0">
      <w:pPr>
        <w:ind w:left="720" w:right="360"/>
      </w:pPr>
    </w:p>
    <w:p w14:paraId="51D6543C" w14:textId="7F17A036" w:rsidR="007667E0" w:rsidRDefault="007667E0" w:rsidP="007667E0">
      <w:pPr>
        <w:ind w:left="720" w:right="360"/>
      </w:pPr>
      <w:r>
        <w:t xml:space="preserve">I’m writing you regarding our electrofishing sample at </w:t>
      </w:r>
      <w:r w:rsidR="001223CD">
        <w:t xml:space="preserve">Indianhead Lake this spring. We sampled six shoreline sites and one open water site. At the first three shoreline sites we collected all sport fish that we encountered and at the last three shoreline sites we mainly focused on Largemouth Bass, however we did collect any crappie or Redear Sunfish that we collected. </w:t>
      </w:r>
      <w:r w:rsidR="0088176E">
        <w:t xml:space="preserve">At the first three sport fish sites we mostly collected Bluegill (51 fish) and Largemouth Bass (35 fish), however we also collected Redear Sunfish, Warmouth, and White Crappie (Figure 1). We also saw plenty of gizzard shad that were of good size for forage for Largemouth Bass. </w:t>
      </w:r>
      <w:r w:rsidR="006B1B92">
        <w:t>The Bluegill collected ranged in size from 3-8 inches with most fish in the 3-4 inch size range (Figure 2). Average size of Bluegill was slightly smaller than the 2020 sample (Figure 2). We only collected six Redear Sunfish that ranged in size from 5-8 inches. Although we don’t use electrofishing to evaluate crappie populations, we did collect 12 White Crappie that ranged in length from 6-13 inches.</w:t>
      </w:r>
    </w:p>
    <w:p w14:paraId="4C2D40B1" w14:textId="77777777" w:rsidR="006B1B92" w:rsidRDefault="006B1B92" w:rsidP="007667E0">
      <w:pPr>
        <w:ind w:left="720" w:right="360"/>
      </w:pPr>
    </w:p>
    <w:p w14:paraId="486A369F" w14:textId="5EF4DD49" w:rsidR="006B1B92" w:rsidRDefault="006B1B92" w:rsidP="006B1B92">
      <w:pPr>
        <w:ind w:left="720" w:right="360"/>
        <w:jc w:val="center"/>
      </w:pPr>
      <w:r>
        <w:rPr>
          <w:noProof/>
        </w:rPr>
        <w:drawing>
          <wp:inline distT="0" distB="0" distL="0" distR="0" wp14:anchorId="72DA25A3" wp14:editId="6687EB19">
            <wp:extent cx="3895725" cy="29622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0688219" w14:textId="079DED37" w:rsidR="007667E0" w:rsidRDefault="006B1B92" w:rsidP="007667E0">
      <w:pPr>
        <w:ind w:left="720" w:right="360"/>
      </w:pPr>
      <w:r>
        <w:rPr>
          <w:i/>
        </w:rPr>
        <w:tab/>
        <w:t xml:space="preserve">Figure 1. </w:t>
      </w:r>
      <w:r>
        <w:t>Species composition of the three sport fish sites on Indianhead Lake, April 2023.</w:t>
      </w:r>
    </w:p>
    <w:p w14:paraId="50A1FB8B" w14:textId="77777777" w:rsidR="006B1B92" w:rsidRDefault="006B1B92" w:rsidP="007667E0">
      <w:pPr>
        <w:ind w:left="720" w:right="360"/>
      </w:pPr>
    </w:p>
    <w:p w14:paraId="713BF5E9" w14:textId="4A50E6E3" w:rsidR="006B1B92" w:rsidRDefault="006B1B92" w:rsidP="006B1B92">
      <w:pPr>
        <w:ind w:left="720" w:right="360"/>
        <w:jc w:val="center"/>
      </w:pPr>
      <w:r>
        <w:rPr>
          <w:noProof/>
        </w:rPr>
        <w:lastRenderedPageBreak/>
        <w:drawing>
          <wp:inline distT="0" distB="0" distL="0" distR="0" wp14:anchorId="1CB6626A" wp14:editId="06E8928D">
            <wp:extent cx="4783872" cy="2496237"/>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3DF7F4" w14:textId="3301C555" w:rsidR="006B1B92" w:rsidRDefault="006B1B92" w:rsidP="006B1B92">
      <w:pPr>
        <w:ind w:left="720" w:right="360"/>
      </w:pPr>
      <w:r>
        <w:tab/>
      </w:r>
      <w:r>
        <w:rPr>
          <w:i/>
        </w:rPr>
        <w:t xml:space="preserve">Figure 2. </w:t>
      </w:r>
      <w:r>
        <w:t>Length distribution of the 51 Bluegill collected on Indianhead Lake during April 2023 (blue line) compared to the 2020 sample (red line).</w:t>
      </w:r>
    </w:p>
    <w:p w14:paraId="65FC0CBE" w14:textId="77777777" w:rsidR="006B1B92" w:rsidRDefault="006B1B92" w:rsidP="006B1B92">
      <w:pPr>
        <w:ind w:left="720" w:right="360"/>
      </w:pPr>
    </w:p>
    <w:p w14:paraId="1181BE13" w14:textId="7A86C5D6" w:rsidR="006B1B92" w:rsidRDefault="006B1B92" w:rsidP="006B1B92">
      <w:pPr>
        <w:ind w:left="720" w:right="360"/>
      </w:pPr>
      <w:r>
        <w:t xml:space="preserve">We collected 61 Largemouth Bass at the six shoreline sites and an additional four fish at the open water site. Average catch per hour of electrofishing was 58 fish per hour, similar to the 2020 sample (54 fish per hour). This value is below average for spring samples from lowland lakes in Arkansas (74 fish per hour). Largemouth Bass collected ranged in size from 3-21 inches with most fish collected </w:t>
      </w:r>
      <w:r w:rsidR="00FD2030">
        <w:t xml:space="preserve">being </w:t>
      </w:r>
      <w:bookmarkStart w:id="1" w:name="_GoBack"/>
      <w:bookmarkEnd w:id="1"/>
      <w:r>
        <w:t xml:space="preserve">13 inches or larger (Figure 3). Average size was slightly smaller than the 2020 sample however overall size structure was very similar to 2020 (Figure 3). The length to weight relationship indicated that a five pound bass would be about 20 inches in Indianhead Lake (Figure 4) and this relationship was similar to 2020. </w:t>
      </w:r>
    </w:p>
    <w:p w14:paraId="5E325215" w14:textId="77777777" w:rsidR="006B1B92" w:rsidRDefault="006B1B92" w:rsidP="006B1B92">
      <w:pPr>
        <w:ind w:left="720" w:right="360"/>
      </w:pPr>
    </w:p>
    <w:p w14:paraId="4B83CABE" w14:textId="2185E655" w:rsidR="006B1B92" w:rsidRDefault="009E4B6F" w:rsidP="006B1B92">
      <w:pPr>
        <w:ind w:left="720" w:right="360"/>
        <w:jc w:val="center"/>
      </w:pPr>
      <w:r>
        <w:rPr>
          <w:noProof/>
        </w:rPr>
        <w:drawing>
          <wp:inline distT="0" distB="0" distL="0" distR="0" wp14:anchorId="28E21210" wp14:editId="1F4A3A92">
            <wp:extent cx="4495266" cy="287008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1F9A6E" w14:textId="27597524" w:rsidR="009E4B6F" w:rsidRDefault="009E4B6F" w:rsidP="009E4B6F">
      <w:pPr>
        <w:ind w:left="720" w:right="360"/>
      </w:pPr>
      <w:r>
        <w:tab/>
      </w:r>
      <w:r>
        <w:rPr>
          <w:i/>
        </w:rPr>
        <w:t xml:space="preserve">Figure 3. </w:t>
      </w:r>
      <w:r>
        <w:t xml:space="preserve">Length distribution of the 65 Largemouth Bass collected from Indianhead Lake during April 2023 (blue line) compared to the 2020 sample (red line). </w:t>
      </w:r>
    </w:p>
    <w:p w14:paraId="2DEFBD12" w14:textId="77777777" w:rsidR="009E4B6F" w:rsidRDefault="009E4B6F" w:rsidP="009E4B6F">
      <w:pPr>
        <w:ind w:left="720" w:right="360"/>
      </w:pPr>
    </w:p>
    <w:p w14:paraId="613530F5" w14:textId="0362AF72" w:rsidR="009E4B6F" w:rsidRDefault="00EC233D" w:rsidP="009E4B6F">
      <w:pPr>
        <w:ind w:left="720" w:right="360"/>
        <w:jc w:val="center"/>
      </w:pPr>
      <w:r>
        <w:rPr>
          <w:noProof/>
        </w:rPr>
        <w:lastRenderedPageBreak/>
        <w:drawing>
          <wp:inline distT="0" distB="0" distL="0" distR="0" wp14:anchorId="7BF14D93" wp14:editId="13C005DA">
            <wp:extent cx="5353050" cy="3538538"/>
            <wp:effectExtent l="0" t="0" r="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718890" w14:textId="259697D3" w:rsidR="009E4B6F" w:rsidRDefault="009E4B6F" w:rsidP="009E4B6F">
      <w:pPr>
        <w:ind w:left="720" w:right="360"/>
      </w:pPr>
      <w:r>
        <w:tab/>
      </w:r>
      <w:r>
        <w:rPr>
          <w:i/>
        </w:rPr>
        <w:t>Figure 4.</w:t>
      </w:r>
      <w:r>
        <w:t xml:space="preserve"> Length to weight relationship for Largemouth Bass at Indianhead Lake in 2023 (blue dots) and 2020 (red dots). </w:t>
      </w:r>
    </w:p>
    <w:p w14:paraId="446D2912" w14:textId="77777777" w:rsidR="00EC233D" w:rsidRDefault="00EC233D" w:rsidP="009E4B6F">
      <w:pPr>
        <w:ind w:left="720" w:right="360"/>
      </w:pPr>
    </w:p>
    <w:p w14:paraId="110E9033" w14:textId="74CF58FA" w:rsidR="00EC233D" w:rsidRDefault="00EC233D" w:rsidP="00EC233D">
      <w:pPr>
        <w:ind w:left="720" w:right="360"/>
      </w:pPr>
      <w:r w:rsidRPr="00EC233D">
        <w:t>To determine fish condition we use a factor called “relative weight” (Wr). This factor is a comparison of a fish weight to a “standard” weight for its size. Fish of good condition have Wr values around 100 with lower values indicating poor condition and values over 100 indicating “plump” fish. Average Wr for Bluegill by inch-group ranged from 1</w:t>
      </w:r>
      <w:r>
        <w:t>10</w:t>
      </w:r>
      <w:r w:rsidRPr="00EC233D">
        <w:t>-11</w:t>
      </w:r>
      <w:r>
        <w:t>7</w:t>
      </w:r>
      <w:r w:rsidRPr="00EC233D">
        <w:t xml:space="preserve"> while average Wr for most inch groups of Largemouth Bass was typically 95 or higher. These values indicate that both Bluegill and Largemouth Bass are in good condition in Indianhead Lake. This is especially true as the Largemouth Bass were post-spawn and condition is usually poor after the stress of spawning. We witnessed several balls of young-of-year Largemouth Bass while we were sampling so hopefully these will recruit into the fishery next year. </w:t>
      </w:r>
    </w:p>
    <w:p w14:paraId="51956462" w14:textId="77777777" w:rsidR="00EC233D" w:rsidRDefault="00EC233D" w:rsidP="00EC233D">
      <w:pPr>
        <w:ind w:left="720" w:right="360"/>
      </w:pPr>
    </w:p>
    <w:p w14:paraId="6C8B94E8" w14:textId="38BA0686" w:rsidR="00EC233D" w:rsidRPr="00EC233D" w:rsidRDefault="00EC233D" w:rsidP="00EC233D">
      <w:pPr>
        <w:ind w:left="720" w:right="360"/>
      </w:pPr>
      <w:r w:rsidRPr="00EC233D">
        <w:t xml:space="preserve">Based on the data we collected, Indianhead Lake is </w:t>
      </w:r>
      <w:r>
        <w:t xml:space="preserve">still </w:t>
      </w:r>
      <w:r w:rsidRPr="00EC233D">
        <w:t>in a “large bass” state</w:t>
      </w:r>
      <w:r>
        <w:t xml:space="preserve"> as it was in 2020</w:t>
      </w:r>
      <w:r w:rsidRPr="00EC233D">
        <w:t xml:space="preserve">. </w:t>
      </w:r>
      <w:r>
        <w:t xml:space="preserve">We did not document much change in the status of the population. </w:t>
      </w:r>
      <w:r w:rsidRPr="00EC233D">
        <w:t>Of the bass we coll</w:t>
      </w:r>
      <w:r>
        <w:t>ected, most were 13 inches and larger</w:t>
      </w:r>
      <w:r w:rsidRPr="00EC233D">
        <w:t>. There were lower numbers of 3-12 inch bass which usually prey on small Bluegill. Due to the lack of small bass, small (</w:t>
      </w:r>
      <w:r>
        <w:t>3-4</w:t>
      </w:r>
      <w:r w:rsidRPr="00EC233D">
        <w:t xml:space="preserve"> inch) Bluegill were more plentiful than desired and the larger ones that people prefer to catch were not as abundant. This “large bass” state is not a bad situation if the majority of the anglers on the lake prefer to bass fish. If you would like to increase the number large Bluegill you may consider supplemental stocking of bass. This will increase you bass numbers and increase your average size of Bluegill, however your average size of Largemouth Bass caught would likely decline. </w:t>
      </w:r>
    </w:p>
    <w:p w14:paraId="41DC75AD" w14:textId="77777777" w:rsidR="00EC233D" w:rsidRPr="00EC233D" w:rsidRDefault="00EC233D" w:rsidP="00EC233D">
      <w:pPr>
        <w:ind w:left="720" w:right="360"/>
      </w:pPr>
      <w:r w:rsidRPr="00EC233D">
        <w:tab/>
      </w:r>
    </w:p>
    <w:p w14:paraId="5399267C" w14:textId="77777777" w:rsidR="00EC233D" w:rsidRDefault="00EC233D" w:rsidP="00EC233D">
      <w:pPr>
        <w:ind w:left="720" w:right="360"/>
      </w:pPr>
    </w:p>
    <w:p w14:paraId="35663ACA" w14:textId="77777777" w:rsidR="00EC233D" w:rsidRDefault="00EC233D" w:rsidP="00EC233D">
      <w:pPr>
        <w:ind w:left="720" w:right="360"/>
      </w:pPr>
    </w:p>
    <w:p w14:paraId="2DEA25C2" w14:textId="77777777" w:rsidR="00EC233D" w:rsidRDefault="00EC233D" w:rsidP="00EC233D">
      <w:pPr>
        <w:ind w:left="720" w:right="360"/>
      </w:pPr>
    </w:p>
    <w:p w14:paraId="0AB75D2B" w14:textId="77777777" w:rsidR="00EC233D" w:rsidRDefault="00EC233D" w:rsidP="00EC233D">
      <w:pPr>
        <w:ind w:left="720" w:right="360"/>
      </w:pPr>
    </w:p>
    <w:p w14:paraId="377DFE5B" w14:textId="77777777" w:rsidR="00EC233D" w:rsidRDefault="00EC233D" w:rsidP="00EC233D">
      <w:pPr>
        <w:ind w:left="720" w:right="360"/>
      </w:pPr>
    </w:p>
    <w:p w14:paraId="7793CAB0" w14:textId="77777777" w:rsidR="00EC233D" w:rsidRDefault="00EC233D" w:rsidP="00EC233D">
      <w:pPr>
        <w:ind w:left="720" w:right="360"/>
      </w:pPr>
    </w:p>
    <w:p w14:paraId="419B4F2E" w14:textId="77777777" w:rsidR="00EC233D" w:rsidRPr="00EC233D" w:rsidRDefault="00EC233D" w:rsidP="00EC233D">
      <w:pPr>
        <w:ind w:left="720" w:right="360"/>
      </w:pPr>
      <w:r w:rsidRPr="00EC233D">
        <w:lastRenderedPageBreak/>
        <w:t>If you’d like to discuss stocking in detail, feel free to give me a call. I hope you find this information useful, please let me know if you have any questions.</w:t>
      </w:r>
    </w:p>
    <w:p w14:paraId="7E396FAC" w14:textId="77777777" w:rsidR="00EC233D" w:rsidRPr="00EC233D" w:rsidRDefault="00EC233D" w:rsidP="00EC233D">
      <w:pPr>
        <w:ind w:left="720" w:right="360"/>
      </w:pPr>
    </w:p>
    <w:p w14:paraId="7C7E2320" w14:textId="77777777" w:rsidR="00EC233D" w:rsidRPr="00EC233D" w:rsidRDefault="00EC233D" w:rsidP="00EC233D">
      <w:pPr>
        <w:ind w:left="720" w:right="360"/>
      </w:pPr>
      <w:r w:rsidRPr="00EC233D">
        <w:drawing>
          <wp:anchor distT="0" distB="0" distL="114300" distR="114300" simplePos="0" relativeHeight="251659264" behindDoc="1" locked="0" layoutInCell="1" allowOverlap="1" wp14:anchorId="3767B837" wp14:editId="2112F3B8">
            <wp:simplePos x="0" y="0"/>
            <wp:positionH relativeFrom="column">
              <wp:posOffset>381001</wp:posOffset>
            </wp:positionH>
            <wp:positionV relativeFrom="paragraph">
              <wp:posOffset>93686</wp:posOffset>
            </wp:positionV>
            <wp:extent cx="1466850" cy="564173"/>
            <wp:effectExtent l="0" t="0" r="0" b="7620"/>
            <wp:wrapNone/>
            <wp:docPr id="6" name="Picture 6" descr="G:\My Drive\Forms\JMH_Esignature_No_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rive\Forms\JMH_Esignature_No_Numb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4391" cy="57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33D">
        <w:t>Sincerely,</w:t>
      </w:r>
    </w:p>
    <w:p w14:paraId="0E167665" w14:textId="77777777" w:rsidR="00EC233D" w:rsidRPr="00EC233D" w:rsidRDefault="00EC233D" w:rsidP="00EC233D">
      <w:pPr>
        <w:ind w:left="720" w:right="360"/>
      </w:pPr>
    </w:p>
    <w:p w14:paraId="0EC8A63C" w14:textId="77777777" w:rsidR="00EC233D" w:rsidRPr="00EC233D" w:rsidRDefault="00EC233D" w:rsidP="00EC233D">
      <w:pPr>
        <w:ind w:left="720" w:right="360"/>
      </w:pPr>
    </w:p>
    <w:p w14:paraId="429DFF59" w14:textId="77777777" w:rsidR="00EC233D" w:rsidRPr="00EC233D" w:rsidRDefault="00EC233D" w:rsidP="00EC233D">
      <w:pPr>
        <w:ind w:left="720" w:right="360"/>
      </w:pPr>
      <w:r w:rsidRPr="00EC233D">
        <w:t>Justin Homan</w:t>
      </w:r>
    </w:p>
    <w:p w14:paraId="4259D1F9" w14:textId="77777777" w:rsidR="00EC233D" w:rsidRPr="00EC233D" w:rsidRDefault="00EC233D" w:rsidP="00EC233D">
      <w:pPr>
        <w:ind w:left="720" w:right="360"/>
      </w:pPr>
      <w:r w:rsidRPr="00EC233D">
        <w:t>District 4 Fisheries Supervisor</w:t>
      </w:r>
    </w:p>
    <w:p w14:paraId="0AD912BB" w14:textId="77777777" w:rsidR="00EC233D" w:rsidRPr="00EC233D" w:rsidRDefault="00EC233D" w:rsidP="00EC233D">
      <w:pPr>
        <w:ind w:left="720" w:right="360"/>
      </w:pPr>
      <w:r w:rsidRPr="00EC233D">
        <w:t>870-318-5987</w:t>
      </w:r>
    </w:p>
    <w:p w14:paraId="44B0382C" w14:textId="77777777" w:rsidR="00EC233D" w:rsidRPr="00EC233D" w:rsidRDefault="00EC233D" w:rsidP="00EC233D">
      <w:pPr>
        <w:ind w:left="720" w:right="360"/>
      </w:pPr>
      <w:r w:rsidRPr="00EC233D">
        <w:t>justin.homan@agfc.ar.gov</w:t>
      </w:r>
    </w:p>
    <w:p w14:paraId="6B38DD4A" w14:textId="77777777" w:rsidR="00EC233D" w:rsidRPr="00EC233D" w:rsidRDefault="00EC233D" w:rsidP="00EC233D">
      <w:pPr>
        <w:ind w:left="720" w:right="360"/>
      </w:pPr>
    </w:p>
    <w:p w14:paraId="7C5891E6" w14:textId="77777777" w:rsidR="00EC233D" w:rsidRPr="009E4B6F" w:rsidRDefault="00EC233D" w:rsidP="009E4B6F">
      <w:pPr>
        <w:ind w:left="720" w:right="360"/>
      </w:pPr>
    </w:p>
    <w:p w14:paraId="7433BDFE" w14:textId="77777777" w:rsidR="00E21D28" w:rsidRDefault="00E21D28"/>
    <w:p w14:paraId="000CBF79" w14:textId="77777777" w:rsidR="00E21D28" w:rsidRDefault="00E21D28"/>
    <w:p w14:paraId="041A44BA" w14:textId="77777777" w:rsidR="00E21D28" w:rsidRDefault="00E21D28"/>
    <w:p w14:paraId="7ECB36C9" w14:textId="77777777" w:rsidR="00E21D28" w:rsidRDefault="00E21D28"/>
    <w:p w14:paraId="5501B2C0" w14:textId="77777777" w:rsidR="00E21D28" w:rsidRDefault="00E21D28"/>
    <w:p w14:paraId="3D334F95" w14:textId="77777777" w:rsidR="00E21D28" w:rsidRDefault="00E21D28"/>
    <w:p w14:paraId="7480ED2E" w14:textId="77777777" w:rsidR="00E21D28" w:rsidRDefault="00E21D28"/>
    <w:p w14:paraId="1117E6B0" w14:textId="77777777" w:rsidR="00E21D28" w:rsidRDefault="00E21D28"/>
    <w:p w14:paraId="5CF9B3D8" w14:textId="77777777" w:rsidR="00E21D28" w:rsidRDefault="00E21D28"/>
    <w:p w14:paraId="7275515D" w14:textId="77777777" w:rsidR="00E21D28" w:rsidRDefault="00E21D28"/>
    <w:p w14:paraId="19BF4C35" w14:textId="77777777" w:rsidR="00E21D28" w:rsidRDefault="00E21D28"/>
    <w:p w14:paraId="5ADB44A0" w14:textId="77777777" w:rsidR="00E21D28" w:rsidRDefault="00E21D28"/>
    <w:sectPr w:rsidR="00E21D28" w:rsidSect="00A0517E">
      <w:headerReference w:type="even" r:id="rId14"/>
      <w:headerReference w:type="default" r:id="rId15"/>
      <w:footerReference w:type="even" r:id="rId16"/>
      <w:footerReference w:type="default" r:id="rId17"/>
      <w:headerReference w:type="first" r:id="rId18"/>
      <w:footerReference w:type="first" r:id="rId19"/>
      <w:pgSz w:w="12240" w:h="15840"/>
      <w:pgMar w:top="360" w:right="360" w:bottom="360" w:left="360" w:header="360" w:footer="36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671AC7" w14:textId="77777777" w:rsidR="00FD2798" w:rsidRDefault="00FD2798">
      <w:r>
        <w:separator/>
      </w:r>
    </w:p>
  </w:endnote>
  <w:endnote w:type="continuationSeparator" w:id="0">
    <w:p w14:paraId="2DCBD023" w14:textId="77777777" w:rsidR="00FD2798" w:rsidRDefault="00FD2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88FFF" w14:textId="77777777" w:rsidR="00902955" w:rsidRDefault="009029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6DA0B" w14:textId="77777777" w:rsidR="00E21D28" w:rsidRDefault="003F14E4">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1E3EF97F" wp14:editId="70F63867">
          <wp:extent cx="6870700" cy="863600"/>
          <wp:effectExtent l="0" t="0" r="0" b="0"/>
          <wp:docPr id="8" name="image1.jpg" descr="Description: AGFC Directors Letterhead_footer 5"/>
          <wp:cNvGraphicFramePr/>
          <a:graphic xmlns:a="http://schemas.openxmlformats.org/drawingml/2006/main">
            <a:graphicData uri="http://schemas.openxmlformats.org/drawingml/2006/picture">
              <pic:pic xmlns:pic="http://schemas.openxmlformats.org/drawingml/2006/picture">
                <pic:nvPicPr>
                  <pic:cNvPr id="0" name="image1.jpg" descr="Description: AGFC Directors Letterhead_footer 5"/>
                  <pic:cNvPicPr preferRelativeResize="0"/>
                </pic:nvPicPr>
                <pic:blipFill>
                  <a:blip r:embed="rId1"/>
                  <a:srcRect/>
                  <a:stretch>
                    <a:fillRect/>
                  </a:stretch>
                </pic:blipFill>
                <pic:spPr>
                  <a:xfrm>
                    <a:off x="0" y="0"/>
                    <a:ext cx="6870700" cy="863600"/>
                  </a:xfrm>
                  <a:prstGeom prst="rect">
                    <a:avLst/>
                  </a:prstGeom>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921D1" w14:textId="3EBB64B6" w:rsidR="00E21D28" w:rsidRDefault="00D34423">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36137AC7" wp14:editId="523569D6">
          <wp:extent cx="6921500" cy="66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921500" cy="6604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F4A00" w14:textId="77777777" w:rsidR="00FD2798" w:rsidRDefault="00FD2798">
      <w:r>
        <w:separator/>
      </w:r>
    </w:p>
  </w:footnote>
  <w:footnote w:type="continuationSeparator" w:id="0">
    <w:p w14:paraId="4CEDA6EE" w14:textId="77777777" w:rsidR="00FD2798" w:rsidRDefault="00FD2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4E3F4" w14:textId="77777777" w:rsidR="00902955" w:rsidRDefault="009029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782FE" w14:textId="77777777" w:rsidR="00902955" w:rsidRDefault="009029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CAF6" w14:textId="76FB1BFB" w:rsidR="00E21D28" w:rsidRDefault="008E4455" w:rsidP="000F263F">
    <w:pPr>
      <w:pBdr>
        <w:top w:val="nil"/>
        <w:left w:val="nil"/>
        <w:bottom w:val="nil"/>
        <w:right w:val="nil"/>
        <w:between w:val="nil"/>
      </w:pBdr>
      <w:tabs>
        <w:tab w:val="center" w:pos="4320"/>
        <w:tab w:val="right" w:pos="8640"/>
      </w:tabs>
      <w:ind w:left="-1440" w:firstLine="1440"/>
      <w:jc w:val="center"/>
      <w:rPr>
        <w:color w:val="000000"/>
      </w:rPr>
    </w:pPr>
    <w:r>
      <w:rPr>
        <w:noProof/>
        <w:color w:val="000000"/>
      </w:rPr>
      <w:drawing>
        <wp:inline distT="0" distB="0" distL="0" distR="0" wp14:anchorId="1A6D62CC" wp14:editId="18B5019F">
          <wp:extent cx="6908800" cy="161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908800" cy="16129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D28"/>
    <w:rsid w:val="000E62D9"/>
    <w:rsid w:val="000F263F"/>
    <w:rsid w:val="001223CD"/>
    <w:rsid w:val="001D2A1E"/>
    <w:rsid w:val="002C7F9B"/>
    <w:rsid w:val="003F14E4"/>
    <w:rsid w:val="004B0FDA"/>
    <w:rsid w:val="00600FC1"/>
    <w:rsid w:val="006913E1"/>
    <w:rsid w:val="00692F54"/>
    <w:rsid w:val="006B1B92"/>
    <w:rsid w:val="006C3BF4"/>
    <w:rsid w:val="007667E0"/>
    <w:rsid w:val="007B3C6C"/>
    <w:rsid w:val="0088176E"/>
    <w:rsid w:val="008B5C3C"/>
    <w:rsid w:val="008E4455"/>
    <w:rsid w:val="00902955"/>
    <w:rsid w:val="009E4B6F"/>
    <w:rsid w:val="00A0517E"/>
    <w:rsid w:val="00A21CD7"/>
    <w:rsid w:val="00B13A0F"/>
    <w:rsid w:val="00BD0171"/>
    <w:rsid w:val="00CB1E97"/>
    <w:rsid w:val="00D34423"/>
    <w:rsid w:val="00E21D28"/>
    <w:rsid w:val="00E80C16"/>
    <w:rsid w:val="00EC233D"/>
    <w:rsid w:val="00FD2030"/>
    <w:rsid w:val="00FD2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75171"/>
  <w15:docId w15:val="{A9447001-EDEF-A74F-943E-81C03CF3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08760D"/>
    <w:pPr>
      <w:tabs>
        <w:tab w:val="center" w:pos="4320"/>
        <w:tab w:val="right" w:pos="8640"/>
      </w:tabs>
    </w:pPr>
  </w:style>
  <w:style w:type="paragraph" w:styleId="Footer">
    <w:name w:val="footer"/>
    <w:basedOn w:val="Normal"/>
    <w:rsid w:val="0008760D"/>
    <w:pPr>
      <w:tabs>
        <w:tab w:val="center" w:pos="4320"/>
        <w:tab w:val="right" w:pos="8640"/>
      </w:tabs>
    </w:pPr>
  </w:style>
  <w:style w:type="paragraph" w:styleId="BalloonText">
    <w:name w:val="Balloon Text"/>
    <w:basedOn w:val="Normal"/>
    <w:link w:val="BalloonTextChar"/>
    <w:rsid w:val="00850A76"/>
    <w:rPr>
      <w:rFonts w:ascii="Tahoma" w:hAnsi="Tahoma" w:cs="Tahoma"/>
      <w:sz w:val="16"/>
      <w:szCs w:val="16"/>
    </w:rPr>
  </w:style>
  <w:style w:type="character" w:customStyle="1" w:styleId="BalloonTextChar">
    <w:name w:val="Balloon Text Char"/>
    <w:link w:val="BalloonText"/>
    <w:rsid w:val="00850A76"/>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667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tims1952.ts@gmail.com" TargetMode="Externa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05431433561715"/>
          <c:y val="0.13592072248682471"/>
          <c:w val="0.86384684378260845"/>
          <c:h val="0.80257946479281705"/>
        </c:manualLayout>
      </c:layout>
      <c:pieChart>
        <c:varyColors val="0"/>
        <c:ser>
          <c:idx val="0"/>
          <c:order val="0"/>
          <c:tx>
            <c:v/>
          </c:tx>
          <c:spPr>
            <a:solidFill>
              <a:schemeClr val="accent1"/>
            </a:solidFill>
            <a:ln w="12700" cap="flat">
              <a:noFill/>
              <a:miter lim="400000"/>
            </a:ln>
            <a:effectLst/>
          </c:spPr>
          <c:dPt>
            <c:idx val="0"/>
            <c:bubble3D val="0"/>
          </c:dPt>
          <c:dPt>
            <c:idx val="1"/>
            <c:bubble3D val="0"/>
            <c:spPr>
              <a:solidFill>
                <a:schemeClr val="accent2"/>
              </a:solidFill>
              <a:ln w="12700" cap="flat">
                <a:noFill/>
                <a:miter lim="400000"/>
              </a:ln>
              <a:effectLst/>
            </c:spPr>
          </c:dPt>
          <c:dPt>
            <c:idx val="2"/>
            <c:bubble3D val="0"/>
            <c:spPr>
              <a:solidFill>
                <a:schemeClr val="accent3"/>
              </a:solidFill>
              <a:ln w="12700" cap="flat">
                <a:noFill/>
                <a:miter lim="400000"/>
              </a:ln>
              <a:effectLst/>
            </c:spPr>
          </c:dPt>
          <c:dPt>
            <c:idx val="3"/>
            <c:bubble3D val="0"/>
            <c:spPr>
              <a:solidFill>
                <a:schemeClr val="accent4"/>
              </a:solidFill>
              <a:ln w="12700" cap="flat">
                <a:noFill/>
                <a:miter lim="400000"/>
              </a:ln>
              <a:effectLst/>
            </c:spPr>
          </c:dPt>
          <c:dPt>
            <c:idx val="4"/>
            <c:bubble3D val="0"/>
            <c:spPr>
              <a:solidFill>
                <a:schemeClr val="accent5"/>
              </a:solidFill>
              <a:ln w="12700" cap="flat">
                <a:noFill/>
                <a:miter lim="400000"/>
              </a:ln>
              <a:effectLst/>
            </c:spPr>
          </c:dPt>
          <c:dPt>
            <c:idx val="5"/>
            <c:bubble3D val="0"/>
            <c:spPr>
              <a:solidFill>
                <a:schemeClr val="accent6"/>
              </a:solidFill>
              <a:ln w="12700" cap="flat">
                <a:noFill/>
                <a:miter lim="400000"/>
              </a:ln>
              <a:effectLst/>
            </c:spPr>
          </c:dPt>
          <c:dPt>
            <c:idx val="6"/>
            <c:bubble3D val="0"/>
            <c:spPr>
              <a:solidFill>
                <a:srgbClr val="628FC6"/>
              </a:solidFill>
              <a:ln w="12700" cap="flat">
                <a:noFill/>
                <a:miter lim="400000"/>
              </a:ln>
              <a:effectLst/>
            </c:spPr>
          </c:dPt>
          <c:dPt>
            <c:idx val="7"/>
            <c:bubble3D val="0"/>
            <c:spPr>
              <a:solidFill>
                <a:srgbClr val="C86360"/>
              </a:solidFill>
              <a:ln w="12700" cap="flat">
                <a:noFill/>
                <a:miter lim="400000"/>
              </a:ln>
              <a:effectLst/>
            </c:spPr>
          </c:dPt>
          <c:dPt>
            <c:idx val="8"/>
            <c:bubble3D val="0"/>
            <c:spPr>
              <a:solidFill>
                <a:srgbClr val="A7C46B"/>
              </a:solidFill>
              <a:ln w="12700" cap="flat">
                <a:noFill/>
                <a:miter lim="400000"/>
              </a:ln>
              <a:effectLst/>
            </c:spPr>
          </c:dPt>
          <c:dLbls>
            <c:dLbl>
              <c:idx val="0"/>
              <c:layout>
                <c:manualLayout>
                  <c:x val="0"/>
                  <c:y val="0.48977621696081258"/>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1.7651390880599731E-2"/>
                  <c:y val="8.5347417911964041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9.3956961138694908E-2"/>
                  <c:y val="7.7052332445136651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0781875970800044"/>
                  <c:y val="-3.8185226698474788E-2"/>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21816493176698887"/>
                  <c:y val="-2.0027700396735484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'CPUE and Species Comp'!$H$4:$H$8</c:f>
              <c:strCache>
                <c:ptCount val="5"/>
                <c:pt idx="0">
                  <c:v>Largemouth Bass</c:v>
                </c:pt>
                <c:pt idx="1">
                  <c:v>Bluegill</c:v>
                </c:pt>
                <c:pt idx="2">
                  <c:v>Redear Sunfish</c:v>
                </c:pt>
                <c:pt idx="3">
                  <c:v>White Crappie</c:v>
                </c:pt>
                <c:pt idx="4">
                  <c:v>Warmouth</c:v>
                </c:pt>
              </c:strCache>
            </c:strRef>
          </c:cat>
          <c:val>
            <c:numRef>
              <c:f>'CPUE and Species Comp'!$J$4:$J$8</c:f>
              <c:numCache>
                <c:formatCode>General</c:formatCode>
                <c:ptCount val="5"/>
                <c:pt idx="0">
                  <c:v>35</c:v>
                </c:pt>
                <c:pt idx="1">
                  <c:v>51</c:v>
                </c:pt>
                <c:pt idx="2">
                  <c:v>2</c:v>
                </c:pt>
                <c:pt idx="3">
                  <c:v>1</c:v>
                </c:pt>
                <c:pt idx="4">
                  <c:v>4</c:v>
                </c:pt>
              </c:numCache>
            </c:numRef>
          </c:val>
        </c:ser>
        <c:dLbls>
          <c:showLegendKey val="0"/>
          <c:showVal val="1"/>
          <c:showCatName val="0"/>
          <c:showSerName val="0"/>
          <c:showPercent val="0"/>
          <c:showBubbleSize val="0"/>
          <c:showLeaderLines val="1"/>
        </c:dLbls>
        <c:firstSliceAng val="0"/>
      </c:pieChart>
      <c:spPr>
        <a:solidFill>
          <a:srgbClr val="FFFFFF"/>
        </a:solidFill>
        <a:ln w="12700" cap="flat">
          <a:noFill/>
          <a:miter lim="400000"/>
        </a:ln>
        <a:effectLst/>
      </c:spPr>
    </c:plotArea>
    <c:plotVisOnly val="1"/>
    <c:dispBlanksAs val="gap"/>
    <c:showDLblsOverMax val="1"/>
  </c:chart>
  <c:spPr>
    <a:solidFill>
      <a:srgbClr val="FFFFFF"/>
    </a:solidFill>
    <a:ln w="12700" cap="flat">
      <a:no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78200000000001"/>
          <c:y val="5.4910899999999999E-2"/>
          <c:w val="0.84173615013110714"/>
          <c:h val="0.64268216519505161"/>
        </c:manualLayout>
      </c:layout>
      <c:lineChart>
        <c:grouping val="standard"/>
        <c:varyColors val="0"/>
        <c:ser>
          <c:idx val="0"/>
          <c:order val="0"/>
          <c:tx>
            <c:v>2023</c:v>
          </c:tx>
          <c:spPr>
            <a:effectLst/>
          </c:spPr>
          <c:marker>
            <c:symbol val="none"/>
          </c:marker>
          <c:cat>
            <c:numRef>
              <c:f>[1]LF!$K$37:$K$51</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cat>
          <c:val>
            <c:numRef>
              <c:f>LF!$L$37:$L$45</c:f>
              <c:numCache>
                <c:formatCode>General</c:formatCode>
                <c:ptCount val="9"/>
                <c:pt idx="0">
                  <c:v>0</c:v>
                </c:pt>
                <c:pt idx="1">
                  <c:v>0</c:v>
                </c:pt>
                <c:pt idx="2">
                  <c:v>0</c:v>
                </c:pt>
                <c:pt idx="3">
                  <c:v>28</c:v>
                </c:pt>
                <c:pt idx="4">
                  <c:v>12</c:v>
                </c:pt>
                <c:pt idx="5">
                  <c:v>4</c:v>
                </c:pt>
                <c:pt idx="6">
                  <c:v>4</c:v>
                </c:pt>
                <c:pt idx="7">
                  <c:v>2</c:v>
                </c:pt>
                <c:pt idx="8">
                  <c:v>1</c:v>
                </c:pt>
              </c:numCache>
            </c:numRef>
          </c:val>
          <c:smooth val="0"/>
        </c:ser>
        <c:ser>
          <c:idx val="1"/>
          <c:order val="1"/>
          <c:tx>
            <c:v>2020</c:v>
          </c:tx>
          <c:marker>
            <c:symbol val="none"/>
          </c:marker>
          <c:val>
            <c:numRef>
              <c:f>LF!$N$37:$N$44</c:f>
              <c:numCache>
                <c:formatCode>General</c:formatCode>
                <c:ptCount val="8"/>
                <c:pt idx="0">
                  <c:v>0</c:v>
                </c:pt>
                <c:pt idx="1">
                  <c:v>1</c:v>
                </c:pt>
                <c:pt idx="2">
                  <c:v>12</c:v>
                </c:pt>
                <c:pt idx="3">
                  <c:v>18</c:v>
                </c:pt>
                <c:pt idx="4">
                  <c:v>32</c:v>
                </c:pt>
                <c:pt idx="5">
                  <c:v>26</c:v>
                </c:pt>
                <c:pt idx="6">
                  <c:v>11</c:v>
                </c:pt>
                <c:pt idx="7">
                  <c:v>3</c:v>
                </c:pt>
              </c:numCache>
            </c:numRef>
          </c:val>
          <c:smooth val="0"/>
        </c:ser>
        <c:dLbls>
          <c:showLegendKey val="0"/>
          <c:showVal val="0"/>
          <c:showCatName val="0"/>
          <c:showSerName val="0"/>
          <c:showPercent val="0"/>
          <c:showBubbleSize val="0"/>
        </c:dLbls>
        <c:smooth val="0"/>
        <c:axId val="1671315088"/>
        <c:axId val="1671311824"/>
      </c:lineChart>
      <c:catAx>
        <c:axId val="1671315088"/>
        <c:scaling>
          <c:orientation val="minMax"/>
        </c:scaling>
        <c:delete val="0"/>
        <c:axPos val="b"/>
        <c:title>
          <c:tx>
            <c:rich>
              <a:bodyPr rot="0"/>
              <a:lstStyle/>
              <a:p>
                <a:pPr>
                  <a:defRPr sz="1000" b="1" i="0" u="none" strike="noStrike">
                    <a:solidFill>
                      <a:srgbClr val="000000"/>
                    </a:solidFill>
                    <a:latin typeface="Calibri"/>
                  </a:defRPr>
                </a:pPr>
                <a:r>
                  <a:rPr lang="en-US" sz="1000" b="1" i="0" u="none" strike="noStrike">
                    <a:solidFill>
                      <a:srgbClr val="000000"/>
                    </a:solidFill>
                    <a:latin typeface="Calibri"/>
                  </a:rPr>
                  <a:t>Total Length (in)</a:t>
                </a:r>
              </a:p>
            </c:rich>
          </c:tx>
          <c:overlay val="1"/>
        </c:title>
        <c:numFmt formatCode="General" sourceLinked="1"/>
        <c:majorTickMark val="out"/>
        <c:minorTickMark val="none"/>
        <c:tickLblPos val="low"/>
        <c:spPr>
          <a:ln w="12700" cap="flat">
            <a:solidFill>
              <a:srgbClr val="888888"/>
            </a:solidFill>
            <a:prstDash val="solid"/>
            <a:round/>
          </a:ln>
        </c:spPr>
        <c:txPr>
          <a:bodyPr rot="0"/>
          <a:lstStyle/>
          <a:p>
            <a:pPr>
              <a:defRPr sz="1000" b="0" i="0" u="none" strike="noStrike">
                <a:solidFill>
                  <a:srgbClr val="000000"/>
                </a:solidFill>
                <a:latin typeface="Calibri"/>
              </a:defRPr>
            </a:pPr>
            <a:endParaRPr lang="en-US"/>
          </a:p>
        </c:txPr>
        <c:crossAx val="1671311824"/>
        <c:crosses val="autoZero"/>
        <c:auto val="1"/>
        <c:lblAlgn val="ctr"/>
        <c:lblOffset val="100"/>
        <c:noMultiLvlLbl val="1"/>
      </c:catAx>
      <c:valAx>
        <c:axId val="1671311824"/>
        <c:scaling>
          <c:orientation val="minMax"/>
        </c:scaling>
        <c:delete val="0"/>
        <c:axPos val="l"/>
        <c:title>
          <c:tx>
            <c:rich>
              <a:bodyPr rot="-5400000"/>
              <a:lstStyle/>
              <a:p>
                <a:pPr>
                  <a:defRPr sz="1000" b="1" i="0" u="none" strike="noStrike">
                    <a:solidFill>
                      <a:srgbClr val="000000"/>
                    </a:solidFill>
                    <a:latin typeface="Calibri"/>
                  </a:defRPr>
                </a:pPr>
                <a:r>
                  <a:rPr lang="en-US" sz="1000" b="1" i="0" u="none" strike="noStrike">
                    <a:solidFill>
                      <a:srgbClr val="000000"/>
                    </a:solidFill>
                    <a:latin typeface="Calibri"/>
                  </a:rPr>
                  <a:t>Individuals Caught</a:t>
                </a:r>
              </a:p>
            </c:rich>
          </c:tx>
          <c:overlay val="1"/>
        </c:title>
        <c:numFmt formatCode="General" sourceLinked="1"/>
        <c:majorTickMark val="out"/>
        <c:minorTickMark val="none"/>
        <c:tickLblPos val="nextTo"/>
        <c:spPr>
          <a:ln w="12700" cap="flat">
            <a:solidFill>
              <a:srgbClr val="888888"/>
            </a:solidFill>
            <a:prstDash val="solid"/>
            <a:round/>
          </a:ln>
        </c:spPr>
        <c:txPr>
          <a:bodyPr rot="0"/>
          <a:lstStyle/>
          <a:p>
            <a:pPr>
              <a:defRPr sz="1000" b="0" i="0" u="none" strike="noStrike">
                <a:solidFill>
                  <a:srgbClr val="000000"/>
                </a:solidFill>
                <a:latin typeface="Calibri"/>
              </a:defRPr>
            </a:pPr>
            <a:endParaRPr lang="en-US"/>
          </a:p>
        </c:txPr>
        <c:crossAx val="1671315088"/>
        <c:crosses val="autoZero"/>
        <c:crossBetween val="between"/>
        <c:majorUnit val="5"/>
        <c:minorUnit val="2.25"/>
      </c:valAx>
      <c:spPr>
        <a:noFill/>
        <a:ln w="12700" cap="flat">
          <a:noFill/>
          <a:miter lim="400000"/>
        </a:ln>
        <a:effectLst/>
      </c:spPr>
    </c:plotArea>
    <c:legend>
      <c:legendPos val="b"/>
      <c:overlay val="0"/>
    </c:legend>
    <c:plotVisOnly val="1"/>
    <c:dispBlanksAs val="gap"/>
    <c:showDLblsOverMax val="1"/>
  </c:chart>
  <c:spPr>
    <a:noFill/>
    <a:ln>
      <a:noFill/>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504699999999999E-2"/>
          <c:y val="5.4910899999999999E-2"/>
          <c:w val="0.87972850850986728"/>
          <c:h val="0.66743679618686591"/>
        </c:manualLayout>
      </c:layout>
      <c:lineChart>
        <c:grouping val="standard"/>
        <c:varyColors val="0"/>
        <c:ser>
          <c:idx val="0"/>
          <c:order val="0"/>
          <c:tx>
            <c:v>2023</c:v>
          </c:tx>
          <c:spPr>
            <a:effectLst/>
          </c:spPr>
          <c:marker>
            <c:symbol val="none"/>
          </c:marker>
          <c:cat>
            <c:numRef>
              <c:f>[1]LF!$K$3:$K$31</c:f>
              <c:numCache>
                <c:formatCode>General</c:formatCode>
                <c:ptCount val="2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numCache>
            </c:numRef>
          </c:cat>
          <c:val>
            <c:numRef>
              <c:f>LF!$L$3:$L$24</c:f>
              <c:numCache>
                <c:formatCode>General</c:formatCode>
                <c:ptCount val="22"/>
                <c:pt idx="0">
                  <c:v>0</c:v>
                </c:pt>
                <c:pt idx="1">
                  <c:v>0</c:v>
                </c:pt>
                <c:pt idx="2">
                  <c:v>0</c:v>
                </c:pt>
                <c:pt idx="3">
                  <c:v>2</c:v>
                </c:pt>
                <c:pt idx="4">
                  <c:v>1</c:v>
                </c:pt>
                <c:pt idx="5">
                  <c:v>1</c:v>
                </c:pt>
                <c:pt idx="6">
                  <c:v>2</c:v>
                </c:pt>
                <c:pt idx="7">
                  <c:v>0</c:v>
                </c:pt>
                <c:pt idx="8">
                  <c:v>0</c:v>
                </c:pt>
                <c:pt idx="9">
                  <c:v>2</c:v>
                </c:pt>
                <c:pt idx="10">
                  <c:v>6</c:v>
                </c:pt>
                <c:pt idx="11">
                  <c:v>4</c:v>
                </c:pt>
                <c:pt idx="12">
                  <c:v>6</c:v>
                </c:pt>
                <c:pt idx="13">
                  <c:v>12</c:v>
                </c:pt>
                <c:pt idx="14">
                  <c:v>6</c:v>
                </c:pt>
                <c:pt idx="15">
                  <c:v>8</c:v>
                </c:pt>
                <c:pt idx="16">
                  <c:v>6</c:v>
                </c:pt>
                <c:pt idx="17">
                  <c:v>4</c:v>
                </c:pt>
                <c:pt idx="18">
                  <c:v>0</c:v>
                </c:pt>
                <c:pt idx="19">
                  <c:v>2</c:v>
                </c:pt>
                <c:pt idx="20">
                  <c:v>2</c:v>
                </c:pt>
                <c:pt idx="21">
                  <c:v>1</c:v>
                </c:pt>
              </c:numCache>
            </c:numRef>
          </c:val>
          <c:smooth val="0"/>
        </c:ser>
        <c:ser>
          <c:idx val="1"/>
          <c:order val="1"/>
          <c:tx>
            <c:v>2020</c:v>
          </c:tx>
          <c:marker>
            <c:symbol val="none"/>
          </c:marker>
          <c:val>
            <c:numRef>
              <c:f>LF!$N$3:$N$24</c:f>
              <c:numCache>
                <c:formatCode>General</c:formatCode>
                <c:ptCount val="22"/>
                <c:pt idx="0">
                  <c:v>0</c:v>
                </c:pt>
                <c:pt idx="1">
                  <c:v>0</c:v>
                </c:pt>
                <c:pt idx="2">
                  <c:v>0</c:v>
                </c:pt>
                <c:pt idx="3">
                  <c:v>3</c:v>
                </c:pt>
                <c:pt idx="4">
                  <c:v>3</c:v>
                </c:pt>
                <c:pt idx="5">
                  <c:v>4</c:v>
                </c:pt>
                <c:pt idx="6">
                  <c:v>3</c:v>
                </c:pt>
                <c:pt idx="7">
                  <c:v>0</c:v>
                </c:pt>
                <c:pt idx="8">
                  <c:v>2</c:v>
                </c:pt>
                <c:pt idx="9">
                  <c:v>1</c:v>
                </c:pt>
                <c:pt idx="10">
                  <c:v>3</c:v>
                </c:pt>
                <c:pt idx="11">
                  <c:v>2</c:v>
                </c:pt>
                <c:pt idx="12">
                  <c:v>1</c:v>
                </c:pt>
                <c:pt idx="13">
                  <c:v>6</c:v>
                </c:pt>
                <c:pt idx="14">
                  <c:v>8</c:v>
                </c:pt>
                <c:pt idx="15">
                  <c:v>8</c:v>
                </c:pt>
                <c:pt idx="16">
                  <c:v>3</c:v>
                </c:pt>
                <c:pt idx="17">
                  <c:v>7</c:v>
                </c:pt>
                <c:pt idx="18">
                  <c:v>3</c:v>
                </c:pt>
                <c:pt idx="19">
                  <c:v>2</c:v>
                </c:pt>
                <c:pt idx="20">
                  <c:v>3</c:v>
                </c:pt>
                <c:pt idx="21">
                  <c:v>1</c:v>
                </c:pt>
              </c:numCache>
            </c:numRef>
          </c:val>
          <c:smooth val="0"/>
        </c:ser>
        <c:dLbls>
          <c:showLegendKey val="0"/>
          <c:showVal val="0"/>
          <c:showCatName val="0"/>
          <c:showSerName val="0"/>
          <c:showPercent val="0"/>
          <c:showBubbleSize val="0"/>
        </c:dLbls>
        <c:smooth val="0"/>
        <c:axId val="1671305296"/>
        <c:axId val="1671312912"/>
      </c:lineChart>
      <c:catAx>
        <c:axId val="1671305296"/>
        <c:scaling>
          <c:orientation val="minMax"/>
        </c:scaling>
        <c:delete val="0"/>
        <c:axPos val="b"/>
        <c:title>
          <c:tx>
            <c:rich>
              <a:bodyPr rot="0"/>
              <a:lstStyle/>
              <a:p>
                <a:pPr>
                  <a:defRPr sz="1000" b="1" i="0" u="none" strike="noStrike">
                    <a:solidFill>
                      <a:srgbClr val="000000"/>
                    </a:solidFill>
                    <a:latin typeface="Calibri"/>
                  </a:defRPr>
                </a:pPr>
                <a:r>
                  <a:rPr lang="en-US" sz="1000" b="1" i="0" u="none" strike="noStrike">
                    <a:solidFill>
                      <a:srgbClr val="000000"/>
                    </a:solidFill>
                    <a:latin typeface="Calibri"/>
                  </a:rPr>
                  <a:t>Total Length (in)</a:t>
                </a:r>
              </a:p>
            </c:rich>
          </c:tx>
          <c:overlay val="1"/>
        </c:title>
        <c:numFmt formatCode="General" sourceLinked="1"/>
        <c:majorTickMark val="out"/>
        <c:minorTickMark val="none"/>
        <c:tickLblPos val="low"/>
        <c:spPr>
          <a:ln w="12700" cap="flat">
            <a:solidFill>
              <a:srgbClr val="888888"/>
            </a:solidFill>
            <a:prstDash val="solid"/>
            <a:round/>
          </a:ln>
        </c:spPr>
        <c:txPr>
          <a:bodyPr rot="0"/>
          <a:lstStyle/>
          <a:p>
            <a:pPr>
              <a:defRPr sz="1000" b="0" i="0" u="none" strike="noStrike">
                <a:solidFill>
                  <a:srgbClr val="000000"/>
                </a:solidFill>
                <a:latin typeface="Calibri"/>
              </a:defRPr>
            </a:pPr>
            <a:endParaRPr lang="en-US"/>
          </a:p>
        </c:txPr>
        <c:crossAx val="1671312912"/>
        <c:crosses val="autoZero"/>
        <c:auto val="1"/>
        <c:lblAlgn val="ctr"/>
        <c:lblOffset val="100"/>
        <c:noMultiLvlLbl val="1"/>
      </c:catAx>
      <c:valAx>
        <c:axId val="1671312912"/>
        <c:scaling>
          <c:orientation val="minMax"/>
        </c:scaling>
        <c:delete val="0"/>
        <c:axPos val="l"/>
        <c:title>
          <c:tx>
            <c:rich>
              <a:bodyPr rot="-5400000"/>
              <a:lstStyle/>
              <a:p>
                <a:pPr>
                  <a:defRPr sz="1000" b="1" i="0" u="none" strike="noStrike">
                    <a:solidFill>
                      <a:srgbClr val="000000"/>
                    </a:solidFill>
                    <a:latin typeface="Calibri"/>
                  </a:defRPr>
                </a:pPr>
                <a:r>
                  <a:rPr lang="en-US" sz="1000" b="1" i="0" u="none" strike="noStrike">
                    <a:solidFill>
                      <a:srgbClr val="000000"/>
                    </a:solidFill>
                    <a:latin typeface="Calibri"/>
                  </a:rPr>
                  <a:t>Individuals Caught</a:t>
                </a:r>
              </a:p>
            </c:rich>
          </c:tx>
          <c:overlay val="1"/>
        </c:title>
        <c:numFmt formatCode="General" sourceLinked="1"/>
        <c:majorTickMark val="out"/>
        <c:minorTickMark val="none"/>
        <c:tickLblPos val="nextTo"/>
        <c:spPr>
          <a:ln w="12700" cap="flat">
            <a:solidFill>
              <a:srgbClr val="888888"/>
            </a:solidFill>
            <a:prstDash val="solid"/>
            <a:round/>
          </a:ln>
        </c:spPr>
        <c:txPr>
          <a:bodyPr rot="0"/>
          <a:lstStyle/>
          <a:p>
            <a:pPr>
              <a:defRPr sz="1000" b="0" i="0" u="none" strike="noStrike">
                <a:solidFill>
                  <a:srgbClr val="000000"/>
                </a:solidFill>
                <a:latin typeface="Calibri"/>
              </a:defRPr>
            </a:pPr>
            <a:endParaRPr lang="en-US"/>
          </a:p>
        </c:txPr>
        <c:crossAx val="1671305296"/>
        <c:crosses val="autoZero"/>
        <c:crossBetween val="between"/>
        <c:majorUnit val="1"/>
        <c:minorUnit val="0.5"/>
      </c:valAx>
      <c:spPr>
        <a:noFill/>
        <a:ln w="12700" cap="flat">
          <a:noFill/>
          <a:miter lim="400000"/>
        </a:ln>
        <a:effectLst/>
      </c:spPr>
    </c:plotArea>
    <c:legend>
      <c:legendPos val="b"/>
      <c:overlay val="0"/>
    </c:legend>
    <c:plotVisOnly val="1"/>
    <c:dispBlanksAs val="gap"/>
    <c:showDLblsOverMax val="1"/>
  </c:chart>
  <c:spPr>
    <a:noFill/>
    <a:ln>
      <a:noFill/>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2023</c:v>
          </c:tx>
          <c:spPr>
            <a:ln w="25400" cap="rnd">
              <a:noFill/>
              <a:round/>
            </a:ln>
            <a:effectLst/>
          </c:spPr>
          <c:marker>
            <c:symbol val="circle"/>
            <c:size val="5"/>
            <c:spPr>
              <a:solidFill>
                <a:schemeClr val="accent1"/>
              </a:solidFill>
              <a:ln w="9525">
                <a:solidFill>
                  <a:schemeClr val="accent1"/>
                </a:solidFill>
              </a:ln>
              <a:effectLst/>
            </c:spPr>
          </c:marker>
          <c:xVal>
            <c:numRef>
              <c:f>LW!$D$2:$D$62</c:f>
              <c:numCache>
                <c:formatCode>0.0</c:formatCode>
                <c:ptCount val="61"/>
                <c:pt idx="0">
                  <c:v>6.0629921259842527</c:v>
                </c:pt>
                <c:pt idx="1">
                  <c:v>6.4960629921259843</c:v>
                </c:pt>
                <c:pt idx="2">
                  <c:v>9.7244094488188981</c:v>
                </c:pt>
                <c:pt idx="3">
                  <c:v>9.8425196850393704</c:v>
                </c:pt>
                <c:pt idx="4">
                  <c:v>10.157480314960631</c:v>
                </c:pt>
                <c:pt idx="5">
                  <c:v>10.236220472440946</c:v>
                </c:pt>
                <c:pt idx="6">
                  <c:v>10.236220472440946</c:v>
                </c:pt>
                <c:pt idx="7">
                  <c:v>10.275590551181102</c:v>
                </c:pt>
                <c:pt idx="8">
                  <c:v>10.748031496062993</c:v>
                </c:pt>
                <c:pt idx="9">
                  <c:v>10.787401574803148</c:v>
                </c:pt>
                <c:pt idx="10">
                  <c:v>11.220472440944883</c:v>
                </c:pt>
                <c:pt idx="11">
                  <c:v>11.417322834645669</c:v>
                </c:pt>
                <c:pt idx="12">
                  <c:v>11.653543307086615</c:v>
                </c:pt>
                <c:pt idx="13">
                  <c:v>11.889763779527559</c:v>
                </c:pt>
                <c:pt idx="14">
                  <c:v>12.047244094488189</c:v>
                </c:pt>
                <c:pt idx="15">
                  <c:v>12.086614173228346</c:v>
                </c:pt>
                <c:pt idx="16">
                  <c:v>12.362204724409448</c:v>
                </c:pt>
                <c:pt idx="17">
                  <c:v>12.677165354330709</c:v>
                </c:pt>
                <c:pt idx="18">
                  <c:v>12.834645669291339</c:v>
                </c:pt>
                <c:pt idx="19">
                  <c:v>12.874015748031496</c:v>
                </c:pt>
                <c:pt idx="20">
                  <c:v>13.307086614173228</c:v>
                </c:pt>
                <c:pt idx="21">
                  <c:v>13.385826771653543</c:v>
                </c:pt>
                <c:pt idx="22">
                  <c:v>13.385826771653543</c:v>
                </c:pt>
                <c:pt idx="23">
                  <c:v>13.661417322834646</c:v>
                </c:pt>
                <c:pt idx="24">
                  <c:v>13.740157480314961</c:v>
                </c:pt>
                <c:pt idx="25">
                  <c:v>13.740157480314961</c:v>
                </c:pt>
                <c:pt idx="26">
                  <c:v>13.818897637795276</c:v>
                </c:pt>
                <c:pt idx="27">
                  <c:v>13.858267716535433</c:v>
                </c:pt>
                <c:pt idx="28">
                  <c:v>13.897637795275591</c:v>
                </c:pt>
                <c:pt idx="29">
                  <c:v>13.897637795275591</c:v>
                </c:pt>
                <c:pt idx="30">
                  <c:v>13.897637795275591</c:v>
                </c:pt>
                <c:pt idx="31">
                  <c:v>13.976377952755906</c:v>
                </c:pt>
                <c:pt idx="32">
                  <c:v>14.05511811023622</c:v>
                </c:pt>
                <c:pt idx="33">
                  <c:v>14.05511811023622</c:v>
                </c:pt>
                <c:pt idx="34">
                  <c:v>14.291338582677165</c:v>
                </c:pt>
                <c:pt idx="35">
                  <c:v>14.488188976377954</c:v>
                </c:pt>
                <c:pt idx="36">
                  <c:v>14.566929133858268</c:v>
                </c:pt>
                <c:pt idx="37">
                  <c:v>14.645669291338583</c:v>
                </c:pt>
                <c:pt idx="38">
                  <c:v>15.118110236220474</c:v>
                </c:pt>
                <c:pt idx="39">
                  <c:v>15.157480314960631</c:v>
                </c:pt>
                <c:pt idx="40">
                  <c:v>15.236220472440946</c:v>
                </c:pt>
                <c:pt idx="41">
                  <c:v>15.275590551181102</c:v>
                </c:pt>
                <c:pt idx="42">
                  <c:v>15.62992125984252</c:v>
                </c:pt>
                <c:pt idx="43">
                  <c:v>15.866141732283465</c:v>
                </c:pt>
                <c:pt idx="44">
                  <c:v>15.984251968503937</c:v>
                </c:pt>
                <c:pt idx="45">
                  <c:v>15.984251968503937</c:v>
                </c:pt>
                <c:pt idx="46">
                  <c:v>16.141732283464567</c:v>
                </c:pt>
                <c:pt idx="47">
                  <c:v>16.220472440944881</c:v>
                </c:pt>
                <c:pt idx="48">
                  <c:v>16.220472440944881</c:v>
                </c:pt>
                <c:pt idx="49">
                  <c:v>16.496062992125985</c:v>
                </c:pt>
                <c:pt idx="50">
                  <c:v>16.73228346456693</c:v>
                </c:pt>
                <c:pt idx="51">
                  <c:v>16.889763779527559</c:v>
                </c:pt>
                <c:pt idx="52">
                  <c:v>17.125984251968504</c:v>
                </c:pt>
                <c:pt idx="53">
                  <c:v>17.322834645669293</c:v>
                </c:pt>
                <c:pt idx="54">
                  <c:v>17.440944881889767</c:v>
                </c:pt>
                <c:pt idx="55">
                  <c:v>17.834645669291337</c:v>
                </c:pt>
                <c:pt idx="56">
                  <c:v>19.409448818897641</c:v>
                </c:pt>
                <c:pt idx="57">
                  <c:v>19.566929133858267</c:v>
                </c:pt>
                <c:pt idx="58">
                  <c:v>20.078740157480315</c:v>
                </c:pt>
                <c:pt idx="59">
                  <c:v>20.629921259842519</c:v>
                </c:pt>
                <c:pt idx="60">
                  <c:v>21.653543307086615</c:v>
                </c:pt>
              </c:numCache>
            </c:numRef>
          </c:xVal>
          <c:yVal>
            <c:numRef>
              <c:f>LW!$F$2:$F$62</c:f>
              <c:numCache>
                <c:formatCode>General</c:formatCode>
                <c:ptCount val="61"/>
                <c:pt idx="0">
                  <c:v>0.10582188584874123</c:v>
                </c:pt>
                <c:pt idx="1">
                  <c:v>0.11904962157983388</c:v>
                </c:pt>
                <c:pt idx="2">
                  <c:v>0.40124131717647721</c:v>
                </c:pt>
                <c:pt idx="3">
                  <c:v>0.39683207193277964</c:v>
                </c:pt>
                <c:pt idx="4">
                  <c:v>0.48942622205042818</c:v>
                </c:pt>
                <c:pt idx="5">
                  <c:v>0.59965735314286694</c:v>
                </c:pt>
                <c:pt idx="6">
                  <c:v>0.44533376961345272</c:v>
                </c:pt>
                <c:pt idx="7">
                  <c:v>0.48501697680673067</c:v>
                </c:pt>
                <c:pt idx="8">
                  <c:v>0.60406659838656451</c:v>
                </c:pt>
                <c:pt idx="9">
                  <c:v>0.57320188168068165</c:v>
                </c:pt>
                <c:pt idx="10">
                  <c:v>0.65256829606723765</c:v>
                </c:pt>
                <c:pt idx="11">
                  <c:v>0.71429772947900338</c:v>
                </c:pt>
                <c:pt idx="12">
                  <c:v>0.70547923899160825</c:v>
                </c:pt>
                <c:pt idx="13">
                  <c:v>0.82452886057144215</c:v>
                </c:pt>
                <c:pt idx="14">
                  <c:v>0.82893810581513971</c:v>
                </c:pt>
                <c:pt idx="15">
                  <c:v>0.66579603179833025</c:v>
                </c:pt>
                <c:pt idx="16">
                  <c:v>1.0008986703193441</c:v>
                </c:pt>
                <c:pt idx="17">
                  <c:v>0.99208017983194907</c:v>
                </c:pt>
                <c:pt idx="18">
                  <c:v>1.1155390466554804</c:v>
                </c:pt>
                <c:pt idx="19">
                  <c:v>1.1243575371428756</c:v>
                </c:pt>
                <c:pt idx="20">
                  <c:v>1.1155390466554804</c:v>
                </c:pt>
                <c:pt idx="21">
                  <c:v>1.2434071587227096</c:v>
                </c:pt>
                <c:pt idx="22">
                  <c:v>1.1023113109243878</c:v>
                </c:pt>
                <c:pt idx="23">
                  <c:v>1.4109584779832165</c:v>
                </c:pt>
                <c:pt idx="24">
                  <c:v>1.2654533849411973</c:v>
                </c:pt>
                <c:pt idx="25">
                  <c:v>1.3315920635966605</c:v>
                </c:pt>
                <c:pt idx="26">
                  <c:v>1.2257701777479193</c:v>
                </c:pt>
                <c:pt idx="27">
                  <c:v>1.3800937612773336</c:v>
                </c:pt>
                <c:pt idx="28">
                  <c:v>1.4330047042017042</c:v>
                </c:pt>
                <c:pt idx="29">
                  <c:v>1.4330047042017042</c:v>
                </c:pt>
                <c:pt idx="30">
                  <c:v>1.0758558394622026</c:v>
                </c:pt>
                <c:pt idx="31">
                  <c:v>1.190496215798339</c:v>
                </c:pt>
                <c:pt idx="32">
                  <c:v>1.455050930420192</c:v>
                </c:pt>
                <c:pt idx="33">
                  <c:v>1.4197769684706116</c:v>
                </c:pt>
                <c:pt idx="34">
                  <c:v>1.4903248923697723</c:v>
                </c:pt>
                <c:pt idx="35">
                  <c:v>1.3933214970084262</c:v>
                </c:pt>
                <c:pt idx="36">
                  <c:v>1.4285954589580068</c:v>
                </c:pt>
                <c:pt idx="37">
                  <c:v>1.5211896090756551</c:v>
                </c:pt>
                <c:pt idx="38">
                  <c:v>1.8033813046722986</c:v>
                </c:pt>
                <c:pt idx="39">
                  <c:v>2.0062065858823859</c:v>
                </c:pt>
                <c:pt idx="40">
                  <c:v>1.6799224378487672</c:v>
                </c:pt>
                <c:pt idx="41">
                  <c:v>1.750470361747928</c:v>
                </c:pt>
                <c:pt idx="42">
                  <c:v>1.8342460213781815</c:v>
                </c:pt>
                <c:pt idx="43">
                  <c:v>2.0811637550252442</c:v>
                </c:pt>
                <c:pt idx="44">
                  <c:v>1.8430645118655764</c:v>
                </c:pt>
                <c:pt idx="45">
                  <c:v>2.3236722434286095</c:v>
                </c:pt>
                <c:pt idx="46">
                  <c:v>2.5000420531765117</c:v>
                </c:pt>
                <c:pt idx="47">
                  <c:v>2.0811637550252442</c:v>
                </c:pt>
                <c:pt idx="48">
                  <c:v>2.3501277148907951</c:v>
                </c:pt>
                <c:pt idx="49">
                  <c:v>2.1517116789244053</c:v>
                </c:pt>
                <c:pt idx="50">
                  <c:v>2.1208469622185224</c:v>
                </c:pt>
                <c:pt idx="51">
                  <c:v>2.5353160151260923</c:v>
                </c:pt>
                <c:pt idx="52">
                  <c:v>2.3677646958655849</c:v>
                </c:pt>
                <c:pt idx="53">
                  <c:v>2.2266688480672636</c:v>
                </c:pt>
                <c:pt idx="54">
                  <c:v>3.126154877781564</c:v>
                </c:pt>
                <c:pt idx="55">
                  <c:v>2.9718312942521496</c:v>
                </c:pt>
                <c:pt idx="56">
                  <c:v>3.9242282668908208</c:v>
                </c:pt>
                <c:pt idx="57">
                  <c:v>3.9595022288404014</c:v>
                </c:pt>
                <c:pt idx="58">
                  <c:v>4.5415226010084782</c:v>
                </c:pt>
                <c:pt idx="59">
                  <c:v>4.8060773156303309</c:v>
                </c:pt>
                <c:pt idx="60">
                  <c:v>7.0680201256471751</c:v>
                </c:pt>
              </c:numCache>
            </c:numRef>
          </c:yVal>
          <c:smooth val="0"/>
        </c:ser>
        <c:ser>
          <c:idx val="1"/>
          <c:order val="1"/>
          <c:tx>
            <c:v>2020</c:v>
          </c:tx>
          <c:spPr>
            <a:ln w="25400" cap="rnd">
              <a:noFill/>
              <a:round/>
            </a:ln>
            <a:effectLst/>
          </c:spPr>
          <c:marker>
            <c:symbol val="circle"/>
            <c:size val="5"/>
            <c:spPr>
              <a:solidFill>
                <a:schemeClr val="accent2"/>
              </a:solidFill>
              <a:ln w="9525">
                <a:solidFill>
                  <a:schemeClr val="accent2"/>
                </a:solidFill>
              </a:ln>
              <a:effectLst/>
            </c:spPr>
          </c:marker>
          <c:xVal>
            <c:numRef>
              <c:f>LW!$G$2:$G$64</c:f>
              <c:numCache>
                <c:formatCode>General</c:formatCode>
                <c:ptCount val="63"/>
                <c:pt idx="0">
                  <c:v>3.3464566929133857</c:v>
                </c:pt>
                <c:pt idx="1">
                  <c:v>3.5039370078740157</c:v>
                </c:pt>
                <c:pt idx="2">
                  <c:v>3.5433070866141736</c:v>
                </c:pt>
                <c:pt idx="3">
                  <c:v>3.9763779527559056</c:v>
                </c:pt>
                <c:pt idx="4">
                  <c:v>4.4488188976377954</c:v>
                </c:pt>
                <c:pt idx="5">
                  <c:v>4.8031496062992129</c:v>
                </c:pt>
                <c:pt idx="6">
                  <c:v>4.9212598425196852</c:v>
                </c:pt>
                <c:pt idx="7">
                  <c:v>5.1181102362204731</c:v>
                </c:pt>
                <c:pt idx="8">
                  <c:v>5.1968503937007871</c:v>
                </c:pt>
                <c:pt idx="9">
                  <c:v>5.5905511811023629</c:v>
                </c:pt>
                <c:pt idx="10">
                  <c:v>6.4173228346456694</c:v>
                </c:pt>
                <c:pt idx="11">
                  <c:v>6.4566929133858268</c:v>
                </c:pt>
                <c:pt idx="12">
                  <c:v>6.6535433070866139</c:v>
                </c:pt>
                <c:pt idx="13">
                  <c:v>8.2677165354330704</c:v>
                </c:pt>
                <c:pt idx="14">
                  <c:v>8.8976377952755907</c:v>
                </c:pt>
                <c:pt idx="15">
                  <c:v>9.3700787401574797</c:v>
                </c:pt>
                <c:pt idx="16">
                  <c:v>10</c:v>
                </c:pt>
                <c:pt idx="17">
                  <c:v>10.275590551181102</c:v>
                </c:pt>
                <c:pt idx="18">
                  <c:v>10.590551181102363</c:v>
                </c:pt>
                <c:pt idx="19">
                  <c:v>11.102362204724409</c:v>
                </c:pt>
                <c:pt idx="20">
                  <c:v>11.456692913385828</c:v>
                </c:pt>
                <c:pt idx="21">
                  <c:v>12.598425196850394</c:v>
                </c:pt>
                <c:pt idx="22">
                  <c:v>13.188976377952757</c:v>
                </c:pt>
                <c:pt idx="23">
                  <c:v>13.228346456692915</c:v>
                </c:pt>
                <c:pt idx="24">
                  <c:v>13.700787401574804</c:v>
                </c:pt>
                <c:pt idx="25">
                  <c:v>13.740157480314961</c:v>
                </c:pt>
                <c:pt idx="26">
                  <c:v>13.858267716535433</c:v>
                </c:pt>
                <c:pt idx="27">
                  <c:v>13.858267716535433</c:v>
                </c:pt>
                <c:pt idx="28">
                  <c:v>13.937007874015748</c:v>
                </c:pt>
                <c:pt idx="29">
                  <c:v>13.976377952755906</c:v>
                </c:pt>
                <c:pt idx="30">
                  <c:v>13.976377952755906</c:v>
                </c:pt>
                <c:pt idx="31">
                  <c:v>14.015748031496063</c:v>
                </c:pt>
                <c:pt idx="32">
                  <c:v>14.015748031496063</c:v>
                </c:pt>
                <c:pt idx="33">
                  <c:v>14.448818897637796</c:v>
                </c:pt>
                <c:pt idx="34">
                  <c:v>14.645669291338583</c:v>
                </c:pt>
                <c:pt idx="35">
                  <c:v>14.724409448818898</c:v>
                </c:pt>
                <c:pt idx="36">
                  <c:v>15.236220472440946</c:v>
                </c:pt>
                <c:pt idx="37">
                  <c:v>15.354330708661417</c:v>
                </c:pt>
                <c:pt idx="38">
                  <c:v>15.551181102362206</c:v>
                </c:pt>
                <c:pt idx="39">
                  <c:v>15.590551181102363</c:v>
                </c:pt>
                <c:pt idx="40">
                  <c:v>15.590551181102363</c:v>
                </c:pt>
                <c:pt idx="41">
                  <c:v>15.590551181102363</c:v>
                </c:pt>
                <c:pt idx="42">
                  <c:v>15.62992125984252</c:v>
                </c:pt>
                <c:pt idx="43">
                  <c:v>15.826771653543307</c:v>
                </c:pt>
                <c:pt idx="44">
                  <c:v>15.984251968503937</c:v>
                </c:pt>
                <c:pt idx="45">
                  <c:v>16.062992125984252</c:v>
                </c:pt>
                <c:pt idx="46">
                  <c:v>16.889763779527559</c:v>
                </c:pt>
                <c:pt idx="47">
                  <c:v>17.244094488188978</c:v>
                </c:pt>
                <c:pt idx="48">
                  <c:v>17.322834645669293</c:v>
                </c:pt>
                <c:pt idx="49">
                  <c:v>17.322834645669293</c:v>
                </c:pt>
                <c:pt idx="50">
                  <c:v>17.362204724409452</c:v>
                </c:pt>
                <c:pt idx="51">
                  <c:v>17.480314960629922</c:v>
                </c:pt>
                <c:pt idx="52">
                  <c:v>17.795275590551181</c:v>
                </c:pt>
                <c:pt idx="53">
                  <c:v>17.795275590551181</c:v>
                </c:pt>
                <c:pt idx="54">
                  <c:v>18.1496062992126</c:v>
                </c:pt>
                <c:pt idx="55">
                  <c:v>18.267716535433074</c:v>
                </c:pt>
                <c:pt idx="56">
                  <c:v>18.779527559055119</c:v>
                </c:pt>
                <c:pt idx="57">
                  <c:v>19.527559055118108</c:v>
                </c:pt>
                <c:pt idx="58">
                  <c:v>19.606299212598426</c:v>
                </c:pt>
                <c:pt idx="59">
                  <c:v>19.960629921259844</c:v>
                </c:pt>
                <c:pt idx="60">
                  <c:v>20.039370078740159</c:v>
                </c:pt>
                <c:pt idx="61">
                  <c:v>20.118110236220474</c:v>
                </c:pt>
                <c:pt idx="62">
                  <c:v>21.259842519685041</c:v>
                </c:pt>
              </c:numCache>
            </c:numRef>
          </c:xVal>
          <c:yVal>
            <c:numRef>
              <c:f>LW!$H$2:$H$64</c:f>
              <c:numCache>
                <c:formatCode>General</c:formatCode>
                <c:ptCount val="63"/>
                <c:pt idx="0">
                  <c:v>1.7636980974790207E-2</c:v>
                </c:pt>
                <c:pt idx="1">
                  <c:v>3.0864716705882859E-2</c:v>
                </c:pt>
                <c:pt idx="2">
                  <c:v>2.2046226218487758E-2</c:v>
                </c:pt>
                <c:pt idx="3">
                  <c:v>3.9683207193277961E-2</c:v>
                </c:pt>
                <c:pt idx="4">
                  <c:v>4.8501697680673063E-2</c:v>
                </c:pt>
                <c:pt idx="5">
                  <c:v>5.2910942924370617E-2</c:v>
                </c:pt>
                <c:pt idx="6">
                  <c:v>5.2910942924370617E-2</c:v>
                </c:pt>
                <c:pt idx="7">
                  <c:v>5.7320188168068172E-2</c:v>
                </c:pt>
                <c:pt idx="8">
                  <c:v>7.0547923899160828E-2</c:v>
                </c:pt>
                <c:pt idx="9">
                  <c:v>7.0547923899160828E-2</c:v>
                </c:pt>
                <c:pt idx="10">
                  <c:v>0.12345886682353144</c:v>
                </c:pt>
                <c:pt idx="11">
                  <c:v>0.11464037633613634</c:v>
                </c:pt>
                <c:pt idx="12">
                  <c:v>0.11904962157983388</c:v>
                </c:pt>
                <c:pt idx="13">
                  <c:v>0.25132697889076044</c:v>
                </c:pt>
                <c:pt idx="14">
                  <c:v>0.33951188376471148</c:v>
                </c:pt>
                <c:pt idx="15">
                  <c:v>0.3880135814453845</c:v>
                </c:pt>
                <c:pt idx="16">
                  <c:v>0.48501697680673067</c:v>
                </c:pt>
                <c:pt idx="17">
                  <c:v>0.48501697680673067</c:v>
                </c:pt>
                <c:pt idx="18">
                  <c:v>0.55556490070589148</c:v>
                </c:pt>
                <c:pt idx="19">
                  <c:v>0.69666074850421311</c:v>
                </c:pt>
                <c:pt idx="20">
                  <c:v>0.67020527704202781</c:v>
                </c:pt>
                <c:pt idx="21">
                  <c:v>0.99648942507564664</c:v>
                </c:pt>
                <c:pt idx="22">
                  <c:v>1.071446594218505</c:v>
                </c:pt>
                <c:pt idx="23">
                  <c:v>1.0185356512941344</c:v>
                </c:pt>
                <c:pt idx="24">
                  <c:v>1.287499611159685</c:v>
                </c:pt>
                <c:pt idx="25">
                  <c:v>1.208133196773129</c:v>
                </c:pt>
                <c:pt idx="26">
                  <c:v>1.2830903659159876</c:v>
                </c:pt>
                <c:pt idx="27">
                  <c:v>1.4330047042017042</c:v>
                </c:pt>
                <c:pt idx="28">
                  <c:v>1.4241862137143091</c:v>
                </c:pt>
                <c:pt idx="29">
                  <c:v>1.4330047042017042</c:v>
                </c:pt>
                <c:pt idx="30">
                  <c:v>1.4991433828571674</c:v>
                </c:pt>
                <c:pt idx="31">
                  <c:v>1.4374139494454017</c:v>
                </c:pt>
                <c:pt idx="32">
                  <c:v>1.4374139494454017</c:v>
                </c:pt>
                <c:pt idx="33">
                  <c:v>1.7592888522353229</c:v>
                </c:pt>
                <c:pt idx="34">
                  <c:v>1.6181930044370014</c:v>
                </c:pt>
                <c:pt idx="35">
                  <c:v>1.6049652687059088</c:v>
                </c:pt>
                <c:pt idx="36">
                  <c:v>1.7681073427227181</c:v>
                </c:pt>
                <c:pt idx="37">
                  <c:v>1.8959754547899472</c:v>
                </c:pt>
                <c:pt idx="38">
                  <c:v>1.8562922475966692</c:v>
                </c:pt>
                <c:pt idx="39">
                  <c:v>2.1164377169748247</c:v>
                </c:pt>
                <c:pt idx="40">
                  <c:v>2.35894620537819</c:v>
                </c:pt>
                <c:pt idx="41">
                  <c:v>1.8871569643025521</c:v>
                </c:pt>
                <c:pt idx="42">
                  <c:v>1.6931501735798598</c:v>
                </c:pt>
                <c:pt idx="43">
                  <c:v>2.1781671503865905</c:v>
                </c:pt>
                <c:pt idx="44">
                  <c:v>2.0150250763697812</c:v>
                </c:pt>
                <c:pt idx="45">
                  <c:v>1.4770971566386797</c:v>
                </c:pt>
                <c:pt idx="46">
                  <c:v>2.5044512984202094</c:v>
                </c:pt>
                <c:pt idx="47">
                  <c:v>2.5749992223193701</c:v>
                </c:pt>
                <c:pt idx="48">
                  <c:v>3.3157524232605589</c:v>
                </c:pt>
                <c:pt idx="49">
                  <c:v>2.8527816726723159</c:v>
                </c:pt>
                <c:pt idx="50">
                  <c:v>2.5353160151260923</c:v>
                </c:pt>
                <c:pt idx="51">
                  <c:v>2.0062065858823859</c:v>
                </c:pt>
                <c:pt idx="52">
                  <c:v>3.3466171399664417</c:v>
                </c:pt>
                <c:pt idx="53">
                  <c:v>3.1790658207059348</c:v>
                </c:pt>
                <c:pt idx="54">
                  <c:v>3.0379699729076131</c:v>
                </c:pt>
                <c:pt idx="55">
                  <c:v>3.2804784613109783</c:v>
                </c:pt>
                <c:pt idx="56">
                  <c:v>3.6729012880000602</c:v>
                </c:pt>
                <c:pt idx="57">
                  <c:v>5.2999127829244568</c:v>
                </c:pt>
                <c:pt idx="58">
                  <c:v>3.7743139286051042</c:v>
                </c:pt>
                <c:pt idx="59">
                  <c:v>4.6252982606387318</c:v>
                </c:pt>
                <c:pt idx="60">
                  <c:v>4.7531663727059605</c:v>
                </c:pt>
                <c:pt idx="61">
                  <c:v>5.3660514615799197</c:v>
                </c:pt>
                <c:pt idx="62">
                  <c:v>6.9092872968740631</c:v>
                </c:pt>
              </c:numCache>
            </c:numRef>
          </c:yVal>
          <c:smooth val="0"/>
        </c:ser>
        <c:dLbls>
          <c:showLegendKey val="0"/>
          <c:showVal val="0"/>
          <c:showCatName val="0"/>
          <c:showSerName val="0"/>
          <c:showPercent val="0"/>
          <c:showBubbleSize val="0"/>
        </c:dLbls>
        <c:axId val="1671303664"/>
        <c:axId val="1671302576"/>
      </c:scatterChart>
      <c:valAx>
        <c:axId val="1671303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Total length (in)</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302576"/>
        <c:crosses val="autoZero"/>
        <c:crossBetween val="midCat"/>
      </c:valAx>
      <c:valAx>
        <c:axId val="167130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Weight (lbs)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713036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oAKRVOTmpuszqjqMcktLLuKmHw==">AMUW2mV+HkMVN5dYXbjtnYJD2ZcG5RcCuamavs5PHogYP2JID7PSD5lJbzOE5ArLE5DdLzfmDYSkp/z6Y37irZp9UAZdyx/9u3bGxVyCh033xp5NEeeuRLeDAXpMs3dfbROQcxyq/WSF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C6B716B-9A1C-4EB0-92F6-EA63979A8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agfc</dc:creator>
  <cp:lastModifiedBy>Homan, Justin</cp:lastModifiedBy>
  <cp:revision>8</cp:revision>
  <dcterms:created xsi:type="dcterms:W3CDTF">2023-07-14T16:03:00Z</dcterms:created>
  <dcterms:modified xsi:type="dcterms:W3CDTF">2023-07-14T19:36:00Z</dcterms:modified>
</cp:coreProperties>
</file>