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57BD1" w14:textId="77777777" w:rsidR="00175B41" w:rsidRDefault="00175B41" w:rsidP="00175B41">
      <w:proofErr w:type="spellStart"/>
      <w:r>
        <w:t>HealthyLineups</w:t>
      </w:r>
      <w:proofErr w:type="spellEnd"/>
      <w:r>
        <w:t xml:space="preserve"> LLC </w:t>
      </w:r>
    </w:p>
    <w:p w14:paraId="20EBD479" w14:textId="77777777" w:rsidR="00175B41" w:rsidRDefault="00175B41" w:rsidP="00175B41">
      <w:r>
        <w:t>Responsible Gaming Policy</w:t>
      </w:r>
    </w:p>
    <w:p w14:paraId="1242EDBE" w14:textId="77777777" w:rsidR="00175B41" w:rsidRDefault="00175B41" w:rsidP="00175B41"/>
    <w:p w14:paraId="2CA745F3" w14:textId="77777777" w:rsidR="00175B41" w:rsidRDefault="00175B41" w:rsidP="00175B41">
      <w:proofErr w:type="spellStart"/>
      <w:r>
        <w:t>HealthyLineups</w:t>
      </w:r>
      <w:proofErr w:type="spellEnd"/>
      <w:r>
        <w:t xml:space="preserve"> LLC is committed to the protection of our Users and promoting responsible fantasy sports gameplay as a policy of customer care and social responsibility. We recognize that our games are fun and like many other forms of entertainment, should be consumed in a responsible manner.</w:t>
      </w:r>
    </w:p>
    <w:p w14:paraId="28335066" w14:textId="77777777" w:rsidR="00175B41" w:rsidRDefault="00175B41" w:rsidP="00175B41"/>
    <w:p w14:paraId="53A019B8" w14:textId="77777777" w:rsidR="00175B41" w:rsidRDefault="00175B41" w:rsidP="00175B41">
      <w:r>
        <w:tab/>
        <w:t>•</w:t>
      </w:r>
      <w:r>
        <w:tab/>
        <w:t xml:space="preserve">General. </w:t>
      </w:r>
    </w:p>
    <w:p w14:paraId="40077851" w14:textId="77777777" w:rsidR="00175B41" w:rsidRDefault="00175B41" w:rsidP="00175B41">
      <w:r>
        <w:tab/>
        <w:t>•</w:t>
      </w:r>
      <w:r>
        <w:tab/>
        <w:t xml:space="preserve">This Responsible Gameplay Policy (“RGP”) describes the various tools and resources available to our Users to ensure responsible gameplay. </w:t>
      </w:r>
    </w:p>
    <w:p w14:paraId="799F9869" w14:textId="77777777" w:rsidR="00175B41" w:rsidRDefault="00175B41" w:rsidP="00175B41">
      <w:r>
        <w:tab/>
        <w:t>•</w:t>
      </w:r>
      <w:r>
        <w:tab/>
        <w:t xml:space="preserve">We may update our policies at any time, which updates shall be effective immediately. </w:t>
      </w:r>
    </w:p>
    <w:p w14:paraId="7AA6DDF1" w14:textId="77777777" w:rsidR="00175B41" w:rsidRDefault="00175B41" w:rsidP="00175B41">
      <w:r>
        <w:tab/>
        <w:t>•</w:t>
      </w:r>
      <w:r>
        <w:tab/>
        <w:t xml:space="preserve">The RGP is integrated into the Terms of </w:t>
      </w:r>
      <w:proofErr w:type="gramStart"/>
      <w:r>
        <w:t>Service, and</w:t>
      </w:r>
      <w:proofErr w:type="gramEnd"/>
      <w:r>
        <w:t xml:space="preserve"> is a part of such Terms of Service as if fully restated therein. </w:t>
      </w:r>
    </w:p>
    <w:p w14:paraId="6E9D52AB" w14:textId="77777777" w:rsidR="00175B41" w:rsidRDefault="00175B41" w:rsidP="00175B41"/>
    <w:p w14:paraId="24796E85" w14:textId="77777777" w:rsidR="00175B41" w:rsidRDefault="00175B41" w:rsidP="00175B41">
      <w:r>
        <w:tab/>
        <w:t>•</w:t>
      </w:r>
      <w:r>
        <w:tab/>
        <w:t>RGP Control Tools.</w:t>
      </w:r>
    </w:p>
    <w:p w14:paraId="6191BCA8" w14:textId="77777777" w:rsidR="00175B41" w:rsidRDefault="00175B41" w:rsidP="00175B41">
      <w:r>
        <w:tab/>
        <w:t>•</w:t>
      </w:r>
      <w:r>
        <w:tab/>
        <w:t>Account History. Users have access to a comprehensive account history feature. This feature provides detailed records of all gameplay activities, transaction history including deposits and withdrawals, time spent playing on various time scales, graphical representations of gameplay patterns and spending trends, and an option to download account history for personal record-keeping.</w:t>
      </w:r>
    </w:p>
    <w:p w14:paraId="2EFF58CA" w14:textId="77777777" w:rsidR="00175B41" w:rsidRDefault="00175B41" w:rsidP="00175B41">
      <w:r>
        <w:tab/>
        <w:t>•</w:t>
      </w:r>
      <w:r>
        <w:tab/>
        <w:t xml:space="preserve">Various Self-Limitation Options. We offer a range of self-limitation tools to help Users manage their gameplay responsibly. These options include deposit limits, where Users can set daily, weekly, or monthly limits on the amount they can deposit into their account; net spend limits, allowing Users to set maximum net spend thresholds for specified time periods; and session time limits, enabling Users to set maximum durations for individual gameplay sessions. Additionally, Users can opt for cool-off periods, </w:t>
      </w:r>
      <w:proofErr w:type="gramStart"/>
      <w:r>
        <w:t>temporarily suspending</w:t>
      </w:r>
      <w:proofErr w:type="gramEnd"/>
      <w:r>
        <w:t xml:space="preserve"> their account access for periods ranging from 24 hours to 30 days. Entry fee limits are also available, allowing Users to set restrictions on the amount they can spend on entry fees within a specified time frame. All these self-limitation options are easily accessible through the User’s account settings. Any decreases in limits or increases in restriction levels take effect immediately, while any easing of restrictions requires a waiting period to prevent impulsive decisions. Increases to any limits, or removal of restrictions, take effect only after a cooling-off delay of at least 24 hours. We encourage Users to use these tools proactively to maintain control over their gaming activities.</w:t>
      </w:r>
    </w:p>
    <w:p w14:paraId="14FE1C78" w14:textId="77777777" w:rsidR="00175B41" w:rsidRDefault="00175B41" w:rsidP="00175B41">
      <w:r>
        <w:tab/>
        <w:t>•</w:t>
      </w:r>
      <w:r>
        <w:tab/>
        <w:t xml:space="preserve">Deposit Limits. Users can set daily, weekly, or monthly deposit limits on their accounts. Any decrease in limits will be effective immediately, while increases will only take effect after the previous limit period has expired. </w:t>
      </w:r>
    </w:p>
    <w:p w14:paraId="7396EE53" w14:textId="77777777" w:rsidR="00175B41" w:rsidRDefault="00175B41" w:rsidP="00175B41">
      <w:r>
        <w:tab/>
        <w:t>•</w:t>
      </w:r>
      <w:r>
        <w:tab/>
        <w:t>Time Limits. Users can set limits on the duration of their gameplay sessions. The system will notify Users when they approach their set time limit.</w:t>
      </w:r>
    </w:p>
    <w:p w14:paraId="0041D1FA" w14:textId="77777777" w:rsidR="00175B41" w:rsidRDefault="00175B41" w:rsidP="00175B41"/>
    <w:p w14:paraId="782125FB" w14:textId="77777777" w:rsidR="00175B41" w:rsidRDefault="00175B41" w:rsidP="00175B41">
      <w:r>
        <w:tab/>
        <w:t>•</w:t>
      </w:r>
      <w:r>
        <w:tab/>
        <w:t>RSG Control Tools Access.</w:t>
      </w:r>
    </w:p>
    <w:p w14:paraId="2ABAF6F0" w14:textId="77777777" w:rsidR="00175B41" w:rsidRDefault="00175B41" w:rsidP="00175B41">
      <w:r>
        <w:tab/>
        <w:t>•</w:t>
      </w:r>
      <w:r>
        <w:tab/>
        <w:t xml:space="preserve">Control Tools. The access control tools described below are available if your gameplay may have become, or is at risk of becoming, problematic and you may </w:t>
      </w:r>
      <w:r>
        <w:lastRenderedPageBreak/>
        <w:t>take advantage of access control tools through Account Settings or by contacting support@healthylineups.com.</w:t>
      </w:r>
    </w:p>
    <w:p w14:paraId="61A01480" w14:textId="77777777" w:rsidR="00175B41" w:rsidRDefault="00175B41" w:rsidP="00175B41">
      <w:r>
        <w:tab/>
        <w:t>•</w:t>
      </w:r>
      <w:r>
        <w:tab/>
        <w:t xml:space="preserve">Taking a Break. Please contact us with your request and for options. </w:t>
      </w:r>
    </w:p>
    <w:p w14:paraId="553F5EFF" w14:textId="77777777" w:rsidR="00175B41" w:rsidRDefault="00175B41" w:rsidP="00175B41">
      <w:r>
        <w:tab/>
        <w:t>•</w:t>
      </w:r>
      <w:r>
        <w:tab/>
        <w:t xml:space="preserve">Self-Exclusion. Users may self-initiate a </w:t>
      </w:r>
      <w:proofErr w:type="gramStart"/>
      <w:r>
        <w:t>break through</w:t>
      </w:r>
      <w:proofErr w:type="gramEnd"/>
      <w:r>
        <w:t xml:space="preserve"> Account Settings. If a User cannot access Account Settings, the User may contact support@healthylineups.com.</w:t>
      </w:r>
    </w:p>
    <w:p w14:paraId="7B2C3712" w14:textId="77777777" w:rsidR="00175B41" w:rsidRDefault="00175B41" w:rsidP="00175B41">
      <w:r>
        <w:tab/>
        <w:t>•</w:t>
      </w:r>
      <w:r>
        <w:tab/>
        <w:t>Permanent Closure. Users may self-initiate Permanent Closure through Account Settings. If a User cannot access Account Settings, the User may contact support@healthylineups.com.</w:t>
      </w:r>
    </w:p>
    <w:p w14:paraId="6A49B6F5" w14:textId="77777777" w:rsidR="00175B41" w:rsidRDefault="00175B41" w:rsidP="00175B41">
      <w:r>
        <w:tab/>
        <w:t>•</w:t>
      </w:r>
      <w:r>
        <w:tab/>
        <w:t>Cooling-Off Periods. Users can request short-term breaks from gameplay, ranging from 24 hours to 30 days, during which they cannot access their accounts.</w:t>
      </w:r>
    </w:p>
    <w:p w14:paraId="28FCB3CA" w14:textId="77777777" w:rsidR="00175B41" w:rsidRDefault="00175B41" w:rsidP="00175B41"/>
    <w:p w14:paraId="018A1D9C" w14:textId="77777777" w:rsidR="00175B41" w:rsidRDefault="00175B41" w:rsidP="00175B41">
      <w:r>
        <w:tab/>
        <w:t>•</w:t>
      </w:r>
      <w:r>
        <w:tab/>
        <w:t>Self-Evaluation and Assessment. Self-Assessment. If you are concerned your participation is no longer enjoyable or is causing financial or personal stress, consider completing a responsible play self-assessment from a recognized resource such as the National Council on Problem Gambling (NCPG). (We are not affiliated with any such organizations</w:t>
      </w:r>
      <w:proofErr w:type="gramStart"/>
      <w:r>
        <w:t>.)https://gamequitters.com/video-game-addiction-test-for-gamers/</w:t>
      </w:r>
      <w:proofErr w:type="gramEnd"/>
    </w:p>
    <w:p w14:paraId="2A9E9941" w14:textId="77777777" w:rsidR="00175B41" w:rsidRDefault="00175B41" w:rsidP="00175B41"/>
    <w:p w14:paraId="216A1334" w14:textId="77777777" w:rsidR="00175B41" w:rsidRDefault="00175B41" w:rsidP="00175B41">
      <w:r>
        <w:tab/>
        <w:t>•</w:t>
      </w:r>
      <w:r>
        <w:tab/>
        <w:t>Support. Please consider one of the following resources if your activities have had a negative impact on your mental and emotional health, as well as a detrimental financial impact. We are not affiliated with any of these organizations.</w:t>
      </w:r>
    </w:p>
    <w:p w14:paraId="7D6F86E5" w14:textId="77777777" w:rsidR="00175B41" w:rsidRDefault="00175B41" w:rsidP="00175B41">
      <w:r>
        <w:tab/>
        <w:t>•</w:t>
      </w:r>
      <w:r>
        <w:tab/>
        <w:t>Gaming Addicts Anonymous (GAA) is a fellowship of people who support each other in recovering from the problems resulting from excessive game playing.</w:t>
      </w:r>
    </w:p>
    <w:p w14:paraId="3A96EEF3" w14:textId="77777777" w:rsidR="00175B41" w:rsidRDefault="00175B41" w:rsidP="00175B41">
      <w:r>
        <w:tab/>
        <w:t>•</w:t>
      </w:r>
      <w:r>
        <w:tab/>
        <w:t xml:space="preserve">Financial </w:t>
      </w:r>
      <w:proofErr w:type="spellStart"/>
      <w:r>
        <w:t>Counseling</w:t>
      </w:r>
      <w:proofErr w:type="spellEnd"/>
      <w:r>
        <w:t xml:space="preserve"> Association of America (FCAA) is a professional association of financial </w:t>
      </w:r>
      <w:proofErr w:type="spellStart"/>
      <w:r>
        <w:t>counseling</w:t>
      </w:r>
      <w:proofErr w:type="spellEnd"/>
      <w:r>
        <w:t xml:space="preserve"> agencies that assist consumers with financial </w:t>
      </w:r>
      <w:proofErr w:type="spellStart"/>
      <w:r>
        <w:t>counseling</w:t>
      </w:r>
      <w:proofErr w:type="spellEnd"/>
      <w:r>
        <w:t xml:space="preserve"> services of all kinds, as well as debt management plans for the repayment of unsecured debts.</w:t>
      </w:r>
    </w:p>
    <w:p w14:paraId="4B59A3CA" w14:textId="77777777" w:rsidR="00175B41" w:rsidRDefault="00175B41" w:rsidP="00175B41">
      <w:r>
        <w:tab/>
        <w:t>•</w:t>
      </w:r>
      <w:r>
        <w:tab/>
        <w:t xml:space="preserve">National Foundation for Credit </w:t>
      </w:r>
      <w:proofErr w:type="spellStart"/>
      <w:r>
        <w:t>Counseling</w:t>
      </w:r>
      <w:proofErr w:type="spellEnd"/>
      <w:r>
        <w:t xml:space="preserve"> (NFCC) is one of the oldest networks of non-profit financial </w:t>
      </w:r>
      <w:proofErr w:type="spellStart"/>
      <w:r>
        <w:t>counseling</w:t>
      </w:r>
      <w:proofErr w:type="spellEnd"/>
      <w:r>
        <w:t xml:space="preserve"> agencies. The NFCC helps people to defeat their debt and look forward with confidence.</w:t>
      </w:r>
    </w:p>
    <w:p w14:paraId="48ED491C" w14:textId="77777777" w:rsidR="00175B41" w:rsidRDefault="00175B41" w:rsidP="00175B41"/>
    <w:p w14:paraId="521A9103" w14:textId="77777777" w:rsidR="00175B41" w:rsidRDefault="00175B41" w:rsidP="00175B41">
      <w:r>
        <w:tab/>
        <w:t>•</w:t>
      </w:r>
      <w:r>
        <w:tab/>
        <w:t xml:space="preserve">Data Protection and Privacy. We are committed to protecting your personal data and privacy. Our data usage policy, detailing how we collect, use, and protect User data, especially concerning responsible gaming initiatives, is available. </w:t>
      </w:r>
    </w:p>
    <w:p w14:paraId="6039F1C3" w14:textId="77777777" w:rsidR="00175B41" w:rsidRDefault="00175B41" w:rsidP="00175B41"/>
    <w:p w14:paraId="29FC9F3B" w14:textId="77777777" w:rsidR="00175B41" w:rsidRDefault="00175B41" w:rsidP="00175B41">
      <w:r>
        <w:tab/>
        <w:t>•</w:t>
      </w:r>
      <w:r>
        <w:tab/>
        <w:t xml:space="preserve">Regular Policy Review. We commit to an annual review and update of this Responsible Gaming Policy to ensure it remains current with best practices, regulations, and emerging responsible gaming strategies. </w:t>
      </w:r>
    </w:p>
    <w:p w14:paraId="5B7568A8" w14:textId="77777777" w:rsidR="00175B41" w:rsidRDefault="00175B41" w:rsidP="00175B41"/>
    <w:p w14:paraId="423CE726" w14:textId="77777777" w:rsidR="00175B41" w:rsidRDefault="00175B41" w:rsidP="00175B41"/>
    <w:p w14:paraId="28C16735" w14:textId="357C68C8" w:rsidR="00E22C75" w:rsidRDefault="00175B41" w:rsidP="00175B41">
      <w:r>
        <w:t xml:space="preserve">© 2026 </w:t>
      </w:r>
      <w:proofErr w:type="spellStart"/>
      <w:r>
        <w:t>HealthyLineups</w:t>
      </w:r>
      <w:proofErr w:type="spellEnd"/>
      <w:r>
        <w:t xml:space="preserve"> LLC All rights reserved.</w:t>
      </w:r>
    </w:p>
    <w:sectPr w:rsidR="00E22C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B41"/>
    <w:rsid w:val="00175B41"/>
    <w:rsid w:val="00A3126C"/>
    <w:rsid w:val="00DF0E3A"/>
    <w:rsid w:val="00E22C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21F6499"/>
  <w15:chartTrackingRefBased/>
  <w15:docId w15:val="{53B010C2-2695-9948-B428-5D1A60BED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5B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5B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5B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5B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5B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5B4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5B4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5B4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5B4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5B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5B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5B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5B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5B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5B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5B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5B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5B41"/>
    <w:rPr>
      <w:rFonts w:eastAsiaTheme="majorEastAsia" w:cstheme="majorBidi"/>
      <w:color w:val="272727" w:themeColor="text1" w:themeTint="D8"/>
    </w:rPr>
  </w:style>
  <w:style w:type="paragraph" w:styleId="Title">
    <w:name w:val="Title"/>
    <w:basedOn w:val="Normal"/>
    <w:next w:val="Normal"/>
    <w:link w:val="TitleChar"/>
    <w:uiPriority w:val="10"/>
    <w:qFormat/>
    <w:rsid w:val="00175B4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5B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5B4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5B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5B4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75B41"/>
    <w:rPr>
      <w:i/>
      <w:iCs/>
      <w:color w:val="404040" w:themeColor="text1" w:themeTint="BF"/>
    </w:rPr>
  </w:style>
  <w:style w:type="paragraph" w:styleId="ListParagraph">
    <w:name w:val="List Paragraph"/>
    <w:basedOn w:val="Normal"/>
    <w:uiPriority w:val="34"/>
    <w:qFormat/>
    <w:rsid w:val="00175B41"/>
    <w:pPr>
      <w:ind w:left="720"/>
      <w:contextualSpacing/>
    </w:pPr>
  </w:style>
  <w:style w:type="character" w:styleId="IntenseEmphasis">
    <w:name w:val="Intense Emphasis"/>
    <w:basedOn w:val="DefaultParagraphFont"/>
    <w:uiPriority w:val="21"/>
    <w:qFormat/>
    <w:rsid w:val="00175B41"/>
    <w:rPr>
      <w:i/>
      <w:iCs/>
      <w:color w:val="0F4761" w:themeColor="accent1" w:themeShade="BF"/>
    </w:rPr>
  </w:style>
  <w:style w:type="paragraph" w:styleId="IntenseQuote">
    <w:name w:val="Intense Quote"/>
    <w:basedOn w:val="Normal"/>
    <w:next w:val="Normal"/>
    <w:link w:val="IntenseQuoteChar"/>
    <w:uiPriority w:val="30"/>
    <w:qFormat/>
    <w:rsid w:val="00175B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5B41"/>
    <w:rPr>
      <w:i/>
      <w:iCs/>
      <w:color w:val="0F4761" w:themeColor="accent1" w:themeShade="BF"/>
    </w:rPr>
  </w:style>
  <w:style w:type="character" w:styleId="IntenseReference">
    <w:name w:val="Intense Reference"/>
    <w:basedOn w:val="DefaultParagraphFont"/>
    <w:uiPriority w:val="32"/>
    <w:qFormat/>
    <w:rsid w:val="00175B4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803</Words>
  <Characters>4583</Characters>
  <Application>Microsoft Office Word</Application>
  <DocSecurity>0</DocSecurity>
  <Lines>38</Lines>
  <Paragraphs>10</Paragraphs>
  <ScaleCrop>false</ScaleCrop>
  <Company/>
  <LinksUpToDate>false</LinksUpToDate>
  <CharactersWithSpaces>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Reck</dc:creator>
  <cp:keywords/>
  <dc:description/>
  <cp:lastModifiedBy>Robert Reck</cp:lastModifiedBy>
  <cp:revision>1</cp:revision>
  <dcterms:created xsi:type="dcterms:W3CDTF">2026-04-03T22:08:00Z</dcterms:created>
  <dcterms:modified xsi:type="dcterms:W3CDTF">2026-04-03T22:08:00Z</dcterms:modified>
</cp:coreProperties>
</file>