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62626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-857249</wp:posOffset>
                </wp:positionH>
                <wp:positionV relativeFrom="paragraph">
                  <wp:posOffset>0</wp:posOffset>
                </wp:positionV>
                <wp:extent cx="7818120" cy="552768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5527682" cy="781812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-857249</wp:posOffset>
                </wp:positionH>
                <wp:positionV relativeFrom="paragraph">
                  <wp:posOffset>0</wp:posOffset>
                </wp:positionV>
                <wp:extent cx="7818120" cy="552768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0" cy="5527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148589</wp:posOffset>
            </wp:positionH>
            <wp:positionV relativeFrom="paragraph">
              <wp:posOffset>-448944</wp:posOffset>
            </wp:positionV>
            <wp:extent cx="1223963" cy="877173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8771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270.0" w:type="dxa"/>
        <w:jc w:val="left"/>
        <w:tblInd w:w="180.0" w:type="dxa"/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pStyle w:val="Heading1"/>
              <w:ind w:firstLine="0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HOA Board Meeting Agenda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March 17,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Style w:val="Heading2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 to order, </w:t>
            </w:r>
            <w:r w:rsidDel="00000000" w:rsidR="00000000" w:rsidRPr="00000000">
              <w:rPr>
                <w:rtl w:val="0"/>
              </w:rPr>
              <w:t xml:space="preserve">7:00PM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Roll call: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last meeting’s minutes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Old Business: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Matter - Outstanding refund from the </w:t>
            </w: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ank on the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heck </w:t>
            </w: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raud occurrence (10min)</w:t>
            </w:r>
          </w:p>
          <w:p w:rsidR="00000000" w:rsidDel="00000000" w:rsidP="00000000" w:rsidRDefault="00000000" w:rsidRPr="00000000" w14:paraId="0000000A">
            <w:pPr>
              <w:spacing w:before="116" w:lineRule="auto"/>
              <w:ind w:left="504" w:hanging="216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Resolution of matter   2) Statement for the record   3) Action to prevent a repeat of the event</w:t>
            </w:r>
          </w:p>
          <w:p w:rsidR="00000000" w:rsidDel="00000000" w:rsidP="00000000" w:rsidRDefault="00000000" w:rsidRPr="00000000" w14:paraId="0000000B">
            <w:pPr>
              <w:spacing w:before="116" w:lineRule="auto"/>
              <w:ind w:left="504" w:hanging="216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Treasurer has obtained a debit card from the HOA account</w:t>
            </w:r>
            <w:r w:rsidDel="00000000" w:rsidR="00000000" w:rsidRPr="00000000">
              <w:rPr>
                <w:rtl w:val="0"/>
              </w:rPr>
              <w:t xml:space="preserve"> -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can this be used for future payments to avoid a "check" fraud event.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ind w:left="720" w:firstLine="0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reporting</w:t>
            </w:r>
            <w:r w:rsidDel="00000000" w:rsidR="00000000" w:rsidRPr="00000000">
              <w:rPr>
                <w:rtl w:val="0"/>
              </w:rPr>
              <w:t xml:space="preserve"> - T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 Molitors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Treasurer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240" w:before="240" w:lineRule="auto"/>
              <w:ind w:left="940" w:hanging="360"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Motion for</w:t>
            </w:r>
            <w:r w:rsidDel="00000000" w:rsidR="00000000" w:rsidRPr="00000000">
              <w:rPr>
                <w:rtl w:val="0"/>
              </w:rPr>
              <w:t xml:space="preserve"> S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ecretary and 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reasurer to communicate via email for bank statements transfer and archivin</w:t>
            </w:r>
            <w:r w:rsidDel="00000000" w:rsidR="00000000" w:rsidRPr="00000000">
              <w:rPr>
                <w:rtl w:val="0"/>
              </w:rPr>
              <w:t xml:space="preserve">g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business: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Matter - Review landscaping bid proposals and decide which vendor will cover 2025. (10min)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1) Review the three bids 2) Discuss discrepancy 3) Vendor decision and notification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Secretary has reviewed the common areas and understands the different requirements.</w:t>
            </w:r>
          </w:p>
          <w:p w:rsidR="00000000" w:rsidDel="00000000" w:rsidP="00000000" w:rsidRDefault="00000000" w:rsidRPr="00000000" w14:paraId="00000012">
            <w:pPr>
              <w:spacing w:after="200" w:before="200" w:lineRule="auto"/>
              <w:ind w:left="504" w:firstLine="0"/>
              <w:rPr/>
            </w:pPr>
            <w:r w:rsidDel="00000000" w:rsidR="00000000" w:rsidRPr="00000000">
              <w:rPr>
                <w:rtl w:val="0"/>
              </w:rPr>
              <w:t xml:space="preserve">reporting - Judy Cox - VP / Secretary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after="200" w:before="200" w:lineRule="auto"/>
              <w:ind w:left="940" w:hanging="360"/>
            </w:pPr>
            <w:r w:rsidDel="00000000" w:rsidR="00000000" w:rsidRPr="00000000">
              <w:rPr>
                <w:rtl w:val="0"/>
              </w:rPr>
              <w:t xml:space="preserve">Motion to approve selected vendor for year March 2025 - March 2026</w:t>
            </w:r>
          </w:p>
          <w:p w:rsidR="00000000" w:rsidDel="00000000" w:rsidP="00000000" w:rsidRDefault="00000000" w:rsidRPr="00000000" w14:paraId="00000014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Matter - Contingency / Succession planning (10min)</w:t>
            </w:r>
          </w:p>
          <w:p w:rsidR="00000000" w:rsidDel="00000000" w:rsidP="00000000" w:rsidRDefault="00000000" w:rsidRPr="00000000" w14:paraId="00000015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1) Discuss how to attend a disruption of operation 2) Ease of transfer of duties 3) when to execute contingency / succession</w:t>
            </w:r>
          </w:p>
          <w:p w:rsidR="00000000" w:rsidDel="00000000" w:rsidP="00000000" w:rsidRDefault="00000000" w:rsidRPr="00000000" w14:paraId="00000016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"Board members need to be able to pivot in a quick emergency situation, albeit sickness / death or other event that will prevent a board member from carrying out fiduciary duties."</w:t>
            </w:r>
          </w:p>
          <w:p w:rsidR="00000000" w:rsidDel="00000000" w:rsidP="00000000" w:rsidRDefault="00000000" w:rsidRPr="00000000" w14:paraId="00000017">
            <w:pPr>
              <w:spacing w:after="200" w:before="200" w:lineRule="auto"/>
              <w:ind w:left="504" w:firstLine="0"/>
              <w:rPr/>
            </w:pPr>
            <w:r w:rsidDel="00000000" w:rsidR="00000000" w:rsidRPr="00000000">
              <w:rPr>
                <w:rtl w:val="0"/>
              </w:rPr>
              <w:t xml:space="preserve">reporting - Chris Suarez - President</w:t>
            </w:r>
          </w:p>
          <w:p w:rsidR="00000000" w:rsidDel="00000000" w:rsidP="00000000" w:rsidRDefault="00000000" w:rsidRPr="00000000" w14:paraId="00000018">
            <w:pPr>
              <w:spacing w:after="200" w:before="2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Matter - Improvement to the HOA (10min)</w:t>
            </w:r>
          </w:p>
          <w:p w:rsidR="00000000" w:rsidDel="00000000" w:rsidP="00000000" w:rsidRDefault="00000000" w:rsidRPr="00000000" w14:paraId="00000019">
            <w:pPr>
              <w:spacing w:after="200" w:before="200" w:lineRule="auto"/>
              <w:ind w:left="504" w:firstLine="0"/>
              <w:rPr/>
            </w:pPr>
            <w:r w:rsidDel="00000000" w:rsidR="00000000" w:rsidRPr="00000000">
              <w:rPr>
                <w:rtl w:val="0"/>
              </w:rPr>
              <w:t xml:space="preserve">1) Power washing the monument &amp; sidewalks on both sides of Clubcommons adjacent to the common areas maintained by the HOA</w:t>
            </w:r>
          </w:p>
          <w:p w:rsidR="00000000" w:rsidDel="00000000" w:rsidP="00000000" w:rsidRDefault="00000000" w:rsidRPr="00000000" w14:paraId="0000001A">
            <w:pPr>
              <w:spacing w:after="200" w:before="200" w:lineRule="auto"/>
              <w:ind w:left="504" w:firstLine="0"/>
              <w:rPr/>
            </w:pPr>
            <w:r w:rsidDel="00000000" w:rsidR="00000000" w:rsidRPr="00000000">
              <w:rPr>
                <w:rtl w:val="0"/>
              </w:rPr>
              <w:t xml:space="preserve">2) Mailbox replacement initiative - Open floor discussion for any attending Homeowner to provide opinion on the matter.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afterAutospacing="0" w:before="200" w:lineRule="auto"/>
              <w:ind w:left="940" w:hanging="360"/>
            </w:pPr>
            <w:r w:rsidDel="00000000" w:rsidR="00000000" w:rsidRPr="00000000">
              <w:rPr>
                <w:rtl w:val="0"/>
              </w:rPr>
              <w:t xml:space="preserve">a) Creating a mailer to Poll the subdivision on changing and upgrading the "pigeon" mailboxes to a modern metal (long lasting)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940" w:hanging="360"/>
            </w:pPr>
            <w:r w:rsidDel="00000000" w:rsidR="00000000" w:rsidRPr="00000000">
              <w:rPr>
                <w:rtl w:val="0"/>
              </w:rPr>
              <w:t xml:space="preserve">b) discussion on the implementation process.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200" w:before="0" w:beforeAutospacing="0" w:lineRule="auto"/>
              <w:ind w:left="940" w:hanging="360"/>
            </w:pPr>
            <w:r w:rsidDel="00000000" w:rsidR="00000000" w:rsidRPr="00000000">
              <w:rPr>
                <w:rtl w:val="0"/>
              </w:rPr>
              <w:t xml:space="preserve">c) group buy option for discount opportunity.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Ind w:w="180.0" w:type="dxa"/>
        <w:tblLayout w:type="fixed"/>
        <w:tblLook w:val="0600"/>
      </w:tblPr>
      <w:tblGrid>
        <w:gridCol w:w="2385"/>
        <w:gridCol w:w="2295"/>
        <w:gridCol w:w="765"/>
        <w:gridCol w:w="765"/>
        <w:gridCol w:w="765"/>
        <w:gridCol w:w="2295"/>
        <w:tblGridChange w:id="0">
          <w:tblGrid>
            <w:gridCol w:w="2385"/>
            <w:gridCol w:w="2295"/>
            <w:gridCol w:w="765"/>
            <w:gridCol w:w="765"/>
            <w:gridCol w:w="765"/>
            <w:gridCol w:w="2295"/>
          </w:tblGrid>
        </w:tblGridChange>
      </w:tblGrid>
      <w:tr>
        <w:trPr>
          <w:cantSplit w:val="0"/>
          <w:trHeight w:val="648" w:hRule="atLeast"/>
          <w:tblHeader w:val="0"/>
        </w:trPr>
        <w:tc>
          <w:tcPr>
            <w:tcBorders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Style w:val="Heading3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Style w:val="Heading3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Style w:val="Heading3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Style w:val="Heading3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6" w:hRule="atLeast"/>
          <w:tblHeader w:val="0"/>
        </w:trPr>
        <w:tc>
          <w:tcPr>
            <w:tcBorders>
              <w:top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62626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0" w:top="1152" w:left="135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334"/>
      </w:tabs>
      <w:spacing w:after="0" w:before="0" w:line="240" w:lineRule="auto"/>
      <w:ind w:left="0" w:right="-720" w:firstLine="0"/>
      <w:jc w:val="center"/>
      <w:rPr>
        <w:rFonts w:ascii="Source Sans Pro" w:cs="Source Sans Pro" w:eastAsia="Source Sans Pro" w:hAnsi="Source Sans Pro"/>
        <w:b w:val="0"/>
        <w:i w:val="0"/>
        <w:smallCaps w:val="0"/>
        <w:strike w:val="0"/>
        <w:color w:val="2626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504" w:hanging="216"/>
      </w:pPr>
      <w:rPr>
        <w:rFonts w:ascii="Source Sans Pro" w:cs="Source Sans Pro" w:eastAsia="Source Sans Pro" w:hAnsi="Source Sans Pro"/>
        <w:b w:val="1"/>
        <w:i w:val="0"/>
        <w:color w:val="5a8f8e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="Source Sans Pro" w:cs="Source Sans Pro" w:eastAsia="Source Sans Pro" w:hAnsi="Source Sans Pro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588"/>
      </w:pPr>
      <w:rPr/>
    </w:lvl>
    <w:lvl w:ilvl="3">
      <w:start w:val="1"/>
      <w:numFmt w:val="decimal"/>
      <w:lvlText w:val="(%4)"/>
      <w:lvlJc w:val="left"/>
      <w:pPr>
        <w:ind w:left="1440" w:hanging="588"/>
      </w:pPr>
      <w:rPr/>
    </w:lvl>
    <w:lvl w:ilvl="4">
      <w:start w:val="1"/>
      <w:numFmt w:val="lowerLetter"/>
      <w:lvlText w:val="(%5)"/>
      <w:lvlJc w:val="left"/>
      <w:pPr>
        <w:ind w:left="1800" w:hanging="588"/>
      </w:pPr>
      <w:rPr/>
    </w:lvl>
    <w:lvl w:ilvl="5">
      <w:start w:val="1"/>
      <w:numFmt w:val="lowerRoman"/>
      <w:lvlText w:val="(%6)"/>
      <w:lvlJc w:val="left"/>
      <w:pPr>
        <w:ind w:left="2160" w:hanging="588"/>
      </w:pPr>
      <w:rPr/>
    </w:lvl>
    <w:lvl w:ilvl="6">
      <w:start w:val="1"/>
      <w:numFmt w:val="decimal"/>
      <w:lvlText w:val="%7."/>
      <w:lvlJc w:val="left"/>
      <w:pPr>
        <w:ind w:left="2520" w:hanging="588"/>
      </w:pPr>
      <w:rPr/>
    </w:lvl>
    <w:lvl w:ilvl="7">
      <w:start w:val="1"/>
      <w:numFmt w:val="lowerLetter"/>
      <w:lvlText w:val="%8."/>
      <w:lvlJc w:val="left"/>
      <w:pPr>
        <w:ind w:left="2880" w:hanging="588"/>
      </w:pPr>
      <w:rPr/>
    </w:lvl>
    <w:lvl w:ilvl="8">
      <w:start w:val="1"/>
      <w:numFmt w:val="lowerRoman"/>
      <w:lvlText w:val="%9."/>
      <w:lvlJc w:val="left"/>
      <w:pPr>
        <w:ind w:left="3240" w:hanging="58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color w:val="262626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Source Sans Pro" w:cs="Source Sans Pro" w:eastAsia="Source Sans Pro" w:hAnsi="Source Sans Pro"/>
      <w:b w:val="1"/>
      <w:smallCaps w:val="1"/>
      <w:color w:val="5b8f8e"/>
      <w:sz w:val="72"/>
      <w:szCs w:val="72"/>
    </w:rPr>
  </w:style>
  <w:style w:type="paragraph" w:styleId="Heading2">
    <w:name w:val="heading 2"/>
    <w:basedOn w:val="Normal"/>
    <w:next w:val="Normal"/>
    <w:pPr>
      <w:keepNext w:val="1"/>
      <w:spacing w:after="60" w:before="60" w:line="240" w:lineRule="auto"/>
    </w:pPr>
    <w:rPr>
      <w:color w:val="2d4747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i w:val="1"/>
      <w:color w:val="d3912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color w:val="d3912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color w:val="8c6016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  <w:ind w:left="187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4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44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