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A8" w:rsidRDefault="00086A75">
      <w:r>
        <w:fldChar w:fldCharType="begin"/>
      </w:r>
      <w:r>
        <w:instrText xml:space="preserve"> HYPERLINK "</w:instrText>
      </w:r>
      <w:r w:rsidRPr="00086A75">
        <w:instrText>https://www.ptsd.va.gov/professional/PTSD-overview/dsm5_criteria_ptsd.asp</w:instrText>
      </w:r>
      <w:r>
        <w:instrText xml:space="preserve">" </w:instrText>
      </w:r>
      <w:r>
        <w:fldChar w:fldCharType="separate"/>
      </w:r>
      <w:r w:rsidRPr="00B83765">
        <w:rPr>
          <w:rStyle w:val="Hyperlink"/>
        </w:rPr>
        <w:t>https://www.ptsd.va.gov/professional/PTSD-overview/dsm5_criteria_ptsd.asp</w:t>
      </w:r>
      <w:r>
        <w:fldChar w:fldCharType="end"/>
      </w:r>
    </w:p>
    <w:p w:rsidR="00086A75" w:rsidRDefault="00086A75"/>
    <w:p w:rsidR="00086A75" w:rsidRPr="00086A75" w:rsidRDefault="00086A75" w:rsidP="00086A75">
      <w:pPr>
        <w:spacing w:before="180" w:after="180" w:line="312" w:lineRule="atLeast"/>
        <w:outlineLvl w:val="2"/>
        <w:rPr>
          <w:rFonts w:ascii="Georgia" w:eastAsia="Times New Roman" w:hAnsi="Georgia" w:cs="Times New Roman"/>
          <w:color w:val="003F72"/>
          <w:sz w:val="30"/>
          <w:szCs w:val="30"/>
        </w:rPr>
      </w:pPr>
      <w:r w:rsidRPr="00086A75">
        <w:rPr>
          <w:rFonts w:ascii="Georgia" w:eastAsia="Times New Roman" w:hAnsi="Georgia" w:cs="Times New Roman"/>
          <w:i/>
          <w:iCs/>
          <w:color w:val="003F72"/>
          <w:sz w:val="30"/>
          <w:szCs w:val="30"/>
        </w:rPr>
        <w:t>DSM-5</w:t>
      </w:r>
      <w:r w:rsidRPr="00086A75">
        <w:rPr>
          <w:rFonts w:ascii="Georgia" w:eastAsia="Times New Roman" w:hAnsi="Georgia" w:cs="Times New Roman"/>
          <w:color w:val="003F72"/>
          <w:sz w:val="30"/>
          <w:szCs w:val="30"/>
        </w:rPr>
        <w:t> Criteria for PTSD</w:t>
      </w:r>
    </w:p>
    <w:p w:rsid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color w:val="2E2E2E"/>
          <w:sz w:val="26"/>
          <w:szCs w:val="26"/>
        </w:rPr>
        <w:t xml:space="preserve">Full copyrighted criteria are available from the American Psychiatric Association (1). </w:t>
      </w:r>
      <w:proofErr w:type="gramStart"/>
      <w:r w:rsidRPr="00086A75">
        <w:rPr>
          <w:rFonts w:ascii="Arial" w:eastAsia="Times New Roman" w:hAnsi="Arial" w:cs="Arial"/>
          <w:color w:val="2E2E2E"/>
          <w:sz w:val="26"/>
          <w:szCs w:val="26"/>
        </w:rPr>
        <w:t>All of</w:t>
      </w:r>
      <w:proofErr w:type="gramEnd"/>
      <w:r w:rsidRPr="00086A75">
        <w:rPr>
          <w:rFonts w:ascii="Arial" w:eastAsia="Times New Roman" w:hAnsi="Arial" w:cs="Arial"/>
          <w:color w:val="2E2E2E"/>
          <w:sz w:val="26"/>
          <w:szCs w:val="26"/>
        </w:rPr>
        <w:t xml:space="preserve"> the criteria are required for the diagnosis of PTSD. The following text summarizes the diagnostic criteria: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A (one 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The person was exposed to: death, threatened death, actual or threatened serious injury, or actual or threatened sexual violence, in the following way(s):</w:t>
      </w:r>
    </w:p>
    <w:p w:rsidR="00086A75" w:rsidRPr="00086A75" w:rsidRDefault="00086A75" w:rsidP="00086A75">
      <w:pPr>
        <w:numPr>
          <w:ilvl w:val="0"/>
          <w:numId w:val="1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Direct exposure</w:t>
      </w:r>
    </w:p>
    <w:p w:rsidR="00086A75" w:rsidRPr="00086A75" w:rsidRDefault="00086A75" w:rsidP="00086A75">
      <w:pPr>
        <w:numPr>
          <w:ilvl w:val="0"/>
          <w:numId w:val="1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Witnessing the trauma</w:t>
      </w:r>
    </w:p>
    <w:p w:rsidR="00086A75" w:rsidRPr="00086A75" w:rsidRDefault="00086A75" w:rsidP="00086A75">
      <w:pPr>
        <w:numPr>
          <w:ilvl w:val="0"/>
          <w:numId w:val="1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Learning that a relative or close friend was exposed to a trauma</w:t>
      </w:r>
    </w:p>
    <w:p w:rsidR="00086A75" w:rsidRPr="00086A75" w:rsidRDefault="00086A75" w:rsidP="00086A75">
      <w:pPr>
        <w:numPr>
          <w:ilvl w:val="0"/>
          <w:numId w:val="1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 xml:space="preserve">Indirect exposure to aversive details of the trauma, usually </w:t>
      </w:r>
      <w:proofErr w:type="gramStart"/>
      <w:r w:rsidRPr="00086A75">
        <w:rPr>
          <w:rFonts w:ascii="Arial" w:eastAsia="Times New Roman" w:hAnsi="Arial" w:cs="Arial"/>
          <w:color w:val="2E2E2E"/>
          <w:sz w:val="20"/>
          <w:szCs w:val="20"/>
        </w:rPr>
        <w:t>in the course of</w:t>
      </w:r>
      <w:proofErr w:type="gramEnd"/>
      <w:r w:rsidRPr="00086A75">
        <w:rPr>
          <w:rFonts w:ascii="Arial" w:eastAsia="Times New Roman" w:hAnsi="Arial" w:cs="Arial"/>
          <w:color w:val="2E2E2E"/>
          <w:sz w:val="20"/>
          <w:szCs w:val="20"/>
        </w:rPr>
        <w:t xml:space="preserve"> professional duties (e.g., first responders, medics)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B (one 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The traumatic event is persistently re-experienced, in the following way(s):</w:t>
      </w:r>
    </w:p>
    <w:p w:rsidR="00086A75" w:rsidRPr="00086A75" w:rsidRDefault="00086A75" w:rsidP="00086A75">
      <w:pPr>
        <w:numPr>
          <w:ilvl w:val="0"/>
          <w:numId w:val="2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Intrusive thoughts</w:t>
      </w:r>
    </w:p>
    <w:p w:rsidR="00086A75" w:rsidRPr="00086A75" w:rsidRDefault="00086A75" w:rsidP="00086A75">
      <w:pPr>
        <w:numPr>
          <w:ilvl w:val="0"/>
          <w:numId w:val="2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Nightmares</w:t>
      </w:r>
    </w:p>
    <w:p w:rsidR="00086A75" w:rsidRPr="00086A75" w:rsidRDefault="00086A75" w:rsidP="00086A75">
      <w:pPr>
        <w:numPr>
          <w:ilvl w:val="0"/>
          <w:numId w:val="2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Flashbacks</w:t>
      </w:r>
    </w:p>
    <w:p w:rsidR="00086A75" w:rsidRPr="00086A75" w:rsidRDefault="00086A75" w:rsidP="00086A75">
      <w:pPr>
        <w:numPr>
          <w:ilvl w:val="0"/>
          <w:numId w:val="2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Emotional distress after exposure to traumatic reminders</w:t>
      </w:r>
    </w:p>
    <w:p w:rsidR="00086A75" w:rsidRPr="00086A75" w:rsidRDefault="00086A75" w:rsidP="00086A75">
      <w:pPr>
        <w:numPr>
          <w:ilvl w:val="0"/>
          <w:numId w:val="2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Physical reactivity after exposure to traumatic reminders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C (one 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Avoidance of trauma-related stimuli after the trauma, in the following way(s):</w:t>
      </w:r>
    </w:p>
    <w:p w:rsidR="00086A75" w:rsidRPr="00086A75" w:rsidRDefault="00086A75" w:rsidP="00086A75">
      <w:pPr>
        <w:numPr>
          <w:ilvl w:val="0"/>
          <w:numId w:val="3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Trauma-related thoughts or feelings</w:t>
      </w:r>
    </w:p>
    <w:p w:rsidR="00086A75" w:rsidRPr="00086A75" w:rsidRDefault="00086A75" w:rsidP="00086A75">
      <w:pPr>
        <w:numPr>
          <w:ilvl w:val="0"/>
          <w:numId w:val="3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Trauma-related reminders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D (two 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Negative thoughts or feelings that began or worsened after the trauma, in the following way(s):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Inability to recall key features of the trauma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Overly negative thoughts and assumptions about oneself or the world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Exaggerated blame of self or others for causing the trauma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Negative affect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Decreased interest in activities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Feeling isolated</w:t>
      </w:r>
    </w:p>
    <w:p w:rsidR="00086A75" w:rsidRPr="00086A75" w:rsidRDefault="00086A75" w:rsidP="00086A75">
      <w:pPr>
        <w:numPr>
          <w:ilvl w:val="0"/>
          <w:numId w:val="4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Difficulty experiencing positive affect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lastRenderedPageBreak/>
        <w:t>Criterion E (two 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Trauma-related arousal and reactivity that began or worsened after the trauma, in the following way(s):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Irritability or aggression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Risky or destructive behavior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Hypervigilance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Heightened startle reaction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Difficulty concentrating</w:t>
      </w:r>
    </w:p>
    <w:p w:rsidR="00086A75" w:rsidRPr="00086A75" w:rsidRDefault="00086A75" w:rsidP="00086A75">
      <w:pPr>
        <w:numPr>
          <w:ilvl w:val="0"/>
          <w:numId w:val="5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Difficulty sleeping</w:t>
      </w:r>
    </w:p>
    <w:p w:rsid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F (required):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Symptoms last for more than 1 month.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</w:p>
    <w:p w:rsid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G (required):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Symptoms create distress or functional impairment (e.g., social, occupational).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</w:p>
    <w:p w:rsid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Criterion H (required):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 Symptoms are not due to medication, substance use, or other illness.</w:t>
      </w: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</w:p>
    <w:p w:rsidR="00086A75" w:rsidRPr="00086A75" w:rsidRDefault="00086A75" w:rsidP="00086A75">
      <w:pPr>
        <w:spacing w:line="360" w:lineRule="atLeast"/>
        <w:rPr>
          <w:rFonts w:ascii="Arial" w:eastAsia="Times New Roman" w:hAnsi="Arial" w:cs="Arial"/>
          <w:color w:val="2E2E2E"/>
          <w:sz w:val="26"/>
          <w:szCs w:val="26"/>
        </w:rPr>
      </w:pPr>
      <w:r w:rsidRPr="00086A75">
        <w:rPr>
          <w:rFonts w:ascii="Arial" w:eastAsia="Times New Roman" w:hAnsi="Arial" w:cs="Arial"/>
          <w:b/>
          <w:bCs/>
          <w:color w:val="2E2E2E"/>
          <w:sz w:val="26"/>
          <w:szCs w:val="26"/>
        </w:rPr>
        <w:t>Two specifications</w:t>
      </w:r>
      <w:r w:rsidRPr="00086A75">
        <w:rPr>
          <w:rFonts w:ascii="Arial" w:eastAsia="Times New Roman" w:hAnsi="Arial" w:cs="Arial"/>
          <w:color w:val="2E2E2E"/>
          <w:sz w:val="26"/>
          <w:szCs w:val="26"/>
        </w:rPr>
        <w:t>:</w:t>
      </w:r>
    </w:p>
    <w:p w:rsidR="00086A75" w:rsidRPr="00086A75" w:rsidRDefault="00086A75" w:rsidP="00086A75">
      <w:pPr>
        <w:numPr>
          <w:ilvl w:val="0"/>
          <w:numId w:val="6"/>
        </w:numPr>
        <w:spacing w:beforeAutospacing="1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hyperlink r:id="rId5" w:tooltip="Dissociative Subtype of PTSD" w:history="1">
        <w:r w:rsidRPr="00086A75">
          <w:rPr>
            <w:rFonts w:ascii="Arial" w:eastAsia="Times New Roman" w:hAnsi="Arial" w:cs="Arial"/>
            <w:b/>
            <w:bCs/>
            <w:color w:val="0B6CB2"/>
            <w:sz w:val="20"/>
            <w:szCs w:val="20"/>
            <w:u w:val="single"/>
          </w:rPr>
          <w:t>Dissociative Specification</w:t>
        </w:r>
      </w:hyperlink>
      <w:r w:rsidRPr="00086A75">
        <w:rPr>
          <w:rFonts w:ascii="Arial" w:eastAsia="Times New Roman" w:hAnsi="Arial" w:cs="Arial"/>
          <w:b/>
          <w:bCs/>
          <w:color w:val="2E2E2E"/>
          <w:sz w:val="20"/>
          <w:szCs w:val="20"/>
        </w:rPr>
        <w:t>.</w:t>
      </w:r>
      <w:r w:rsidRPr="00086A75">
        <w:rPr>
          <w:rFonts w:ascii="Arial" w:eastAsia="Times New Roman" w:hAnsi="Arial" w:cs="Arial"/>
          <w:color w:val="2E2E2E"/>
          <w:sz w:val="20"/>
          <w:szCs w:val="20"/>
        </w:rPr>
        <w:t> In addition to meeting criteria for diagnosis, an individual experiences high levels of either of the following in reaction to trauma-related stimuli:</w:t>
      </w:r>
    </w:p>
    <w:p w:rsidR="00086A75" w:rsidRPr="00086A75" w:rsidRDefault="00086A75" w:rsidP="00086A75">
      <w:pPr>
        <w:numPr>
          <w:ilvl w:val="1"/>
          <w:numId w:val="6"/>
        </w:numPr>
        <w:spacing w:before="100" w:beforeAutospacing="1" w:after="100" w:afterAutospacing="1"/>
        <w:ind w:left="9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Depersonalization. Experience of being an outside observer of or detached from oneself (e.g., feeling as if "this is not happening to me" or one were in a dream).</w:t>
      </w:r>
    </w:p>
    <w:p w:rsidR="00086A75" w:rsidRPr="00086A75" w:rsidRDefault="00086A75" w:rsidP="00086A75">
      <w:pPr>
        <w:numPr>
          <w:ilvl w:val="1"/>
          <w:numId w:val="6"/>
        </w:numPr>
        <w:spacing w:before="100" w:beforeAutospacing="1" w:after="100" w:afterAutospacing="1"/>
        <w:ind w:left="9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color w:val="2E2E2E"/>
          <w:sz w:val="20"/>
          <w:szCs w:val="20"/>
        </w:rPr>
        <w:t>Derealization. Experience of unreality, distance, or distortion (e.g., "things are not real").</w:t>
      </w:r>
    </w:p>
    <w:p w:rsidR="00086A75" w:rsidRPr="00086A75" w:rsidRDefault="00086A75" w:rsidP="00086A75">
      <w:pPr>
        <w:numPr>
          <w:ilvl w:val="0"/>
          <w:numId w:val="6"/>
        </w:numPr>
        <w:spacing w:before="100" w:beforeAutospacing="1" w:after="100" w:afterAutospacing="1"/>
        <w:ind w:left="660"/>
        <w:rPr>
          <w:rFonts w:ascii="Arial" w:eastAsia="Times New Roman" w:hAnsi="Arial" w:cs="Arial"/>
          <w:color w:val="2E2E2E"/>
          <w:sz w:val="20"/>
          <w:szCs w:val="20"/>
        </w:rPr>
      </w:pPr>
      <w:r w:rsidRPr="00086A75">
        <w:rPr>
          <w:rFonts w:ascii="Arial" w:eastAsia="Times New Roman" w:hAnsi="Arial" w:cs="Arial"/>
          <w:b/>
          <w:bCs/>
          <w:color w:val="2E2E2E"/>
          <w:sz w:val="20"/>
          <w:szCs w:val="20"/>
        </w:rPr>
        <w:t>Delayed Specification.</w:t>
      </w:r>
      <w:r w:rsidRPr="00086A75">
        <w:rPr>
          <w:rFonts w:ascii="Arial" w:eastAsia="Times New Roman" w:hAnsi="Arial" w:cs="Arial"/>
          <w:color w:val="2E2E2E"/>
          <w:sz w:val="20"/>
          <w:szCs w:val="20"/>
        </w:rPr>
        <w:t> Full diagnostic criteria are not met until at least six months after the trauma(s), although onset of symptoms may occur immediately.</w:t>
      </w:r>
    </w:p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/>
    <w:p w:rsidR="00086A75" w:rsidRDefault="00086A75">
      <w:hyperlink r:id="rId6" w:history="1">
        <w:r w:rsidRPr="00B83765">
          <w:rPr>
            <w:rStyle w:val="Hyperlink"/>
          </w:rPr>
          <w:t>https://adaa.org/living-with-anxiety/children/posttraumatic-stress-disorder-ptsd/symptoms#</w:t>
        </w:r>
      </w:hyperlink>
    </w:p>
    <w:p w:rsidR="00086A75" w:rsidRDefault="00086A75"/>
    <w:p w:rsidR="00086A75" w:rsidRDefault="00086A75" w:rsidP="00086A75">
      <w:pPr>
        <w:pStyle w:val="Heading1"/>
        <w:spacing w:before="0"/>
        <w:rPr>
          <w:rFonts w:ascii="Arimo" w:hAnsi="Arimo"/>
          <w:color w:val="009FA6"/>
          <w:sz w:val="42"/>
          <w:szCs w:val="42"/>
        </w:rPr>
      </w:pPr>
      <w:r>
        <w:rPr>
          <w:rStyle w:val="field"/>
          <w:rFonts w:ascii="Arimo" w:hAnsi="Arimo"/>
          <w:color w:val="009FA6"/>
          <w:sz w:val="42"/>
          <w:szCs w:val="42"/>
        </w:rPr>
        <w:t>PTSD Symptoms in Children Age Six and Younger</w:t>
      </w:r>
    </w:p>
    <w:p w:rsidR="00086A75" w:rsidRDefault="00086A75" w:rsidP="00086A75">
      <w:pPr>
        <w:pStyle w:val="NormalWeb"/>
        <w:spacing w:before="0" w:beforeAutospacing="0" w:after="0" w:afterAutospacing="0" w:line="384" w:lineRule="atLeast"/>
      </w:pPr>
    </w:p>
    <w:p w:rsidR="00086A75" w:rsidRDefault="00086A75" w:rsidP="00086A75">
      <w:pPr>
        <w:pStyle w:val="NormalWeb"/>
        <w:spacing w:before="0" w:beforeAutospacing="0" w:after="0" w:afterAutospacing="0" w:line="384" w:lineRule="atLeast"/>
      </w:pPr>
      <w:r>
        <w:t>Exposure to actual or threatened death, serious injury, or sexual violation:</w:t>
      </w:r>
    </w:p>
    <w:p w:rsidR="00086A75" w:rsidRDefault="00086A75" w:rsidP="00086A75">
      <w:pPr>
        <w:numPr>
          <w:ilvl w:val="0"/>
          <w:numId w:val="8"/>
        </w:numPr>
        <w:spacing w:after="30" w:line="384" w:lineRule="atLeast"/>
        <w:ind w:left="300"/>
      </w:pPr>
      <w:r>
        <w:t>direct experience </w:t>
      </w:r>
    </w:p>
    <w:p w:rsidR="00086A75" w:rsidRDefault="00086A75" w:rsidP="00086A75">
      <w:pPr>
        <w:numPr>
          <w:ilvl w:val="0"/>
          <w:numId w:val="8"/>
        </w:numPr>
        <w:spacing w:line="384" w:lineRule="atLeast"/>
        <w:ind w:left="300"/>
      </w:pPr>
      <w:r>
        <w:t>witnessing the events as they occurred to others, especially primary caregivers </w:t>
      </w:r>
      <w:r>
        <w:rPr>
          <w:rStyle w:val="Emphasis"/>
        </w:rPr>
        <w:t>(Note: Does not include events witnessed only in electronic media, television, movies, or pictures.)</w:t>
      </w:r>
    </w:p>
    <w:p w:rsidR="00086A75" w:rsidRDefault="00086A75" w:rsidP="00086A75">
      <w:pPr>
        <w:numPr>
          <w:ilvl w:val="0"/>
          <w:numId w:val="8"/>
        </w:numPr>
        <w:spacing w:after="30" w:line="384" w:lineRule="atLeast"/>
        <w:ind w:left="300"/>
      </w:pPr>
      <w:r>
        <w:t>learning that the traumatic events occurred to a parent or caregiving figure</w:t>
      </w: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  <w:r>
        <w:t>The presence of one or more of the following:</w:t>
      </w:r>
    </w:p>
    <w:p w:rsidR="00086A75" w:rsidRDefault="00086A75" w:rsidP="00086A75">
      <w:pPr>
        <w:numPr>
          <w:ilvl w:val="0"/>
          <w:numId w:val="9"/>
        </w:numPr>
        <w:spacing w:line="384" w:lineRule="atLeast"/>
        <w:ind w:left="300"/>
      </w:pPr>
      <w:r>
        <w:t>spontaneous or cued recurrent, involuntary, and intrusive distressing memories of the traumatic events </w:t>
      </w:r>
      <w:r>
        <w:rPr>
          <w:rStyle w:val="Emphasis"/>
        </w:rPr>
        <w:t>(Note: Spontaneous and intrusive memories may not necessarily appear distressing and may be expressed as play reenactment.)</w:t>
      </w:r>
    </w:p>
    <w:p w:rsidR="00086A75" w:rsidRDefault="00086A75" w:rsidP="00086A75">
      <w:pPr>
        <w:numPr>
          <w:ilvl w:val="0"/>
          <w:numId w:val="9"/>
        </w:numPr>
        <w:spacing w:line="384" w:lineRule="atLeast"/>
        <w:ind w:left="300"/>
      </w:pPr>
      <w:r>
        <w:t>recurrent distressing dreams related to the content and/or feeling of the traumatic events </w:t>
      </w:r>
      <w:r>
        <w:rPr>
          <w:rStyle w:val="Emphasis"/>
        </w:rPr>
        <w:t>(Note: It may not be possible to ascertain that the frightening content is related to the traumatic event.)</w:t>
      </w:r>
    </w:p>
    <w:p w:rsidR="00086A75" w:rsidRDefault="00086A75" w:rsidP="00086A75">
      <w:pPr>
        <w:numPr>
          <w:ilvl w:val="0"/>
          <w:numId w:val="9"/>
        </w:numPr>
        <w:spacing w:line="384" w:lineRule="atLeast"/>
        <w:ind w:left="300"/>
      </w:pPr>
      <w:r>
        <w:t>reactions as if the traumatic events are recurring; the most extreme being a complete loss of awareness of present surroundings. </w:t>
      </w:r>
      <w:r>
        <w:rPr>
          <w:rStyle w:val="Emphasis"/>
        </w:rPr>
        <w:t>(Note: Such trauma-specific reenactment may occur in play.)</w:t>
      </w:r>
    </w:p>
    <w:p w:rsidR="00086A75" w:rsidRDefault="00086A75" w:rsidP="00086A75">
      <w:pPr>
        <w:numPr>
          <w:ilvl w:val="0"/>
          <w:numId w:val="9"/>
        </w:numPr>
        <w:spacing w:after="30" w:line="384" w:lineRule="atLeast"/>
        <w:ind w:left="300"/>
      </w:pPr>
      <w:r>
        <w:t>intense or prolonged psychological distress at exposure to internal or external cues</w:t>
      </w:r>
    </w:p>
    <w:p w:rsidR="00086A75" w:rsidRDefault="00086A75" w:rsidP="00086A75">
      <w:pPr>
        <w:numPr>
          <w:ilvl w:val="0"/>
          <w:numId w:val="9"/>
        </w:numPr>
        <w:spacing w:after="30" w:line="384" w:lineRule="atLeast"/>
        <w:ind w:left="300"/>
      </w:pPr>
      <w:r>
        <w:t>marked physiological reactions to reminders of the traumatic events</w:t>
      </w: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  <w:r>
        <w:t>One of the following related to traumatic events:</w:t>
      </w:r>
    </w:p>
    <w:p w:rsidR="00086A75" w:rsidRDefault="00086A75" w:rsidP="00086A75">
      <w:pPr>
        <w:numPr>
          <w:ilvl w:val="0"/>
          <w:numId w:val="10"/>
        </w:numPr>
        <w:spacing w:after="30" w:line="384" w:lineRule="atLeast"/>
        <w:ind w:left="300"/>
      </w:pPr>
      <w:r>
        <w:t>persistent avoidance of activities, places, or physical reminders</w:t>
      </w:r>
    </w:p>
    <w:p w:rsidR="00086A75" w:rsidRDefault="00086A75" w:rsidP="00086A75">
      <w:pPr>
        <w:numPr>
          <w:ilvl w:val="0"/>
          <w:numId w:val="10"/>
        </w:numPr>
        <w:spacing w:after="30" w:line="384" w:lineRule="atLeast"/>
        <w:ind w:left="300"/>
      </w:pPr>
      <w:r>
        <w:t>people, conversations, or interpersonal situations that arouse recollections</w:t>
      </w:r>
    </w:p>
    <w:p w:rsidR="00086A75" w:rsidRDefault="00086A75" w:rsidP="00086A75">
      <w:pPr>
        <w:numPr>
          <w:ilvl w:val="0"/>
          <w:numId w:val="10"/>
        </w:numPr>
        <w:spacing w:after="30" w:line="384" w:lineRule="atLeast"/>
        <w:ind w:left="300"/>
      </w:pPr>
      <w:r>
        <w:t>diminished interest or participation in significant activities such as play</w:t>
      </w:r>
    </w:p>
    <w:p w:rsidR="00086A75" w:rsidRDefault="00086A75" w:rsidP="00086A75">
      <w:pPr>
        <w:numPr>
          <w:ilvl w:val="0"/>
          <w:numId w:val="10"/>
        </w:numPr>
        <w:spacing w:after="30" w:line="384" w:lineRule="atLeast"/>
        <w:ind w:left="300"/>
      </w:pPr>
      <w:r>
        <w:t>socially withdrawn behavior</w:t>
      </w:r>
    </w:p>
    <w:p w:rsidR="00086A75" w:rsidRDefault="00086A75" w:rsidP="00086A75">
      <w:pPr>
        <w:numPr>
          <w:ilvl w:val="0"/>
          <w:numId w:val="10"/>
        </w:numPr>
        <w:spacing w:after="30" w:line="384" w:lineRule="atLeast"/>
        <w:ind w:left="300"/>
      </w:pPr>
      <w:r>
        <w:t>persistent reduction in expression of positive emotions</w:t>
      </w: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  <w:r>
        <w:lastRenderedPageBreak/>
        <w:t>Two or more of the following:</w:t>
      </w:r>
    </w:p>
    <w:p w:rsidR="00086A75" w:rsidRDefault="00086A75" w:rsidP="00086A75">
      <w:pPr>
        <w:numPr>
          <w:ilvl w:val="0"/>
          <w:numId w:val="11"/>
        </w:numPr>
        <w:spacing w:after="30" w:line="384" w:lineRule="atLeast"/>
        <w:ind w:left="300"/>
      </w:pPr>
      <w:r>
        <w:t>irritable, angry, or aggressive behavior, including extreme temper tantrums</w:t>
      </w:r>
    </w:p>
    <w:p w:rsidR="00086A75" w:rsidRDefault="00086A75" w:rsidP="00086A75">
      <w:pPr>
        <w:numPr>
          <w:ilvl w:val="0"/>
          <w:numId w:val="11"/>
        </w:numPr>
        <w:spacing w:after="30" w:line="384" w:lineRule="atLeast"/>
        <w:ind w:left="300"/>
      </w:pPr>
      <w:r>
        <w:t>hypervigilance</w:t>
      </w:r>
    </w:p>
    <w:p w:rsidR="00086A75" w:rsidRDefault="00086A75" w:rsidP="00086A75">
      <w:pPr>
        <w:numPr>
          <w:ilvl w:val="0"/>
          <w:numId w:val="11"/>
        </w:numPr>
        <w:spacing w:after="30" w:line="384" w:lineRule="atLeast"/>
        <w:ind w:left="300"/>
      </w:pPr>
      <w:r>
        <w:t>exaggerated startle response</w:t>
      </w:r>
    </w:p>
    <w:p w:rsidR="00086A75" w:rsidRDefault="00086A75" w:rsidP="00086A75">
      <w:pPr>
        <w:numPr>
          <w:ilvl w:val="0"/>
          <w:numId w:val="11"/>
        </w:numPr>
        <w:spacing w:after="30" w:line="384" w:lineRule="atLeast"/>
        <w:ind w:left="300"/>
      </w:pPr>
      <w:r>
        <w:t>problems with concentration</w:t>
      </w:r>
    </w:p>
    <w:p w:rsidR="00086A75" w:rsidRDefault="00086A75" w:rsidP="00086A75">
      <w:pPr>
        <w:numPr>
          <w:ilvl w:val="0"/>
          <w:numId w:val="11"/>
        </w:numPr>
        <w:spacing w:after="30" w:line="384" w:lineRule="atLeast"/>
        <w:ind w:left="300"/>
      </w:pPr>
      <w:r>
        <w:t>difficulty falling or staying asleep or restless sleep</w:t>
      </w:r>
    </w:p>
    <w:p w:rsidR="00086A75" w:rsidRDefault="00086A75" w:rsidP="00086A75">
      <w:pPr>
        <w:spacing w:after="30" w:line="384" w:lineRule="atLeast"/>
        <w:ind w:left="300"/>
      </w:pPr>
      <w:bookmarkStart w:id="0" w:name="_GoBack"/>
      <w:bookmarkEnd w:id="0"/>
    </w:p>
    <w:p w:rsidR="00086A75" w:rsidRDefault="00086A75" w:rsidP="00086A75">
      <w:pPr>
        <w:pStyle w:val="NormalWeb"/>
        <w:spacing w:before="0" w:beforeAutospacing="0" w:after="300" w:afterAutospacing="0" w:line="384" w:lineRule="atLeast"/>
      </w:pPr>
      <w:r>
        <w:t>Also, clinically significant distress or impairment in relationships with parents, siblings, peers, or other caregivers or with school behavior not attributable to another medical condition.</w:t>
      </w:r>
    </w:p>
    <w:p w:rsidR="00086A75" w:rsidRDefault="00086A75"/>
    <w:sectPr w:rsidR="0008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4690"/>
    <w:multiLevelType w:val="multilevel"/>
    <w:tmpl w:val="793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37B3C"/>
    <w:multiLevelType w:val="multilevel"/>
    <w:tmpl w:val="ED3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F273D"/>
    <w:multiLevelType w:val="multilevel"/>
    <w:tmpl w:val="F4E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4A1D34"/>
    <w:multiLevelType w:val="multilevel"/>
    <w:tmpl w:val="FF4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0276B4"/>
    <w:multiLevelType w:val="multilevel"/>
    <w:tmpl w:val="59A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740FCD"/>
    <w:multiLevelType w:val="multilevel"/>
    <w:tmpl w:val="B06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83DAA"/>
    <w:multiLevelType w:val="multilevel"/>
    <w:tmpl w:val="AA9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222B4"/>
    <w:multiLevelType w:val="multilevel"/>
    <w:tmpl w:val="2A8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170E92"/>
    <w:multiLevelType w:val="multilevel"/>
    <w:tmpl w:val="4E02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C5212B"/>
    <w:multiLevelType w:val="multilevel"/>
    <w:tmpl w:val="5E3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2E49E9"/>
    <w:multiLevelType w:val="multilevel"/>
    <w:tmpl w:val="849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75"/>
    <w:rsid w:val="00027059"/>
    <w:rsid w:val="00031390"/>
    <w:rsid w:val="0008421F"/>
    <w:rsid w:val="00086A75"/>
    <w:rsid w:val="0009444E"/>
    <w:rsid w:val="000B5920"/>
    <w:rsid w:val="000E4BE7"/>
    <w:rsid w:val="001018F4"/>
    <w:rsid w:val="00121486"/>
    <w:rsid w:val="0012708D"/>
    <w:rsid w:val="00140A11"/>
    <w:rsid w:val="00146536"/>
    <w:rsid w:val="0014683A"/>
    <w:rsid w:val="00147A30"/>
    <w:rsid w:val="00153663"/>
    <w:rsid w:val="00156AC8"/>
    <w:rsid w:val="00170203"/>
    <w:rsid w:val="0019064E"/>
    <w:rsid w:val="001C4F1B"/>
    <w:rsid w:val="001E1B47"/>
    <w:rsid w:val="00204254"/>
    <w:rsid w:val="00232B90"/>
    <w:rsid w:val="0023769B"/>
    <w:rsid w:val="00256C5E"/>
    <w:rsid w:val="00294BF2"/>
    <w:rsid w:val="002B7AF6"/>
    <w:rsid w:val="002E0DC1"/>
    <w:rsid w:val="002F347C"/>
    <w:rsid w:val="00347209"/>
    <w:rsid w:val="00350341"/>
    <w:rsid w:val="00354821"/>
    <w:rsid w:val="0036697F"/>
    <w:rsid w:val="00370EB1"/>
    <w:rsid w:val="003904A6"/>
    <w:rsid w:val="003948CE"/>
    <w:rsid w:val="00397C2B"/>
    <w:rsid w:val="003B7A34"/>
    <w:rsid w:val="003C12D0"/>
    <w:rsid w:val="003D6AFF"/>
    <w:rsid w:val="003E2103"/>
    <w:rsid w:val="003E3C9C"/>
    <w:rsid w:val="003F35A1"/>
    <w:rsid w:val="003F403D"/>
    <w:rsid w:val="00401B6A"/>
    <w:rsid w:val="004262D6"/>
    <w:rsid w:val="00453193"/>
    <w:rsid w:val="0045575A"/>
    <w:rsid w:val="00463034"/>
    <w:rsid w:val="004667AE"/>
    <w:rsid w:val="00492525"/>
    <w:rsid w:val="004F67C6"/>
    <w:rsid w:val="00504B4C"/>
    <w:rsid w:val="0053576F"/>
    <w:rsid w:val="005463FC"/>
    <w:rsid w:val="00557510"/>
    <w:rsid w:val="00564AD7"/>
    <w:rsid w:val="0056550A"/>
    <w:rsid w:val="00585299"/>
    <w:rsid w:val="00585645"/>
    <w:rsid w:val="00600ABB"/>
    <w:rsid w:val="006365A8"/>
    <w:rsid w:val="00637663"/>
    <w:rsid w:val="00650983"/>
    <w:rsid w:val="0065783A"/>
    <w:rsid w:val="00665DA8"/>
    <w:rsid w:val="00670EB4"/>
    <w:rsid w:val="006814D4"/>
    <w:rsid w:val="00682502"/>
    <w:rsid w:val="0069786F"/>
    <w:rsid w:val="006A2CF3"/>
    <w:rsid w:val="006B7F81"/>
    <w:rsid w:val="006C2967"/>
    <w:rsid w:val="006C709F"/>
    <w:rsid w:val="006D0628"/>
    <w:rsid w:val="00711236"/>
    <w:rsid w:val="007212FF"/>
    <w:rsid w:val="007237E1"/>
    <w:rsid w:val="007402A6"/>
    <w:rsid w:val="00766474"/>
    <w:rsid w:val="00782964"/>
    <w:rsid w:val="00795977"/>
    <w:rsid w:val="007A0C4E"/>
    <w:rsid w:val="007B65B5"/>
    <w:rsid w:val="007C2661"/>
    <w:rsid w:val="007E2374"/>
    <w:rsid w:val="007F5E8D"/>
    <w:rsid w:val="00810DC1"/>
    <w:rsid w:val="00816DE5"/>
    <w:rsid w:val="00833425"/>
    <w:rsid w:val="00842607"/>
    <w:rsid w:val="008A12E8"/>
    <w:rsid w:val="008A6889"/>
    <w:rsid w:val="008C6072"/>
    <w:rsid w:val="008D2FC6"/>
    <w:rsid w:val="00926736"/>
    <w:rsid w:val="00933D45"/>
    <w:rsid w:val="00943535"/>
    <w:rsid w:val="00981145"/>
    <w:rsid w:val="0098647C"/>
    <w:rsid w:val="009978F8"/>
    <w:rsid w:val="009A5969"/>
    <w:rsid w:val="009B42F2"/>
    <w:rsid w:val="009C628E"/>
    <w:rsid w:val="009E6EF5"/>
    <w:rsid w:val="009F2079"/>
    <w:rsid w:val="00A02165"/>
    <w:rsid w:val="00A21712"/>
    <w:rsid w:val="00A325E6"/>
    <w:rsid w:val="00A54094"/>
    <w:rsid w:val="00A54194"/>
    <w:rsid w:val="00A71454"/>
    <w:rsid w:val="00A819FE"/>
    <w:rsid w:val="00A84B21"/>
    <w:rsid w:val="00A91A48"/>
    <w:rsid w:val="00AA5179"/>
    <w:rsid w:val="00AD630D"/>
    <w:rsid w:val="00B02EEC"/>
    <w:rsid w:val="00B05E8C"/>
    <w:rsid w:val="00B07E54"/>
    <w:rsid w:val="00B16A94"/>
    <w:rsid w:val="00B1751F"/>
    <w:rsid w:val="00B249B4"/>
    <w:rsid w:val="00B47AAE"/>
    <w:rsid w:val="00B57B75"/>
    <w:rsid w:val="00B90989"/>
    <w:rsid w:val="00BD0888"/>
    <w:rsid w:val="00BD4180"/>
    <w:rsid w:val="00BD6603"/>
    <w:rsid w:val="00C118A6"/>
    <w:rsid w:val="00C203AC"/>
    <w:rsid w:val="00C22396"/>
    <w:rsid w:val="00C61FC0"/>
    <w:rsid w:val="00C65D9C"/>
    <w:rsid w:val="00C87F3C"/>
    <w:rsid w:val="00CA0145"/>
    <w:rsid w:val="00CA04B8"/>
    <w:rsid w:val="00CB71BF"/>
    <w:rsid w:val="00CC261C"/>
    <w:rsid w:val="00CD5BFF"/>
    <w:rsid w:val="00CE3640"/>
    <w:rsid w:val="00CE4545"/>
    <w:rsid w:val="00D115D6"/>
    <w:rsid w:val="00D4736A"/>
    <w:rsid w:val="00D549E6"/>
    <w:rsid w:val="00DA53F9"/>
    <w:rsid w:val="00E40167"/>
    <w:rsid w:val="00E42B32"/>
    <w:rsid w:val="00E55C22"/>
    <w:rsid w:val="00E71D16"/>
    <w:rsid w:val="00E873E3"/>
    <w:rsid w:val="00ED055D"/>
    <w:rsid w:val="00F00163"/>
    <w:rsid w:val="00F1451A"/>
    <w:rsid w:val="00F24053"/>
    <w:rsid w:val="00F515A3"/>
    <w:rsid w:val="00F97029"/>
    <w:rsid w:val="00FA4DCD"/>
    <w:rsid w:val="00FB33B1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E9C3"/>
  <w15:chartTrackingRefBased/>
  <w15:docId w15:val="{2A72D2F0-A159-4C19-AA37-BC89AA6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6A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A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86A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86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A75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A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A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08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a.org/living-with-anxiety/children/posttraumatic-stress-disorder-ptsd/symptoms#" TargetMode="External"/><Relationship Id="rId5" Type="http://schemas.openxmlformats.org/officeDocument/2006/relationships/hyperlink" Target="https://www.ptsd.va.gov/professional/PTSD-overview/Dissociative_Subtype_of_PTSD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Meyer</dc:creator>
  <cp:keywords/>
  <dc:description/>
  <cp:lastModifiedBy>Alicia Meyer</cp:lastModifiedBy>
  <cp:revision>1</cp:revision>
  <cp:lastPrinted>2018-01-10T21:30:00Z</cp:lastPrinted>
  <dcterms:created xsi:type="dcterms:W3CDTF">2018-01-10T21:24:00Z</dcterms:created>
  <dcterms:modified xsi:type="dcterms:W3CDTF">2018-01-10T21:31:00Z</dcterms:modified>
</cp:coreProperties>
</file>