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1F39" w14:textId="62CA5E4C" w:rsidR="00C21474" w:rsidRDefault="00C21474" w:rsidP="00C21474">
      <w:pPr>
        <w:rPr>
          <w:b/>
          <w:sz w:val="28"/>
          <w:szCs w:val="28"/>
          <w:u w:val="single"/>
        </w:rPr>
      </w:pPr>
      <w:r>
        <w:rPr>
          <w:b/>
          <w:sz w:val="28"/>
          <w:szCs w:val="28"/>
        </w:rPr>
        <w:t xml:space="preserve">                                  </w:t>
      </w:r>
      <w:r>
        <w:rPr>
          <w:b/>
          <w:sz w:val="28"/>
          <w:szCs w:val="28"/>
          <w:u w:val="single"/>
        </w:rPr>
        <w:t>Vienna Capital Partners, LLC</w:t>
      </w:r>
    </w:p>
    <w:p w14:paraId="54AC5E8F" w14:textId="58B4B5B7" w:rsidR="00DB78BC" w:rsidRDefault="00DB78BC" w:rsidP="00296B24">
      <w:pPr>
        <w:ind w:left="2160" w:firstLine="720"/>
        <w:rPr>
          <w:b/>
          <w:sz w:val="28"/>
          <w:szCs w:val="28"/>
          <w:u w:val="single"/>
        </w:rPr>
      </w:pPr>
      <w:r w:rsidRPr="00DB78BC">
        <w:rPr>
          <w:b/>
          <w:sz w:val="28"/>
          <w:szCs w:val="28"/>
          <w:u w:val="single"/>
        </w:rPr>
        <w:t>Business Continuity Plan</w:t>
      </w:r>
    </w:p>
    <w:p w14:paraId="73B47102" w14:textId="77777777" w:rsidR="00DB78BC" w:rsidRDefault="00DB78BC" w:rsidP="00DB78BC">
      <w:pPr>
        <w:rPr>
          <w:b/>
          <w:bCs/>
          <w:sz w:val="28"/>
          <w:szCs w:val="28"/>
          <w:u w:val="single"/>
        </w:rPr>
      </w:pPr>
    </w:p>
    <w:p w14:paraId="6C604A7E" w14:textId="77777777" w:rsidR="00DB78BC" w:rsidRPr="00296B24" w:rsidRDefault="00296B24" w:rsidP="00296B24">
      <w:pPr>
        <w:ind w:left="2880"/>
        <w:rPr>
          <w:rFonts w:asciiTheme="majorHAnsi" w:hAnsiTheme="majorHAnsi"/>
          <w:b/>
          <w:bCs/>
          <w:u w:val="single"/>
        </w:rPr>
      </w:pPr>
      <w:r>
        <w:rPr>
          <w:rFonts w:asciiTheme="majorHAnsi" w:hAnsiTheme="majorHAnsi"/>
          <w:b/>
          <w:bCs/>
        </w:rPr>
        <w:t xml:space="preserve">         </w:t>
      </w:r>
      <w:r w:rsidR="00DB78BC" w:rsidRPr="00296B24">
        <w:rPr>
          <w:rFonts w:asciiTheme="majorHAnsi" w:hAnsiTheme="majorHAnsi"/>
          <w:b/>
          <w:bCs/>
          <w:u w:val="single"/>
        </w:rPr>
        <w:t>TABLE OF CONTENTS</w:t>
      </w:r>
    </w:p>
    <w:p w14:paraId="4516ABD9" w14:textId="77777777" w:rsidR="00296B24" w:rsidRDefault="00296B24" w:rsidP="00FC38D9">
      <w:pPr>
        <w:pStyle w:val="Heading1"/>
        <w:numPr>
          <w:ilvl w:val="0"/>
          <w:numId w:val="0"/>
        </w:numPr>
        <w:spacing w:after="0"/>
        <w:rPr>
          <w:rFonts w:asciiTheme="majorHAnsi" w:hAnsiTheme="majorHAnsi"/>
          <w:i/>
          <w:sz w:val="24"/>
          <w:szCs w:val="24"/>
          <w:u w:val="none"/>
        </w:rPr>
      </w:pPr>
    </w:p>
    <w:p w14:paraId="11CB8937"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1.     FIRM POLICY</w:t>
      </w:r>
    </w:p>
    <w:p w14:paraId="485BAD3D" w14:textId="77777777" w:rsidR="00296B24" w:rsidRDefault="00296B24" w:rsidP="00FC38D9">
      <w:pPr>
        <w:pStyle w:val="Heading2"/>
        <w:numPr>
          <w:ilvl w:val="0"/>
          <w:numId w:val="0"/>
        </w:numPr>
        <w:spacing w:after="0"/>
        <w:rPr>
          <w:rFonts w:asciiTheme="majorHAnsi" w:hAnsiTheme="majorHAnsi"/>
          <w:b/>
          <w:sz w:val="24"/>
          <w:szCs w:val="24"/>
          <w:u w:val="none"/>
        </w:rPr>
      </w:pPr>
    </w:p>
    <w:p w14:paraId="0011E816" w14:textId="77777777" w:rsidR="00FC38D9" w:rsidRPr="00296B24" w:rsidRDefault="00FC38D9" w:rsidP="00FC38D9">
      <w:pPr>
        <w:pStyle w:val="Heading2"/>
        <w:numPr>
          <w:ilvl w:val="0"/>
          <w:numId w:val="0"/>
        </w:numPr>
        <w:spacing w:after="0"/>
        <w:rPr>
          <w:rFonts w:asciiTheme="majorHAnsi" w:hAnsiTheme="majorHAnsi"/>
          <w:sz w:val="22"/>
          <w:szCs w:val="22"/>
          <w:u w:val="none"/>
        </w:rPr>
      </w:pPr>
      <w:r w:rsidRPr="00296B24">
        <w:rPr>
          <w:rFonts w:asciiTheme="majorHAnsi" w:hAnsiTheme="majorHAnsi"/>
          <w:b/>
          <w:sz w:val="22"/>
          <w:szCs w:val="22"/>
          <w:u w:val="none"/>
        </w:rPr>
        <w:t>1.1</w:t>
      </w:r>
      <w:r w:rsidRPr="00296B24">
        <w:rPr>
          <w:rFonts w:asciiTheme="majorHAnsi" w:hAnsiTheme="majorHAnsi"/>
          <w:sz w:val="22"/>
          <w:szCs w:val="22"/>
          <w:u w:val="none"/>
        </w:rPr>
        <w:t xml:space="preserve">      </w:t>
      </w:r>
      <w:r w:rsidRPr="00296B24">
        <w:rPr>
          <w:rFonts w:asciiTheme="majorHAnsi" w:hAnsiTheme="majorHAnsi"/>
          <w:b/>
          <w:sz w:val="22"/>
          <w:szCs w:val="22"/>
          <w:u w:val="none"/>
        </w:rPr>
        <w:t>Significant Business Disruptions (SBDs)</w:t>
      </w:r>
    </w:p>
    <w:p w14:paraId="4A014F2F" w14:textId="77777777" w:rsidR="00296B24" w:rsidRDefault="00296B24" w:rsidP="00FC38D9">
      <w:pPr>
        <w:pStyle w:val="Heading1"/>
        <w:numPr>
          <w:ilvl w:val="0"/>
          <w:numId w:val="0"/>
        </w:numPr>
        <w:spacing w:after="0"/>
        <w:rPr>
          <w:rFonts w:asciiTheme="majorHAnsi" w:hAnsiTheme="majorHAnsi"/>
          <w:sz w:val="24"/>
          <w:szCs w:val="24"/>
          <w:u w:val="none"/>
        </w:rPr>
      </w:pPr>
    </w:p>
    <w:p w14:paraId="2F47AAF3"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2.     EMERGENCY CONTACT PERSONS</w:t>
      </w:r>
    </w:p>
    <w:p w14:paraId="6B75EA77"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25B0CE4B" w14:textId="77777777" w:rsidR="00FC38D9" w:rsidRPr="00296B24" w:rsidRDefault="00FC38D9" w:rsidP="00FC38D9">
      <w:pPr>
        <w:pStyle w:val="Heading1"/>
        <w:numPr>
          <w:ilvl w:val="0"/>
          <w:numId w:val="0"/>
        </w:numPr>
        <w:spacing w:after="0"/>
        <w:rPr>
          <w:rFonts w:asciiTheme="majorHAnsi" w:hAnsiTheme="majorHAnsi"/>
          <w:i/>
          <w:u w:val="none"/>
        </w:rPr>
      </w:pPr>
      <w:r w:rsidRPr="00296B24">
        <w:rPr>
          <w:rFonts w:asciiTheme="majorHAnsi" w:hAnsiTheme="majorHAnsi"/>
          <w:i/>
          <w:sz w:val="24"/>
          <w:szCs w:val="24"/>
          <w:u w:val="none"/>
        </w:rPr>
        <w:t>SECTION 3.     BUSINESS DESCRIPTION</w:t>
      </w:r>
    </w:p>
    <w:p w14:paraId="0AE6DEDA"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56000F3C"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4.     OSJ AND BRANCH OFFICE LOCATIONS</w:t>
      </w:r>
    </w:p>
    <w:p w14:paraId="5B5559EC"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74678680"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5.     ALTERNATIVE PHYSICAL LOCATION(S) OF EMPLOYEES</w:t>
      </w:r>
    </w:p>
    <w:p w14:paraId="429FDF8D"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0A4FF23A"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6.     CUSTOMERS’ ACCESS TO FUNDS AND SECURITIES</w:t>
      </w:r>
    </w:p>
    <w:p w14:paraId="380C51EB"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4BAF7CB6" w14:textId="77777777" w:rsidR="00FC38D9" w:rsidRPr="00296B24"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7.     DATA BACK-UP AND RECOVERY (HARD COPY AND ELECTRONIC)</w:t>
      </w:r>
    </w:p>
    <w:p w14:paraId="265031E1"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6D963D75" w14:textId="77777777" w:rsidR="00FC38D9" w:rsidRPr="00296B24" w:rsidRDefault="00FC38D9" w:rsidP="00FC38D9">
      <w:pPr>
        <w:pStyle w:val="Heading1"/>
        <w:numPr>
          <w:ilvl w:val="0"/>
          <w:numId w:val="0"/>
        </w:numPr>
        <w:spacing w:after="0"/>
        <w:rPr>
          <w:rFonts w:asciiTheme="majorHAnsi" w:hAnsiTheme="majorHAnsi"/>
          <w:i/>
          <w:u w:val="none"/>
        </w:rPr>
      </w:pPr>
      <w:r w:rsidRPr="00296B24">
        <w:rPr>
          <w:rFonts w:asciiTheme="majorHAnsi" w:hAnsiTheme="majorHAnsi"/>
          <w:i/>
          <w:sz w:val="24"/>
          <w:szCs w:val="24"/>
          <w:u w:val="none"/>
        </w:rPr>
        <w:t>SECTION 8.     FINANCIAL AND OPERATIONAL ASSESSMENTS</w:t>
      </w:r>
      <w:r w:rsidRPr="00296B24">
        <w:rPr>
          <w:rFonts w:asciiTheme="majorHAnsi" w:hAnsiTheme="majorHAnsi"/>
          <w:i/>
          <w:u w:val="none"/>
        </w:rPr>
        <w:t xml:space="preserve"> </w:t>
      </w:r>
    </w:p>
    <w:p w14:paraId="37C09E9A" w14:textId="77777777" w:rsidR="00296B24" w:rsidRPr="00296B24" w:rsidRDefault="00296B24" w:rsidP="00FC38D9">
      <w:pPr>
        <w:pStyle w:val="Heading1"/>
        <w:numPr>
          <w:ilvl w:val="0"/>
          <w:numId w:val="0"/>
        </w:numPr>
        <w:spacing w:after="0"/>
        <w:rPr>
          <w:rFonts w:asciiTheme="majorHAnsi" w:hAnsiTheme="majorHAnsi"/>
        </w:rPr>
      </w:pPr>
    </w:p>
    <w:p w14:paraId="73913F67" w14:textId="77777777" w:rsidR="00FC38D9" w:rsidRPr="00296B24" w:rsidRDefault="00FC38D9" w:rsidP="00FC38D9">
      <w:pPr>
        <w:pStyle w:val="Heading2"/>
        <w:numPr>
          <w:ilvl w:val="1"/>
          <w:numId w:val="13"/>
        </w:numPr>
        <w:spacing w:after="0"/>
        <w:rPr>
          <w:rFonts w:asciiTheme="majorHAnsi" w:hAnsiTheme="majorHAnsi"/>
          <w:b/>
          <w:sz w:val="22"/>
          <w:szCs w:val="22"/>
          <w:u w:val="none"/>
        </w:rPr>
      </w:pPr>
      <w:r w:rsidRPr="00296B24">
        <w:rPr>
          <w:rFonts w:asciiTheme="majorHAnsi" w:hAnsiTheme="majorHAnsi"/>
          <w:b/>
          <w:sz w:val="22"/>
          <w:szCs w:val="22"/>
          <w:u w:val="none"/>
        </w:rPr>
        <w:t xml:space="preserve">    Operational Risk</w:t>
      </w:r>
    </w:p>
    <w:p w14:paraId="263A3ADF" w14:textId="77777777" w:rsidR="00FC38D9" w:rsidRPr="00296B24" w:rsidRDefault="00FC38D9" w:rsidP="00FC38D9">
      <w:pPr>
        <w:pStyle w:val="Heading2"/>
        <w:numPr>
          <w:ilvl w:val="1"/>
          <w:numId w:val="13"/>
        </w:numPr>
        <w:rPr>
          <w:rFonts w:asciiTheme="majorHAnsi" w:hAnsiTheme="majorHAnsi"/>
          <w:b/>
          <w:sz w:val="22"/>
          <w:szCs w:val="22"/>
          <w:u w:val="none"/>
        </w:rPr>
      </w:pPr>
      <w:r w:rsidRPr="00296B24">
        <w:rPr>
          <w:rFonts w:asciiTheme="majorHAnsi" w:hAnsiTheme="majorHAnsi"/>
          <w:b/>
          <w:sz w:val="22"/>
          <w:szCs w:val="22"/>
          <w:u w:val="none"/>
        </w:rPr>
        <w:t xml:space="preserve">   Financial and Credit Risk</w:t>
      </w:r>
    </w:p>
    <w:p w14:paraId="22F13895" w14:textId="77777777" w:rsidR="00FC38D9" w:rsidRPr="00296B24" w:rsidRDefault="00FC38D9" w:rsidP="00FC38D9">
      <w:pPr>
        <w:pStyle w:val="Heading1"/>
        <w:numPr>
          <w:ilvl w:val="0"/>
          <w:numId w:val="0"/>
        </w:numPr>
        <w:rPr>
          <w:rFonts w:asciiTheme="majorHAnsi" w:hAnsiTheme="majorHAnsi"/>
          <w:bCs w:val="0"/>
          <w:i/>
          <w:u w:val="none"/>
        </w:rPr>
      </w:pPr>
      <w:r w:rsidRPr="00296B24">
        <w:rPr>
          <w:rFonts w:asciiTheme="majorHAnsi" w:hAnsiTheme="majorHAnsi"/>
          <w:i/>
          <w:sz w:val="24"/>
          <w:szCs w:val="24"/>
          <w:u w:val="none"/>
        </w:rPr>
        <w:t xml:space="preserve">SECTION 9.     </w:t>
      </w:r>
      <w:r w:rsidRPr="00296B24">
        <w:rPr>
          <w:rFonts w:asciiTheme="majorHAnsi" w:hAnsiTheme="majorHAnsi"/>
          <w:bCs w:val="0"/>
          <w:i/>
          <w:sz w:val="24"/>
          <w:szCs w:val="24"/>
          <w:u w:val="none"/>
        </w:rPr>
        <w:t>MISSION CRITICAL SYSTEMS</w:t>
      </w:r>
    </w:p>
    <w:p w14:paraId="1B146F1E" w14:textId="77777777" w:rsidR="00FC38D9" w:rsidRPr="00296B24" w:rsidRDefault="00FC38D9" w:rsidP="00296B24">
      <w:pPr>
        <w:pStyle w:val="Heading2"/>
        <w:numPr>
          <w:ilvl w:val="0"/>
          <w:numId w:val="0"/>
        </w:numPr>
        <w:spacing w:after="0"/>
        <w:rPr>
          <w:rFonts w:asciiTheme="majorHAnsi" w:hAnsiTheme="majorHAnsi"/>
          <w:b/>
          <w:sz w:val="22"/>
          <w:szCs w:val="22"/>
          <w:u w:val="none"/>
        </w:rPr>
      </w:pPr>
      <w:r w:rsidRPr="00296B24">
        <w:rPr>
          <w:rFonts w:asciiTheme="majorHAnsi" w:hAnsiTheme="majorHAnsi"/>
          <w:b/>
          <w:sz w:val="22"/>
          <w:szCs w:val="22"/>
          <w:u w:val="none"/>
        </w:rPr>
        <w:t xml:space="preserve">9.1     </w:t>
      </w:r>
      <w:r w:rsidR="00296B24">
        <w:rPr>
          <w:rFonts w:asciiTheme="majorHAnsi" w:hAnsiTheme="majorHAnsi"/>
          <w:b/>
          <w:sz w:val="22"/>
          <w:szCs w:val="22"/>
          <w:u w:val="none"/>
        </w:rPr>
        <w:t xml:space="preserve">   </w:t>
      </w:r>
      <w:r w:rsidR="009F3C74">
        <w:rPr>
          <w:rFonts w:asciiTheme="majorHAnsi" w:hAnsiTheme="majorHAnsi"/>
          <w:b/>
          <w:sz w:val="22"/>
          <w:szCs w:val="22"/>
          <w:u w:val="none"/>
        </w:rPr>
        <w:t>RESERVED</w:t>
      </w:r>
    </w:p>
    <w:p w14:paraId="79F79435" w14:textId="77777777" w:rsidR="00FC38D9" w:rsidRPr="00296B24" w:rsidRDefault="00FC38D9" w:rsidP="00FC38D9">
      <w:pPr>
        <w:pStyle w:val="Heading2"/>
        <w:numPr>
          <w:ilvl w:val="1"/>
          <w:numId w:val="14"/>
        </w:numPr>
        <w:spacing w:after="0"/>
        <w:rPr>
          <w:rFonts w:asciiTheme="majorHAnsi" w:hAnsiTheme="majorHAnsi"/>
          <w:b/>
          <w:sz w:val="22"/>
          <w:szCs w:val="22"/>
        </w:rPr>
      </w:pPr>
      <w:r w:rsidRPr="00296B24">
        <w:rPr>
          <w:rFonts w:asciiTheme="majorHAnsi" w:hAnsiTheme="majorHAnsi"/>
          <w:b/>
          <w:sz w:val="22"/>
          <w:szCs w:val="22"/>
          <w:u w:val="none"/>
        </w:rPr>
        <w:t xml:space="preserve">     </w:t>
      </w:r>
      <w:r w:rsidR="00296B24">
        <w:rPr>
          <w:rFonts w:asciiTheme="majorHAnsi" w:hAnsiTheme="majorHAnsi"/>
          <w:b/>
          <w:sz w:val="22"/>
          <w:szCs w:val="22"/>
          <w:u w:val="none"/>
        </w:rPr>
        <w:t xml:space="preserve">  </w:t>
      </w:r>
      <w:r w:rsidRPr="00296B24">
        <w:rPr>
          <w:rFonts w:asciiTheme="majorHAnsi" w:hAnsiTheme="majorHAnsi"/>
          <w:b/>
          <w:sz w:val="22"/>
          <w:szCs w:val="22"/>
          <w:u w:val="none"/>
        </w:rPr>
        <w:t>The Firm’s Mission Critical Systems</w:t>
      </w:r>
    </w:p>
    <w:p w14:paraId="29FDABF1" w14:textId="77777777" w:rsidR="00FC38D9" w:rsidRPr="00296B24" w:rsidRDefault="00FC38D9" w:rsidP="00FC38D9">
      <w:pPr>
        <w:pStyle w:val="Heading3"/>
        <w:numPr>
          <w:ilvl w:val="2"/>
          <w:numId w:val="14"/>
        </w:numPr>
        <w:spacing w:after="0"/>
        <w:rPr>
          <w:rFonts w:asciiTheme="majorHAnsi" w:hAnsiTheme="majorHAnsi"/>
          <w:sz w:val="22"/>
          <w:szCs w:val="22"/>
        </w:rPr>
      </w:pPr>
      <w:r w:rsidRPr="00296B24">
        <w:rPr>
          <w:rFonts w:asciiTheme="majorHAnsi" w:hAnsiTheme="majorHAnsi"/>
          <w:sz w:val="22"/>
          <w:szCs w:val="22"/>
        </w:rPr>
        <w:t>Order Taking</w:t>
      </w:r>
    </w:p>
    <w:p w14:paraId="03BA0B9B" w14:textId="77777777" w:rsidR="00FC38D9" w:rsidRPr="00296B24" w:rsidRDefault="009F3C74" w:rsidP="00FC38D9">
      <w:pPr>
        <w:pStyle w:val="Heading3"/>
        <w:numPr>
          <w:ilvl w:val="2"/>
          <w:numId w:val="14"/>
        </w:numPr>
        <w:spacing w:after="0"/>
        <w:rPr>
          <w:rFonts w:asciiTheme="majorHAnsi" w:hAnsiTheme="majorHAnsi"/>
          <w:sz w:val="22"/>
          <w:szCs w:val="22"/>
        </w:rPr>
      </w:pPr>
      <w:r>
        <w:rPr>
          <w:rFonts w:asciiTheme="majorHAnsi" w:hAnsiTheme="majorHAnsi"/>
          <w:sz w:val="22"/>
          <w:szCs w:val="22"/>
        </w:rPr>
        <w:t>RESERVED</w:t>
      </w:r>
    </w:p>
    <w:p w14:paraId="135BDEA0" w14:textId="77777777" w:rsidR="00FC38D9" w:rsidRPr="00296B24" w:rsidRDefault="00FC38D9" w:rsidP="00FC38D9">
      <w:pPr>
        <w:pStyle w:val="Heading3"/>
        <w:numPr>
          <w:ilvl w:val="2"/>
          <w:numId w:val="14"/>
        </w:numPr>
        <w:rPr>
          <w:rFonts w:asciiTheme="majorHAnsi" w:hAnsiTheme="majorHAnsi"/>
          <w:sz w:val="22"/>
          <w:szCs w:val="22"/>
        </w:rPr>
      </w:pPr>
      <w:r w:rsidRPr="00296B24">
        <w:rPr>
          <w:rFonts w:asciiTheme="majorHAnsi" w:hAnsiTheme="majorHAnsi"/>
          <w:sz w:val="22"/>
          <w:szCs w:val="22"/>
        </w:rPr>
        <w:t>Order Execution</w:t>
      </w:r>
    </w:p>
    <w:p w14:paraId="46786522" w14:textId="77777777" w:rsidR="00FC38D9"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10.     ALTERNATE COMMUNICATIONS BETTHE FIRMEN THE FIRM AND CUSTOMERS, EMPLOYEES, AND REGULATORS</w:t>
      </w:r>
    </w:p>
    <w:p w14:paraId="13CCAE5C" w14:textId="77777777" w:rsidR="00296B24" w:rsidRPr="00296B24" w:rsidRDefault="00296B24" w:rsidP="00FC38D9">
      <w:pPr>
        <w:pStyle w:val="Heading1"/>
        <w:numPr>
          <w:ilvl w:val="0"/>
          <w:numId w:val="0"/>
        </w:numPr>
        <w:spacing w:after="0"/>
        <w:rPr>
          <w:rFonts w:asciiTheme="majorHAnsi" w:hAnsiTheme="majorHAnsi"/>
          <w:i/>
          <w:sz w:val="24"/>
          <w:szCs w:val="24"/>
          <w:u w:val="none"/>
        </w:rPr>
      </w:pPr>
    </w:p>
    <w:p w14:paraId="2E49AD34" w14:textId="77777777" w:rsidR="00FC38D9" w:rsidRPr="00296B24" w:rsidRDefault="00FC38D9" w:rsidP="00296B24">
      <w:pPr>
        <w:pStyle w:val="Heading3"/>
        <w:numPr>
          <w:ilvl w:val="0"/>
          <w:numId w:val="0"/>
        </w:numPr>
        <w:spacing w:after="0"/>
        <w:rPr>
          <w:rFonts w:asciiTheme="majorHAnsi" w:hAnsiTheme="majorHAnsi"/>
          <w:color w:val="000000"/>
          <w:sz w:val="22"/>
          <w:szCs w:val="22"/>
        </w:rPr>
      </w:pPr>
      <w:r w:rsidRPr="00296B24">
        <w:rPr>
          <w:rFonts w:asciiTheme="majorHAnsi" w:hAnsiTheme="majorHAnsi"/>
          <w:color w:val="000000"/>
          <w:sz w:val="22"/>
          <w:szCs w:val="22"/>
        </w:rPr>
        <w:t>10.1   Customers</w:t>
      </w:r>
    </w:p>
    <w:p w14:paraId="5B867D0E" w14:textId="77777777" w:rsidR="00FC38D9" w:rsidRPr="00296B24" w:rsidRDefault="00FC38D9" w:rsidP="00296B24">
      <w:pPr>
        <w:pStyle w:val="Heading3"/>
        <w:numPr>
          <w:ilvl w:val="0"/>
          <w:numId w:val="0"/>
        </w:numPr>
        <w:spacing w:after="0"/>
        <w:rPr>
          <w:rFonts w:asciiTheme="majorHAnsi" w:hAnsiTheme="majorHAnsi"/>
          <w:sz w:val="22"/>
          <w:szCs w:val="22"/>
        </w:rPr>
      </w:pPr>
      <w:r w:rsidRPr="00296B24">
        <w:rPr>
          <w:rFonts w:asciiTheme="majorHAnsi" w:hAnsiTheme="majorHAnsi"/>
          <w:sz w:val="22"/>
          <w:szCs w:val="22"/>
        </w:rPr>
        <w:t>10.2    Employees</w:t>
      </w:r>
    </w:p>
    <w:p w14:paraId="517861C5" w14:textId="77777777" w:rsidR="00FC38D9" w:rsidRPr="00296B24" w:rsidRDefault="00FC38D9" w:rsidP="00FC38D9">
      <w:pPr>
        <w:rPr>
          <w:rFonts w:asciiTheme="majorHAnsi" w:hAnsiTheme="majorHAnsi"/>
          <w:b/>
          <w:sz w:val="22"/>
          <w:szCs w:val="22"/>
        </w:rPr>
      </w:pPr>
      <w:r w:rsidRPr="00296B24">
        <w:rPr>
          <w:rFonts w:asciiTheme="majorHAnsi" w:hAnsiTheme="majorHAnsi"/>
          <w:b/>
          <w:sz w:val="22"/>
          <w:szCs w:val="22"/>
        </w:rPr>
        <w:t>10.3    Regulators</w:t>
      </w:r>
    </w:p>
    <w:p w14:paraId="124B9AAF" w14:textId="77777777" w:rsidR="00FC38D9" w:rsidRPr="00296B24" w:rsidRDefault="00FC38D9" w:rsidP="00FC38D9">
      <w:pPr>
        <w:pStyle w:val="Heading2"/>
        <w:numPr>
          <w:ilvl w:val="0"/>
          <w:numId w:val="0"/>
        </w:numPr>
        <w:rPr>
          <w:rFonts w:asciiTheme="majorHAnsi" w:hAnsiTheme="majorHAnsi"/>
          <w:sz w:val="22"/>
          <w:szCs w:val="22"/>
        </w:rPr>
      </w:pPr>
    </w:p>
    <w:p w14:paraId="7979F66D" w14:textId="77777777" w:rsidR="00FC38D9" w:rsidRPr="00296B24" w:rsidRDefault="00FC38D9" w:rsidP="00FC38D9">
      <w:pPr>
        <w:pStyle w:val="Heading1"/>
        <w:numPr>
          <w:ilvl w:val="0"/>
          <w:numId w:val="0"/>
        </w:numPr>
        <w:spacing w:after="0"/>
        <w:rPr>
          <w:rFonts w:asciiTheme="majorHAnsi" w:hAnsiTheme="majorHAnsi"/>
          <w:bCs w:val="0"/>
          <w:i/>
          <w:sz w:val="24"/>
          <w:szCs w:val="24"/>
          <w:u w:val="none"/>
        </w:rPr>
      </w:pPr>
      <w:r w:rsidRPr="00296B24">
        <w:rPr>
          <w:rFonts w:asciiTheme="majorHAnsi" w:hAnsiTheme="majorHAnsi"/>
          <w:i/>
          <w:sz w:val="24"/>
          <w:szCs w:val="24"/>
          <w:u w:val="none"/>
        </w:rPr>
        <w:t xml:space="preserve">SECTION 11.     </w:t>
      </w:r>
      <w:r w:rsidRPr="00296B24">
        <w:rPr>
          <w:rFonts w:asciiTheme="majorHAnsi" w:hAnsiTheme="majorHAnsi"/>
          <w:bCs w:val="0"/>
          <w:i/>
          <w:sz w:val="24"/>
          <w:szCs w:val="24"/>
          <w:u w:val="none"/>
        </w:rPr>
        <w:t>CRITICAL BUSINESS CONSTITUENTS, BANKS, AND COUNTER-PARTIES</w:t>
      </w:r>
    </w:p>
    <w:p w14:paraId="56EF9F0B" w14:textId="77777777" w:rsidR="00296B24" w:rsidRDefault="00296B24" w:rsidP="00296B24">
      <w:pPr>
        <w:pStyle w:val="Heading2"/>
        <w:numPr>
          <w:ilvl w:val="0"/>
          <w:numId w:val="0"/>
        </w:numPr>
        <w:spacing w:after="0"/>
        <w:rPr>
          <w:rFonts w:asciiTheme="majorHAnsi" w:hAnsiTheme="majorHAnsi"/>
          <w:b/>
          <w:sz w:val="22"/>
          <w:szCs w:val="22"/>
          <w:u w:val="none"/>
        </w:rPr>
      </w:pPr>
    </w:p>
    <w:p w14:paraId="41B5551E" w14:textId="77777777" w:rsidR="00FC38D9" w:rsidRPr="00296B24" w:rsidRDefault="00FC38D9" w:rsidP="00296B24">
      <w:pPr>
        <w:pStyle w:val="Heading2"/>
        <w:numPr>
          <w:ilvl w:val="0"/>
          <w:numId w:val="0"/>
        </w:numPr>
        <w:spacing w:after="0"/>
        <w:rPr>
          <w:rFonts w:asciiTheme="majorHAnsi" w:hAnsiTheme="majorHAnsi"/>
          <w:b/>
          <w:sz w:val="22"/>
          <w:szCs w:val="22"/>
          <w:u w:val="none"/>
        </w:rPr>
      </w:pPr>
      <w:r w:rsidRPr="00296B24">
        <w:rPr>
          <w:rFonts w:asciiTheme="majorHAnsi" w:hAnsiTheme="majorHAnsi"/>
          <w:b/>
          <w:sz w:val="22"/>
          <w:szCs w:val="22"/>
          <w:u w:val="none"/>
        </w:rPr>
        <w:t>11.1   Business constituents</w:t>
      </w:r>
    </w:p>
    <w:p w14:paraId="648F3DDB" w14:textId="77777777" w:rsidR="00FC38D9" w:rsidRPr="00296B24" w:rsidRDefault="00FC38D9" w:rsidP="00296B24">
      <w:pPr>
        <w:pStyle w:val="Heading2"/>
        <w:numPr>
          <w:ilvl w:val="0"/>
          <w:numId w:val="0"/>
        </w:numPr>
        <w:spacing w:after="0"/>
        <w:rPr>
          <w:rFonts w:asciiTheme="majorHAnsi" w:hAnsiTheme="majorHAnsi"/>
          <w:b/>
          <w:sz w:val="22"/>
          <w:szCs w:val="22"/>
          <w:u w:val="none"/>
        </w:rPr>
      </w:pPr>
      <w:r w:rsidRPr="00296B24">
        <w:rPr>
          <w:rFonts w:asciiTheme="majorHAnsi" w:hAnsiTheme="majorHAnsi"/>
          <w:b/>
          <w:sz w:val="22"/>
          <w:szCs w:val="22"/>
          <w:u w:val="none"/>
        </w:rPr>
        <w:t>11.2    Banks</w:t>
      </w:r>
    </w:p>
    <w:p w14:paraId="6644F238" w14:textId="77777777" w:rsidR="00FC38D9" w:rsidRPr="00296B24" w:rsidRDefault="00FC38D9" w:rsidP="00FC38D9">
      <w:pPr>
        <w:pStyle w:val="Heading2"/>
        <w:numPr>
          <w:ilvl w:val="0"/>
          <w:numId w:val="0"/>
        </w:numPr>
        <w:rPr>
          <w:rFonts w:asciiTheme="majorHAnsi" w:hAnsiTheme="majorHAnsi"/>
          <w:b/>
          <w:sz w:val="22"/>
          <w:szCs w:val="22"/>
          <w:u w:val="none"/>
        </w:rPr>
      </w:pPr>
      <w:r w:rsidRPr="00296B24">
        <w:rPr>
          <w:rFonts w:asciiTheme="majorHAnsi" w:hAnsiTheme="majorHAnsi"/>
          <w:b/>
          <w:sz w:val="22"/>
          <w:szCs w:val="22"/>
          <w:u w:val="none"/>
        </w:rPr>
        <w:t>11.3   Counter-Parties</w:t>
      </w:r>
    </w:p>
    <w:p w14:paraId="7E0D2B40" w14:textId="77777777" w:rsidR="00FC38D9"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12.     REGULATORY REPORTING</w:t>
      </w:r>
    </w:p>
    <w:p w14:paraId="5A413F71" w14:textId="77777777" w:rsidR="009151CB" w:rsidRDefault="009151CB" w:rsidP="00FC38D9">
      <w:pPr>
        <w:pStyle w:val="Heading1"/>
        <w:numPr>
          <w:ilvl w:val="0"/>
          <w:numId w:val="0"/>
        </w:numPr>
        <w:spacing w:after="0"/>
        <w:rPr>
          <w:rFonts w:asciiTheme="majorHAnsi" w:hAnsiTheme="majorHAnsi"/>
          <w:i/>
          <w:sz w:val="24"/>
          <w:szCs w:val="24"/>
          <w:u w:val="none"/>
        </w:rPr>
      </w:pPr>
    </w:p>
    <w:p w14:paraId="142BC25F" w14:textId="77777777" w:rsidR="009151CB" w:rsidRPr="00296B24" w:rsidRDefault="009151CB"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1</w:t>
      </w:r>
      <w:r>
        <w:rPr>
          <w:rFonts w:asciiTheme="majorHAnsi" w:hAnsiTheme="majorHAnsi"/>
          <w:i/>
          <w:sz w:val="24"/>
          <w:szCs w:val="24"/>
          <w:u w:val="none"/>
        </w:rPr>
        <w:t>3</w:t>
      </w:r>
      <w:r w:rsidRPr="00296B24">
        <w:rPr>
          <w:rFonts w:asciiTheme="majorHAnsi" w:hAnsiTheme="majorHAnsi"/>
          <w:i/>
          <w:sz w:val="24"/>
          <w:szCs w:val="24"/>
          <w:u w:val="none"/>
        </w:rPr>
        <w:t xml:space="preserve">.     </w:t>
      </w:r>
      <w:r>
        <w:rPr>
          <w:rFonts w:asciiTheme="majorHAnsi" w:hAnsiTheme="majorHAnsi"/>
          <w:i/>
          <w:sz w:val="24"/>
          <w:szCs w:val="24"/>
          <w:u w:val="none"/>
        </w:rPr>
        <w:t>PANDEMIC POLICIES</w:t>
      </w:r>
    </w:p>
    <w:p w14:paraId="6DCC74B3" w14:textId="77777777" w:rsidR="00FC38D9" w:rsidRPr="00296B24" w:rsidRDefault="00FC38D9" w:rsidP="00FC38D9">
      <w:pPr>
        <w:rPr>
          <w:rFonts w:asciiTheme="majorHAnsi" w:hAnsiTheme="majorHAnsi"/>
          <w:i/>
        </w:rPr>
      </w:pPr>
    </w:p>
    <w:p w14:paraId="57A5EE16" w14:textId="77777777" w:rsidR="00FC38D9" w:rsidRDefault="00FC38D9" w:rsidP="00FC38D9">
      <w:pPr>
        <w:pStyle w:val="Heading1"/>
        <w:numPr>
          <w:ilvl w:val="0"/>
          <w:numId w:val="0"/>
        </w:numPr>
        <w:spacing w:after="0"/>
        <w:rPr>
          <w:rFonts w:asciiTheme="majorHAnsi" w:hAnsiTheme="majorHAnsi"/>
          <w:i/>
          <w:sz w:val="24"/>
          <w:szCs w:val="24"/>
          <w:u w:val="none"/>
        </w:rPr>
      </w:pPr>
      <w:r w:rsidRPr="00296B24">
        <w:rPr>
          <w:rFonts w:asciiTheme="majorHAnsi" w:hAnsiTheme="majorHAnsi"/>
          <w:i/>
          <w:sz w:val="24"/>
          <w:szCs w:val="24"/>
          <w:u w:val="none"/>
        </w:rPr>
        <w:t>SECTION 1</w:t>
      </w:r>
      <w:r w:rsidR="009151CB">
        <w:rPr>
          <w:rFonts w:asciiTheme="majorHAnsi" w:hAnsiTheme="majorHAnsi"/>
          <w:i/>
          <w:sz w:val="24"/>
          <w:szCs w:val="24"/>
          <w:u w:val="none"/>
        </w:rPr>
        <w:t>4</w:t>
      </w:r>
      <w:r w:rsidRPr="00296B24">
        <w:rPr>
          <w:rFonts w:asciiTheme="majorHAnsi" w:hAnsiTheme="majorHAnsi"/>
          <w:i/>
          <w:sz w:val="24"/>
          <w:szCs w:val="24"/>
          <w:u w:val="none"/>
        </w:rPr>
        <w:t>.     SENIOR MANAGER APPROVAL</w:t>
      </w:r>
    </w:p>
    <w:p w14:paraId="13ABB3F6" w14:textId="77777777" w:rsidR="009151CB" w:rsidRDefault="009151CB" w:rsidP="00FC38D9">
      <w:pPr>
        <w:pStyle w:val="Heading1"/>
        <w:numPr>
          <w:ilvl w:val="0"/>
          <w:numId w:val="0"/>
        </w:numPr>
        <w:spacing w:after="0"/>
        <w:rPr>
          <w:rFonts w:asciiTheme="majorHAnsi" w:hAnsiTheme="majorHAnsi"/>
          <w:i/>
          <w:sz w:val="24"/>
          <w:szCs w:val="24"/>
          <w:u w:val="none"/>
        </w:rPr>
      </w:pPr>
    </w:p>
    <w:p w14:paraId="07F501C9" w14:textId="77777777" w:rsidR="00966868" w:rsidRDefault="00966868" w:rsidP="00966868">
      <w:pPr>
        <w:pStyle w:val="Heading1"/>
        <w:numPr>
          <w:ilvl w:val="0"/>
          <w:numId w:val="0"/>
        </w:numPr>
        <w:spacing w:after="0"/>
        <w:rPr>
          <w:sz w:val="24"/>
          <w:szCs w:val="24"/>
        </w:rPr>
      </w:pPr>
      <w:r w:rsidRPr="00DB78BC">
        <w:rPr>
          <w:sz w:val="24"/>
          <w:szCs w:val="24"/>
          <w:u w:val="none"/>
        </w:rPr>
        <w:t xml:space="preserve">SECTION </w:t>
      </w:r>
      <w:r>
        <w:rPr>
          <w:sz w:val="24"/>
          <w:szCs w:val="24"/>
          <w:u w:val="none"/>
        </w:rPr>
        <w:t>1</w:t>
      </w:r>
      <w:r w:rsidRPr="00DB78BC">
        <w:rPr>
          <w:sz w:val="24"/>
          <w:szCs w:val="24"/>
          <w:u w:val="none"/>
        </w:rPr>
        <w:t xml:space="preserve">.     </w:t>
      </w:r>
      <w:r>
        <w:rPr>
          <w:sz w:val="24"/>
          <w:szCs w:val="24"/>
        </w:rPr>
        <w:t>FIRM</w:t>
      </w:r>
      <w:r w:rsidRPr="00530BD5">
        <w:rPr>
          <w:sz w:val="24"/>
          <w:szCs w:val="24"/>
        </w:rPr>
        <w:t xml:space="preserve"> POLICY</w:t>
      </w:r>
    </w:p>
    <w:p w14:paraId="5D52321E" w14:textId="77777777" w:rsidR="00966868" w:rsidRPr="00C0700E" w:rsidRDefault="00966868" w:rsidP="00966868">
      <w:pPr>
        <w:widowControl w:val="0"/>
        <w:tabs>
          <w:tab w:val="left" w:pos="6600"/>
        </w:tabs>
        <w:autoSpaceDE w:val="0"/>
        <w:autoSpaceDN w:val="0"/>
        <w:adjustRightInd w:val="0"/>
        <w:rPr>
          <w:b/>
          <w:bCs/>
          <w:sz w:val="22"/>
          <w:szCs w:val="22"/>
          <w:u w:val="single"/>
        </w:rPr>
      </w:pPr>
      <w:r w:rsidRPr="00C0700E">
        <w:rPr>
          <w:b/>
          <w:bCs/>
          <w:sz w:val="22"/>
          <w:szCs w:val="22"/>
          <w:u w:val="single"/>
        </w:rPr>
        <w:t>References:</w:t>
      </w:r>
    </w:p>
    <w:p w14:paraId="35598848" w14:textId="77777777" w:rsidR="00966868" w:rsidRPr="00C0700E" w:rsidRDefault="00966868" w:rsidP="00966868">
      <w:pPr>
        <w:rPr>
          <w:sz w:val="22"/>
          <w:szCs w:val="22"/>
        </w:rPr>
      </w:pPr>
      <w:r w:rsidRPr="00C0700E">
        <w:rPr>
          <w:b/>
          <w:sz w:val="22"/>
          <w:szCs w:val="22"/>
        </w:rPr>
        <w:t>FINRA Rule 4370</w:t>
      </w:r>
    </w:p>
    <w:p w14:paraId="46CE14C3" w14:textId="77777777" w:rsidR="00966868" w:rsidRPr="00530BD5" w:rsidRDefault="00966868" w:rsidP="00966868">
      <w:pPr>
        <w:pStyle w:val="Heading1"/>
        <w:numPr>
          <w:ilvl w:val="0"/>
          <w:numId w:val="0"/>
        </w:numPr>
        <w:rPr>
          <w:sz w:val="24"/>
          <w:szCs w:val="24"/>
        </w:rPr>
      </w:pPr>
      <w:r w:rsidRPr="00530BD5">
        <w:rPr>
          <w:sz w:val="24"/>
          <w:szCs w:val="24"/>
        </w:rPr>
        <w:t xml:space="preserve"> </w:t>
      </w:r>
    </w:p>
    <w:p w14:paraId="6AFF582D" w14:textId="77777777" w:rsidR="00966868" w:rsidRPr="00D66250" w:rsidRDefault="00966868" w:rsidP="00966868">
      <w:pPr>
        <w:rPr>
          <w:sz w:val="22"/>
          <w:szCs w:val="22"/>
        </w:rPr>
      </w:pPr>
      <w:r w:rsidRPr="00D66250">
        <w:rPr>
          <w:sz w:val="22"/>
          <w:szCs w:val="22"/>
        </w:rPr>
        <w:t xml:space="preserve">The Firm will maintain this written business continuity plan identifying procedures relating to an emergency or significant business disruption. The procedures will be reasonably designed to enable the Firm to meet its existing obligations to customers. In addition, the procedures will address the Firm's existing relationships with other broker-dealers and counter-parties. The business continuity plan will be made available promptly upon request to </w:t>
      </w:r>
      <w:r w:rsidRPr="00D66250">
        <w:rPr>
          <w:rStyle w:val="us"/>
          <w:sz w:val="22"/>
          <w:szCs w:val="22"/>
        </w:rPr>
        <w:t>FINRA</w:t>
      </w:r>
      <w:r w:rsidRPr="00D66250">
        <w:rPr>
          <w:sz w:val="22"/>
          <w:szCs w:val="22"/>
        </w:rPr>
        <w:t xml:space="preserve"> staff. </w:t>
      </w:r>
    </w:p>
    <w:p w14:paraId="60E6A04B" w14:textId="77777777" w:rsidR="00966868" w:rsidRPr="00D66250" w:rsidRDefault="00966868" w:rsidP="00966868">
      <w:pPr>
        <w:rPr>
          <w:sz w:val="22"/>
          <w:szCs w:val="22"/>
        </w:rPr>
      </w:pPr>
      <w:r w:rsidRPr="00D66250">
        <w:rPr>
          <w:sz w:val="22"/>
          <w:szCs w:val="22"/>
        </w:rPr>
        <w:t xml:space="preserve">The Firm will update its plan in the event of any material change to the Firm's operations, structure, business or location. The Firm will also conduct an annual review of its business continuity plan to determine whether any modifications are necessary in light of changes to the Firm's operations, structure, business, or location. </w:t>
      </w:r>
    </w:p>
    <w:p w14:paraId="0AA05775" w14:textId="77777777" w:rsidR="00966868" w:rsidRPr="00D66250" w:rsidRDefault="00966868" w:rsidP="00966868">
      <w:pPr>
        <w:rPr>
          <w:sz w:val="22"/>
          <w:szCs w:val="22"/>
        </w:rPr>
      </w:pPr>
    </w:p>
    <w:p w14:paraId="4447E0CC" w14:textId="77777777" w:rsidR="00966868" w:rsidRPr="00D66250" w:rsidRDefault="00966868" w:rsidP="00913D11">
      <w:pPr>
        <w:rPr>
          <w:sz w:val="22"/>
          <w:szCs w:val="22"/>
        </w:rPr>
      </w:pPr>
      <w:r w:rsidRPr="00D66250">
        <w:rPr>
          <w:sz w:val="22"/>
          <w:szCs w:val="22"/>
        </w:rPr>
        <w:t xml:space="preserve">The elements that comprise the business continuity plan include, data back-up and recovery (hard copy and electronic), all mission critical systems, financial and operational assessments, alternate communications between customers and the Firm, alternate communications between the Firm and its employees, alternate physical location of employees, critical business constituent, bank, and counter-party impact, regulatory reporting, communications with regulators and how the </w:t>
      </w:r>
      <w:r w:rsidR="00913D11">
        <w:rPr>
          <w:sz w:val="22"/>
          <w:szCs w:val="22"/>
        </w:rPr>
        <w:t>Firm</w:t>
      </w:r>
      <w:r w:rsidRPr="00D66250">
        <w:rPr>
          <w:sz w:val="22"/>
          <w:szCs w:val="22"/>
        </w:rPr>
        <w:t xml:space="preserve"> will assure customers' prompt access to their funds a</w:t>
      </w:r>
      <w:r w:rsidR="00913D11">
        <w:rPr>
          <w:sz w:val="22"/>
          <w:szCs w:val="22"/>
        </w:rPr>
        <w:t xml:space="preserve">nd securities in the event </w:t>
      </w:r>
      <w:r w:rsidRPr="00D66250">
        <w:rPr>
          <w:sz w:val="22"/>
          <w:szCs w:val="22"/>
        </w:rPr>
        <w:t xml:space="preserve">the Firm determines that it is unable to continue its business. </w:t>
      </w:r>
    </w:p>
    <w:p w14:paraId="1487BBEB" w14:textId="77777777" w:rsidR="00966868" w:rsidRPr="00D66250" w:rsidRDefault="00966868" w:rsidP="00966868">
      <w:pPr>
        <w:rPr>
          <w:sz w:val="22"/>
          <w:szCs w:val="22"/>
        </w:rPr>
      </w:pPr>
    </w:p>
    <w:p w14:paraId="3640D6A0" w14:textId="77777777" w:rsidR="008C5B91" w:rsidRPr="00D66250" w:rsidRDefault="00966868" w:rsidP="00D25446">
      <w:pPr>
        <w:rPr>
          <w:sz w:val="22"/>
          <w:szCs w:val="22"/>
        </w:rPr>
      </w:pPr>
      <w:r w:rsidRPr="00D66250">
        <w:rPr>
          <w:sz w:val="22"/>
          <w:szCs w:val="22"/>
        </w:rPr>
        <w:t xml:space="preserve">The Firm will designate </w:t>
      </w:r>
      <w:r w:rsidR="007C67C7">
        <w:rPr>
          <w:sz w:val="22"/>
          <w:szCs w:val="22"/>
        </w:rPr>
        <w:t xml:space="preserve">Vincent </w:t>
      </w:r>
      <w:proofErr w:type="spellStart"/>
      <w:r w:rsidR="007C67C7">
        <w:rPr>
          <w:sz w:val="22"/>
          <w:szCs w:val="22"/>
        </w:rPr>
        <w:t>Defillipo</w:t>
      </w:r>
      <w:proofErr w:type="spellEnd"/>
      <w:r w:rsidR="007C67C7">
        <w:rPr>
          <w:sz w:val="22"/>
          <w:szCs w:val="22"/>
        </w:rPr>
        <w:t xml:space="preserve"> </w:t>
      </w:r>
      <w:r w:rsidRPr="00D66250">
        <w:rPr>
          <w:sz w:val="22"/>
          <w:szCs w:val="22"/>
        </w:rPr>
        <w:t>a member of senior management to approve the plan and</w:t>
      </w:r>
      <w:r w:rsidR="005E129E" w:rsidRPr="00D66250">
        <w:rPr>
          <w:sz w:val="22"/>
          <w:szCs w:val="22"/>
        </w:rPr>
        <w:t xml:space="preserve"> who</w:t>
      </w:r>
      <w:r w:rsidRPr="00D66250">
        <w:rPr>
          <w:sz w:val="22"/>
          <w:szCs w:val="22"/>
        </w:rPr>
        <w:t xml:space="preserve"> will </w:t>
      </w:r>
      <w:r w:rsidR="005E129E" w:rsidRPr="00D66250">
        <w:rPr>
          <w:sz w:val="22"/>
          <w:szCs w:val="22"/>
        </w:rPr>
        <w:t xml:space="preserve">also </w:t>
      </w:r>
      <w:r w:rsidRPr="00D66250">
        <w:rPr>
          <w:sz w:val="22"/>
          <w:szCs w:val="22"/>
        </w:rPr>
        <w:t xml:space="preserve">be responsible for conducting the required annual review. </w:t>
      </w:r>
      <w:r w:rsidR="008C5B91" w:rsidRPr="00D66250">
        <w:rPr>
          <w:sz w:val="22"/>
          <w:szCs w:val="22"/>
        </w:rPr>
        <w:t xml:space="preserve">  </w:t>
      </w:r>
      <w:r w:rsidR="00F05D80">
        <w:rPr>
          <w:sz w:val="22"/>
          <w:szCs w:val="22"/>
        </w:rPr>
        <w:t>Moreover, he</w:t>
      </w:r>
      <w:r w:rsidR="008C5B91" w:rsidRPr="00D66250">
        <w:rPr>
          <w:sz w:val="22"/>
          <w:szCs w:val="22"/>
        </w:rPr>
        <w:t xml:space="preserve"> has the authority to execute this BCP.</w:t>
      </w:r>
    </w:p>
    <w:p w14:paraId="70769110" w14:textId="77777777" w:rsidR="00966868" w:rsidRPr="00D66250" w:rsidRDefault="00966868" w:rsidP="00966868">
      <w:pPr>
        <w:rPr>
          <w:sz w:val="22"/>
          <w:szCs w:val="22"/>
        </w:rPr>
      </w:pPr>
    </w:p>
    <w:p w14:paraId="0FA803F5" w14:textId="77777777" w:rsidR="00966868" w:rsidRPr="00D66250" w:rsidRDefault="00966868" w:rsidP="00966868">
      <w:pPr>
        <w:rPr>
          <w:sz w:val="22"/>
          <w:szCs w:val="22"/>
        </w:rPr>
      </w:pPr>
      <w:r w:rsidRPr="00D66250">
        <w:rPr>
          <w:sz w:val="22"/>
          <w:szCs w:val="22"/>
        </w:rPr>
        <w:t xml:space="preserve">The Firm will disclose to its customers how its business continuity plan addresses the possibility of a future significant business disruption and how the Firm plans to respond to events of varying scope. At a minimum, the disclosure will be made in writing to customers at account opening, posted on the Firm's Web site and mailed to customers upon request. </w:t>
      </w:r>
    </w:p>
    <w:p w14:paraId="3BAC8C45" w14:textId="77777777" w:rsidR="00966868" w:rsidRPr="00D66250" w:rsidRDefault="00966868" w:rsidP="00966868">
      <w:pPr>
        <w:rPr>
          <w:sz w:val="22"/>
          <w:szCs w:val="22"/>
        </w:rPr>
      </w:pPr>
    </w:p>
    <w:p w14:paraId="658E0ABB" w14:textId="77777777" w:rsidR="00966868" w:rsidRPr="00D66250" w:rsidRDefault="00966868" w:rsidP="00966868">
      <w:pPr>
        <w:rPr>
          <w:sz w:val="22"/>
          <w:szCs w:val="22"/>
        </w:rPr>
      </w:pPr>
      <w:r w:rsidRPr="00D66250">
        <w:rPr>
          <w:rStyle w:val="us"/>
          <w:sz w:val="22"/>
          <w:szCs w:val="22"/>
        </w:rPr>
        <w:t>The Firm will promptly update its emergency contact information, via electronic or other means as FINRA may specify, in the event of any material change. With respect to the designated emergency contact persons, the Firm will identify, review, and, if necessary, update such designations in the manner prescribed by NASD Rule 1160.</w:t>
      </w:r>
      <w:r w:rsidRPr="00D66250">
        <w:rPr>
          <w:sz w:val="22"/>
          <w:szCs w:val="22"/>
        </w:rPr>
        <w:t xml:space="preserve"> </w:t>
      </w:r>
    </w:p>
    <w:p w14:paraId="153E95B5" w14:textId="77777777" w:rsidR="00966868" w:rsidRPr="00D66250" w:rsidRDefault="00966868" w:rsidP="00966868">
      <w:pPr>
        <w:rPr>
          <w:sz w:val="22"/>
          <w:szCs w:val="22"/>
        </w:rPr>
      </w:pPr>
    </w:p>
    <w:p w14:paraId="1D01F834" w14:textId="77777777" w:rsidR="00F555DC" w:rsidRPr="00D66250" w:rsidRDefault="00F555DC" w:rsidP="00F555DC">
      <w:pPr>
        <w:rPr>
          <w:sz w:val="22"/>
          <w:szCs w:val="22"/>
        </w:rPr>
      </w:pPr>
      <w:r w:rsidRPr="00D66250">
        <w:rPr>
          <w:sz w:val="22"/>
          <w:szCs w:val="22"/>
        </w:rPr>
        <w:t xml:space="preserve">The Firm’s policy is to respond to a Significant Business Disruption (SBD) by safeguarding employees’ lives and Firm property, making financial and operational assessments, quickly recovering and resuming operations, protecting all of the Firm’s books and records, and allowing customers to transact business.  In the event the Firm determines it is unable to continue conducting business, the Firm will </w:t>
      </w:r>
      <w:r>
        <w:rPr>
          <w:sz w:val="22"/>
          <w:szCs w:val="22"/>
        </w:rPr>
        <w:t>notify clients, banks and regulators of the Firm’s inability to continue operations</w:t>
      </w:r>
      <w:r w:rsidRPr="00D66250">
        <w:rPr>
          <w:sz w:val="22"/>
          <w:szCs w:val="22"/>
        </w:rPr>
        <w:t xml:space="preserve">.  </w:t>
      </w:r>
    </w:p>
    <w:p w14:paraId="6F9BA640" w14:textId="77777777" w:rsidR="00966868" w:rsidRDefault="00966868" w:rsidP="00966868"/>
    <w:p w14:paraId="4145CA67" w14:textId="77777777" w:rsidR="00966868" w:rsidRDefault="005E129E" w:rsidP="00966868">
      <w:pPr>
        <w:pStyle w:val="Heading2"/>
        <w:numPr>
          <w:ilvl w:val="0"/>
          <w:numId w:val="0"/>
        </w:numPr>
      </w:pPr>
      <w:r>
        <w:rPr>
          <w:b/>
          <w:sz w:val="24"/>
          <w:szCs w:val="24"/>
          <w:u w:val="none"/>
        </w:rPr>
        <w:t>1</w:t>
      </w:r>
      <w:r w:rsidR="00966868" w:rsidRPr="00C0700E">
        <w:rPr>
          <w:b/>
          <w:sz w:val="24"/>
          <w:szCs w:val="24"/>
          <w:u w:val="none"/>
        </w:rPr>
        <w:t>.1</w:t>
      </w:r>
      <w:r w:rsidR="00966868" w:rsidRPr="00C0700E">
        <w:rPr>
          <w:sz w:val="24"/>
          <w:szCs w:val="24"/>
          <w:u w:val="none"/>
        </w:rPr>
        <w:t xml:space="preserve"> </w:t>
      </w:r>
      <w:r w:rsidR="00966868" w:rsidRPr="00C0700E">
        <w:rPr>
          <w:u w:val="none"/>
        </w:rPr>
        <w:t xml:space="preserve">     </w:t>
      </w:r>
      <w:r w:rsidR="00966868" w:rsidRPr="00C0700E">
        <w:rPr>
          <w:b/>
          <w:sz w:val="24"/>
          <w:szCs w:val="24"/>
        </w:rPr>
        <w:t>Significant Business Disruptions (SBDs)</w:t>
      </w:r>
    </w:p>
    <w:p w14:paraId="2D72B3A7" w14:textId="77777777" w:rsidR="00F251F3" w:rsidRDefault="00F251F3" w:rsidP="00966868">
      <w:pPr>
        <w:rPr>
          <w:sz w:val="22"/>
          <w:szCs w:val="22"/>
        </w:rPr>
      </w:pPr>
    </w:p>
    <w:p w14:paraId="2462C62A" w14:textId="77777777" w:rsidR="00966868" w:rsidRPr="00E3456E" w:rsidRDefault="00966868" w:rsidP="00966868">
      <w:pPr>
        <w:rPr>
          <w:iCs/>
          <w:sz w:val="22"/>
          <w:szCs w:val="22"/>
        </w:rPr>
      </w:pPr>
      <w:r w:rsidRPr="00E3456E">
        <w:rPr>
          <w:sz w:val="22"/>
          <w:szCs w:val="22"/>
        </w:rPr>
        <w:t xml:space="preserve">The plan anticipates two kinds of SBDs, internal and external.  Internal SBDs </w:t>
      </w:r>
      <w:r w:rsidR="005E129E">
        <w:rPr>
          <w:sz w:val="22"/>
          <w:szCs w:val="22"/>
        </w:rPr>
        <w:t xml:space="preserve">only </w:t>
      </w:r>
      <w:r w:rsidRPr="00E3456E">
        <w:rPr>
          <w:sz w:val="22"/>
          <w:szCs w:val="22"/>
        </w:rPr>
        <w:t xml:space="preserve">affect the Firm’s ability to communicate and </w:t>
      </w:r>
      <w:r w:rsidR="00F251F3">
        <w:rPr>
          <w:sz w:val="22"/>
          <w:szCs w:val="22"/>
        </w:rPr>
        <w:t>conduct business.  An example of</w:t>
      </w:r>
      <w:r w:rsidRPr="00E3456E">
        <w:rPr>
          <w:sz w:val="22"/>
          <w:szCs w:val="22"/>
        </w:rPr>
        <w:t xml:space="preserve"> such </w:t>
      </w:r>
      <w:r w:rsidR="00F251F3">
        <w:rPr>
          <w:sz w:val="22"/>
          <w:szCs w:val="22"/>
        </w:rPr>
        <w:t xml:space="preserve">an event would be </w:t>
      </w:r>
      <w:r w:rsidRPr="00E3456E">
        <w:rPr>
          <w:sz w:val="22"/>
          <w:szCs w:val="22"/>
        </w:rPr>
        <w:t xml:space="preserve">a fire in the </w:t>
      </w:r>
      <w:r w:rsidR="00F251F3">
        <w:rPr>
          <w:sz w:val="22"/>
          <w:szCs w:val="22"/>
        </w:rPr>
        <w:t xml:space="preserve">Firm’s office </w:t>
      </w:r>
      <w:r w:rsidRPr="00E3456E">
        <w:rPr>
          <w:sz w:val="22"/>
          <w:szCs w:val="22"/>
        </w:rPr>
        <w:t xml:space="preserve">building.  External SBDs prevent the operation of the securities markets or a number of firms, such </w:t>
      </w:r>
      <w:r w:rsidRPr="00E3456E">
        <w:rPr>
          <w:sz w:val="22"/>
          <w:szCs w:val="22"/>
        </w:rPr>
        <w:lastRenderedPageBreak/>
        <w:t>as a terrorist attack, a city flood, or a wide-scale, regional disruption.  The response to an external SBD relies more heavily on other organizations and systems.</w:t>
      </w:r>
    </w:p>
    <w:p w14:paraId="7C591172" w14:textId="77777777" w:rsidR="00966868" w:rsidRDefault="00966868" w:rsidP="00966868"/>
    <w:p w14:paraId="7FFF3A98" w14:textId="77777777" w:rsidR="00DB78BC" w:rsidRPr="00DB78BC" w:rsidRDefault="00DB78BC" w:rsidP="00DB78BC">
      <w:pPr>
        <w:pStyle w:val="Heading1"/>
        <w:numPr>
          <w:ilvl w:val="0"/>
          <w:numId w:val="0"/>
        </w:numPr>
        <w:spacing w:after="0"/>
        <w:rPr>
          <w:sz w:val="24"/>
          <w:szCs w:val="24"/>
          <w:u w:val="none"/>
        </w:rPr>
      </w:pPr>
      <w:r w:rsidRPr="00DB78BC">
        <w:rPr>
          <w:sz w:val="24"/>
          <w:szCs w:val="24"/>
          <w:u w:val="none"/>
        </w:rPr>
        <w:t xml:space="preserve">SECTION </w:t>
      </w:r>
      <w:r w:rsidR="00966868">
        <w:rPr>
          <w:sz w:val="24"/>
          <w:szCs w:val="24"/>
          <w:u w:val="none"/>
        </w:rPr>
        <w:t>2</w:t>
      </w:r>
      <w:r w:rsidRPr="00DB78BC">
        <w:rPr>
          <w:sz w:val="24"/>
          <w:szCs w:val="24"/>
          <w:u w:val="none"/>
        </w:rPr>
        <w:t xml:space="preserve">.     </w:t>
      </w:r>
      <w:r w:rsidRPr="00DB78BC">
        <w:rPr>
          <w:sz w:val="24"/>
          <w:szCs w:val="24"/>
        </w:rPr>
        <w:t>EMERGENCY CONTACT PERSONS</w:t>
      </w:r>
    </w:p>
    <w:p w14:paraId="7D77E6E8" w14:textId="77777777" w:rsidR="00DB78BC" w:rsidRPr="00DB78BC" w:rsidRDefault="00DB78BC" w:rsidP="00DB78BC">
      <w:pPr>
        <w:pStyle w:val="Heading1"/>
        <w:numPr>
          <w:ilvl w:val="0"/>
          <w:numId w:val="0"/>
        </w:numPr>
        <w:spacing w:after="0"/>
        <w:rPr>
          <w:sz w:val="22"/>
          <w:szCs w:val="22"/>
          <w:u w:val="none"/>
        </w:rPr>
      </w:pPr>
      <w:r w:rsidRPr="00DB78BC">
        <w:rPr>
          <w:sz w:val="22"/>
          <w:szCs w:val="22"/>
        </w:rPr>
        <w:t>References:</w:t>
      </w:r>
    </w:p>
    <w:p w14:paraId="7BE23EB3" w14:textId="77777777" w:rsidR="00DB78BC" w:rsidRDefault="00DB78BC" w:rsidP="00DB78BC">
      <w:pPr>
        <w:rPr>
          <w:b/>
          <w:sz w:val="22"/>
          <w:szCs w:val="22"/>
          <w:u w:val="single"/>
        </w:rPr>
      </w:pPr>
      <w:r w:rsidRPr="00DB78BC">
        <w:rPr>
          <w:b/>
          <w:sz w:val="22"/>
          <w:szCs w:val="22"/>
          <w:u w:val="single"/>
        </w:rPr>
        <w:t>FINRA Rule 4370</w:t>
      </w:r>
      <w:r w:rsidR="00F251F3">
        <w:rPr>
          <w:b/>
          <w:sz w:val="22"/>
          <w:szCs w:val="22"/>
          <w:u w:val="single"/>
        </w:rPr>
        <w:t>, NASD Rule 1160</w:t>
      </w:r>
    </w:p>
    <w:p w14:paraId="318C52F0" w14:textId="77777777" w:rsidR="00F251F3" w:rsidRPr="00DB78BC" w:rsidRDefault="00F251F3" w:rsidP="00DB78BC">
      <w:pPr>
        <w:rPr>
          <w:sz w:val="22"/>
          <w:szCs w:val="22"/>
          <w:u w:val="single"/>
        </w:rPr>
      </w:pPr>
      <w:r>
        <w:rPr>
          <w:b/>
          <w:sz w:val="22"/>
          <w:szCs w:val="22"/>
          <w:u w:val="single"/>
        </w:rPr>
        <w:t>NTM 07-42</w:t>
      </w:r>
    </w:p>
    <w:p w14:paraId="6F56890B" w14:textId="77777777" w:rsidR="00DB78BC" w:rsidRPr="00E3456E" w:rsidRDefault="00DB78BC" w:rsidP="00DB78BC">
      <w:pPr>
        <w:pStyle w:val="Heading1"/>
        <w:numPr>
          <w:ilvl w:val="0"/>
          <w:numId w:val="0"/>
        </w:numPr>
        <w:rPr>
          <w:sz w:val="22"/>
          <w:szCs w:val="22"/>
        </w:rPr>
      </w:pPr>
    </w:p>
    <w:p w14:paraId="65D44C40" w14:textId="7301368C" w:rsidR="0001000D" w:rsidRDefault="00C0700E" w:rsidP="00D25446">
      <w:pPr>
        <w:rPr>
          <w:sz w:val="22"/>
          <w:szCs w:val="22"/>
        </w:rPr>
      </w:pPr>
      <w:r w:rsidRPr="00E3456E">
        <w:rPr>
          <w:sz w:val="22"/>
          <w:szCs w:val="22"/>
        </w:rPr>
        <w:t>The Firm</w:t>
      </w:r>
      <w:r w:rsidR="009D03CC">
        <w:rPr>
          <w:sz w:val="22"/>
          <w:szCs w:val="22"/>
        </w:rPr>
        <w:t>’s emergency contact person is</w:t>
      </w:r>
      <w:r w:rsidR="0045074B" w:rsidRPr="00E3456E">
        <w:rPr>
          <w:sz w:val="22"/>
          <w:szCs w:val="22"/>
        </w:rPr>
        <w:t>:</w:t>
      </w:r>
      <w:r w:rsidR="00BF256A">
        <w:rPr>
          <w:sz w:val="22"/>
          <w:szCs w:val="22"/>
        </w:rPr>
        <w:t xml:space="preserve"> </w:t>
      </w:r>
      <w:r w:rsidR="00277C61">
        <w:rPr>
          <w:sz w:val="22"/>
          <w:szCs w:val="22"/>
        </w:rPr>
        <w:t xml:space="preserve">Vincent </w:t>
      </w:r>
      <w:r w:rsidR="002B3FBC">
        <w:rPr>
          <w:sz w:val="22"/>
          <w:szCs w:val="22"/>
        </w:rPr>
        <w:t xml:space="preserve">DeFilippo, </w:t>
      </w:r>
      <w:proofErr w:type="gramStart"/>
      <w:r w:rsidR="002B3FBC">
        <w:rPr>
          <w:sz w:val="22"/>
          <w:szCs w:val="22"/>
        </w:rPr>
        <w:t>Tel:,</w:t>
      </w:r>
      <w:proofErr w:type="gramEnd"/>
      <w:r w:rsidR="00B1508D">
        <w:rPr>
          <w:sz w:val="22"/>
          <w:szCs w:val="22"/>
        </w:rPr>
        <w:t xml:space="preserve"> </w:t>
      </w:r>
      <w:r w:rsidR="008B1307">
        <w:rPr>
          <w:sz w:val="22"/>
          <w:szCs w:val="22"/>
        </w:rPr>
        <w:t>347-284-0110</w:t>
      </w:r>
      <w:r w:rsidR="00B1508D">
        <w:rPr>
          <w:sz w:val="22"/>
          <w:szCs w:val="22"/>
        </w:rPr>
        <w:t xml:space="preserve">, email: </w:t>
      </w:r>
      <w:r w:rsidR="00277C61">
        <w:rPr>
          <w:sz w:val="22"/>
          <w:szCs w:val="22"/>
        </w:rPr>
        <w:t xml:space="preserve"> </w:t>
      </w:r>
      <w:hyperlink r:id="rId8" w:history="1">
        <w:r w:rsidR="00277C61" w:rsidRPr="00DA7A5C">
          <w:rPr>
            <w:rStyle w:val="Hyperlink"/>
            <w:sz w:val="22"/>
            <w:szCs w:val="22"/>
          </w:rPr>
          <w:t>vdefilippo8@hotmail.com</w:t>
        </w:r>
      </w:hyperlink>
      <w:r w:rsidRPr="00E3456E">
        <w:rPr>
          <w:sz w:val="22"/>
          <w:szCs w:val="22"/>
        </w:rPr>
        <w:t>.</w:t>
      </w:r>
      <w:r w:rsidR="009F3C74">
        <w:rPr>
          <w:sz w:val="22"/>
          <w:szCs w:val="22"/>
        </w:rPr>
        <w:t xml:space="preserve"> </w:t>
      </w:r>
      <w:r w:rsidR="007C67C7">
        <w:rPr>
          <w:sz w:val="22"/>
          <w:szCs w:val="22"/>
        </w:rPr>
        <w:t>The second backup is Mr. McCabe</w:t>
      </w:r>
      <w:r w:rsidR="0001000D">
        <w:rPr>
          <w:sz w:val="22"/>
          <w:szCs w:val="22"/>
        </w:rPr>
        <w:t xml:space="preserve">, </w:t>
      </w:r>
      <w:hyperlink r:id="rId9" w:history="1">
        <w:r w:rsidR="0001000D" w:rsidRPr="00520DBC">
          <w:rPr>
            <w:rStyle w:val="Hyperlink"/>
            <w:sz w:val="22"/>
            <w:szCs w:val="22"/>
          </w:rPr>
          <w:t>ed@finopsolutions.com</w:t>
        </w:r>
      </w:hyperlink>
      <w:r w:rsidR="0001000D">
        <w:rPr>
          <w:sz w:val="22"/>
          <w:szCs w:val="22"/>
        </w:rPr>
        <w:t>.</w:t>
      </w:r>
    </w:p>
    <w:p w14:paraId="1C7E2AC3" w14:textId="77777777" w:rsidR="0045074B" w:rsidRPr="00B1508D" w:rsidRDefault="009F3C74" w:rsidP="00D25446">
      <w:pPr>
        <w:rPr>
          <w:sz w:val="22"/>
          <w:szCs w:val="22"/>
        </w:rPr>
      </w:pPr>
      <w:r>
        <w:rPr>
          <w:sz w:val="22"/>
          <w:szCs w:val="22"/>
        </w:rPr>
        <w:t xml:space="preserve">This information </w:t>
      </w:r>
      <w:r w:rsidR="0045074B" w:rsidRPr="00E3456E">
        <w:rPr>
          <w:sz w:val="22"/>
          <w:szCs w:val="22"/>
        </w:rPr>
        <w:t>will be updated in the event of a material change</w:t>
      </w:r>
      <w:r w:rsidR="00D24A0F" w:rsidRPr="00E3456E">
        <w:rPr>
          <w:sz w:val="22"/>
          <w:szCs w:val="22"/>
        </w:rPr>
        <w:t xml:space="preserve"> </w:t>
      </w:r>
      <w:r w:rsidR="00D24A0F" w:rsidRPr="00E3456E">
        <w:rPr>
          <w:color w:val="000000"/>
          <w:sz w:val="22"/>
          <w:szCs w:val="22"/>
        </w:rPr>
        <w:t xml:space="preserve">pursuant to </w:t>
      </w:r>
      <w:r w:rsidR="00C0700E" w:rsidRPr="00E3456E">
        <w:rPr>
          <w:color w:val="000000"/>
          <w:sz w:val="22"/>
          <w:szCs w:val="22"/>
        </w:rPr>
        <w:t xml:space="preserve">NASD </w:t>
      </w:r>
      <w:r w:rsidR="00D24A0F" w:rsidRPr="00E3456E">
        <w:rPr>
          <w:color w:val="000000"/>
          <w:sz w:val="22"/>
          <w:szCs w:val="22"/>
        </w:rPr>
        <w:t xml:space="preserve">Rule 1160 and NTM 07-42, and </w:t>
      </w:r>
      <w:r w:rsidR="00C0700E" w:rsidRPr="00E3456E">
        <w:rPr>
          <w:color w:val="000000"/>
          <w:sz w:val="22"/>
          <w:szCs w:val="22"/>
        </w:rPr>
        <w:t>the Firm’s</w:t>
      </w:r>
      <w:r w:rsidR="00D24A0F" w:rsidRPr="00E3456E">
        <w:rPr>
          <w:color w:val="000000"/>
          <w:sz w:val="22"/>
          <w:szCs w:val="22"/>
        </w:rPr>
        <w:t xml:space="preserve"> Executive Representative will verify this information on an annual basis and will comply promptly with any request for such information.</w:t>
      </w:r>
    </w:p>
    <w:p w14:paraId="2F3B49D1" w14:textId="77777777" w:rsidR="00522A86" w:rsidRDefault="00522A86" w:rsidP="00522A86">
      <w:pPr>
        <w:pStyle w:val="Heading1"/>
        <w:numPr>
          <w:ilvl w:val="0"/>
          <w:numId w:val="0"/>
        </w:numPr>
        <w:rPr>
          <w:b w:val="0"/>
          <w:bCs w:val="0"/>
          <w:iCs/>
          <w:sz w:val="24"/>
          <w:szCs w:val="24"/>
          <w:u w:val="none"/>
        </w:rPr>
      </w:pPr>
    </w:p>
    <w:p w14:paraId="108B9BA3" w14:textId="77777777" w:rsidR="0045074B" w:rsidRDefault="00C0700E" w:rsidP="00C0700E">
      <w:pPr>
        <w:pStyle w:val="Heading1"/>
        <w:numPr>
          <w:ilvl w:val="0"/>
          <w:numId w:val="0"/>
        </w:numPr>
      </w:pPr>
      <w:r w:rsidRPr="00DB78BC">
        <w:rPr>
          <w:sz w:val="24"/>
          <w:szCs w:val="24"/>
          <w:u w:val="none"/>
        </w:rPr>
        <w:t xml:space="preserve">SECTION </w:t>
      </w:r>
      <w:r>
        <w:rPr>
          <w:sz w:val="24"/>
          <w:szCs w:val="24"/>
          <w:u w:val="none"/>
        </w:rPr>
        <w:t>3</w:t>
      </w:r>
      <w:r w:rsidRPr="00DB78BC">
        <w:rPr>
          <w:sz w:val="24"/>
          <w:szCs w:val="24"/>
          <w:u w:val="none"/>
        </w:rPr>
        <w:t xml:space="preserve">.     </w:t>
      </w:r>
      <w:r w:rsidRPr="00C0700E">
        <w:rPr>
          <w:sz w:val="24"/>
          <w:szCs w:val="24"/>
        </w:rPr>
        <w:t>BUSINESS DESCRIPTION</w:t>
      </w:r>
    </w:p>
    <w:p w14:paraId="56DE8558" w14:textId="77777777" w:rsidR="00F251F3" w:rsidRDefault="00F251F3" w:rsidP="00B51D8A">
      <w:pPr>
        <w:rPr>
          <w:sz w:val="22"/>
          <w:szCs w:val="22"/>
        </w:rPr>
      </w:pPr>
    </w:p>
    <w:p w14:paraId="31AE6599" w14:textId="77777777" w:rsidR="0047454D" w:rsidRDefault="00C0700E" w:rsidP="009F3C74">
      <w:r w:rsidRPr="00E3456E">
        <w:rPr>
          <w:sz w:val="22"/>
          <w:szCs w:val="22"/>
        </w:rPr>
        <w:t>The</w:t>
      </w:r>
      <w:r w:rsidR="0045074B" w:rsidRPr="00E3456E">
        <w:rPr>
          <w:sz w:val="22"/>
          <w:szCs w:val="22"/>
        </w:rPr>
        <w:t xml:space="preserve"> </w:t>
      </w:r>
      <w:r w:rsidRPr="00E3456E">
        <w:rPr>
          <w:sz w:val="22"/>
          <w:szCs w:val="22"/>
        </w:rPr>
        <w:t>Firm</w:t>
      </w:r>
      <w:r w:rsidR="0045074B" w:rsidRPr="00E3456E">
        <w:rPr>
          <w:sz w:val="22"/>
          <w:szCs w:val="22"/>
        </w:rPr>
        <w:t xml:space="preserve"> is an introducing </w:t>
      </w:r>
      <w:r w:rsidRPr="00E3456E">
        <w:rPr>
          <w:sz w:val="22"/>
          <w:szCs w:val="22"/>
        </w:rPr>
        <w:t>Firm</w:t>
      </w:r>
      <w:r w:rsidR="0045074B" w:rsidRPr="00E3456E">
        <w:rPr>
          <w:sz w:val="22"/>
          <w:szCs w:val="22"/>
        </w:rPr>
        <w:t xml:space="preserve"> and does not perform any type of clearing function for itself or others.  Furthermore, </w:t>
      </w:r>
      <w:r w:rsidRPr="00E3456E">
        <w:rPr>
          <w:sz w:val="22"/>
          <w:szCs w:val="22"/>
        </w:rPr>
        <w:t>the Firm</w:t>
      </w:r>
      <w:r w:rsidR="0045074B" w:rsidRPr="00E3456E">
        <w:rPr>
          <w:sz w:val="22"/>
          <w:szCs w:val="22"/>
        </w:rPr>
        <w:t xml:space="preserve"> do</w:t>
      </w:r>
      <w:r w:rsidRPr="00E3456E">
        <w:rPr>
          <w:sz w:val="22"/>
          <w:szCs w:val="22"/>
        </w:rPr>
        <w:t>es</w:t>
      </w:r>
      <w:r w:rsidR="0045074B" w:rsidRPr="00E3456E">
        <w:rPr>
          <w:sz w:val="22"/>
          <w:szCs w:val="22"/>
        </w:rPr>
        <w:t xml:space="preserve"> not hold customer funds or securities. </w:t>
      </w:r>
      <w:r w:rsidR="0001000D">
        <w:rPr>
          <w:sz w:val="22"/>
          <w:szCs w:val="22"/>
        </w:rPr>
        <w:t xml:space="preserve"> The firm will conduct, underwriting, private placements, trading securities for own account and merger and acquisition advisory services.</w:t>
      </w:r>
    </w:p>
    <w:p w14:paraId="0A7C7640" w14:textId="77777777" w:rsidR="00F251F3" w:rsidRDefault="00F251F3" w:rsidP="00C0700E">
      <w:pPr>
        <w:pStyle w:val="Heading1"/>
        <w:numPr>
          <w:ilvl w:val="0"/>
          <w:numId w:val="0"/>
        </w:numPr>
        <w:rPr>
          <w:sz w:val="24"/>
          <w:szCs w:val="24"/>
          <w:u w:val="none"/>
        </w:rPr>
      </w:pPr>
    </w:p>
    <w:p w14:paraId="63D13CA8" w14:textId="77777777" w:rsidR="0045074B" w:rsidRDefault="00C0700E" w:rsidP="00C0700E">
      <w:pPr>
        <w:pStyle w:val="Heading1"/>
        <w:numPr>
          <w:ilvl w:val="0"/>
          <w:numId w:val="0"/>
        </w:numPr>
        <w:rPr>
          <w:sz w:val="24"/>
          <w:szCs w:val="24"/>
        </w:rPr>
      </w:pPr>
      <w:r w:rsidRPr="00DB78BC">
        <w:rPr>
          <w:sz w:val="24"/>
          <w:szCs w:val="24"/>
          <w:u w:val="none"/>
        </w:rPr>
        <w:t xml:space="preserve">SECTION </w:t>
      </w:r>
      <w:r>
        <w:rPr>
          <w:sz w:val="24"/>
          <w:szCs w:val="24"/>
          <w:u w:val="none"/>
        </w:rPr>
        <w:t>4</w:t>
      </w:r>
      <w:r w:rsidRPr="00DB78BC">
        <w:rPr>
          <w:sz w:val="24"/>
          <w:szCs w:val="24"/>
          <w:u w:val="none"/>
        </w:rPr>
        <w:t xml:space="preserve">.     </w:t>
      </w:r>
      <w:r w:rsidRPr="00C0700E">
        <w:rPr>
          <w:sz w:val="24"/>
          <w:szCs w:val="24"/>
        </w:rPr>
        <w:t>OSJ AND BRANCH OFFICE LOCATIONS</w:t>
      </w:r>
    </w:p>
    <w:p w14:paraId="6D10D6D7" w14:textId="77777777" w:rsidR="00C0700E" w:rsidRPr="00C0700E" w:rsidRDefault="00C0700E" w:rsidP="00C0700E">
      <w:pPr>
        <w:pStyle w:val="Heading1"/>
        <w:numPr>
          <w:ilvl w:val="0"/>
          <w:numId w:val="0"/>
        </w:numPr>
        <w:rPr>
          <w:sz w:val="24"/>
          <w:szCs w:val="24"/>
        </w:rPr>
      </w:pPr>
    </w:p>
    <w:p w14:paraId="3A0EDFD4" w14:textId="77777777" w:rsidR="00B51D8A" w:rsidRPr="00C0700E" w:rsidRDefault="00C0700E" w:rsidP="00C0700E">
      <w:pPr>
        <w:pStyle w:val="Heading1"/>
        <w:numPr>
          <w:ilvl w:val="0"/>
          <w:numId w:val="9"/>
        </w:numPr>
        <w:rPr>
          <w:sz w:val="24"/>
          <w:szCs w:val="24"/>
          <w:u w:val="none"/>
        </w:rPr>
      </w:pPr>
      <w:r w:rsidRPr="00C0700E">
        <w:rPr>
          <w:sz w:val="24"/>
          <w:szCs w:val="24"/>
        </w:rPr>
        <w:t>Name of City</w:t>
      </w:r>
    </w:p>
    <w:p w14:paraId="67ADAD3E" w14:textId="1BC45031" w:rsidR="0045074B" w:rsidRPr="00D66250" w:rsidRDefault="00F6427A" w:rsidP="009151CB">
      <w:pPr>
        <w:shd w:val="clear" w:color="auto" w:fill="FFFFFF"/>
        <w:rPr>
          <w:sz w:val="22"/>
          <w:szCs w:val="22"/>
        </w:rPr>
      </w:pPr>
      <w:bookmarkStart w:id="0" w:name="OLE_LINK1"/>
      <w:bookmarkStart w:id="1" w:name="OLE_LINK2"/>
      <w:r w:rsidRPr="009151CB">
        <w:rPr>
          <w:sz w:val="22"/>
          <w:szCs w:val="22"/>
        </w:rPr>
        <w:t xml:space="preserve">This </w:t>
      </w:r>
      <w:r w:rsidR="002B3FBC">
        <w:rPr>
          <w:sz w:val="22"/>
          <w:szCs w:val="22"/>
        </w:rPr>
        <w:t>Main</w:t>
      </w:r>
      <w:r w:rsidRPr="009151CB">
        <w:rPr>
          <w:sz w:val="22"/>
          <w:szCs w:val="22"/>
        </w:rPr>
        <w:t xml:space="preserve"> o</w:t>
      </w:r>
      <w:r w:rsidR="0045074B" w:rsidRPr="009151CB">
        <w:rPr>
          <w:sz w:val="22"/>
          <w:szCs w:val="22"/>
        </w:rPr>
        <w:t>ffice is located at</w:t>
      </w:r>
      <w:r w:rsidR="00BF256A" w:rsidRPr="009151CB">
        <w:rPr>
          <w:sz w:val="22"/>
          <w:szCs w:val="22"/>
        </w:rPr>
        <w:t xml:space="preserve"> </w:t>
      </w:r>
      <w:r w:rsidR="009151CB" w:rsidRPr="009151CB">
        <w:rPr>
          <w:color w:val="222222"/>
          <w:sz w:val="22"/>
          <w:szCs w:val="22"/>
        </w:rPr>
        <w:t>163 W. 76th Street, New York, NY 10023</w:t>
      </w:r>
      <w:r w:rsidR="009151CB">
        <w:rPr>
          <w:b/>
          <w:color w:val="222222"/>
          <w:sz w:val="22"/>
          <w:szCs w:val="22"/>
        </w:rPr>
        <w:t xml:space="preserve">.  </w:t>
      </w:r>
      <w:r w:rsidR="0045074B" w:rsidRPr="00D66250">
        <w:rPr>
          <w:sz w:val="22"/>
          <w:szCs w:val="22"/>
        </w:rPr>
        <w:t>Its main</w:t>
      </w:r>
      <w:r w:rsidR="00F20FD0" w:rsidRPr="00D66250">
        <w:rPr>
          <w:sz w:val="22"/>
          <w:szCs w:val="22"/>
        </w:rPr>
        <w:t xml:space="preserve"> </w:t>
      </w:r>
      <w:r w:rsidR="0045074B" w:rsidRPr="00D66250">
        <w:rPr>
          <w:sz w:val="22"/>
          <w:szCs w:val="22"/>
        </w:rPr>
        <w:t>telephone number is</w:t>
      </w:r>
      <w:r w:rsidR="00101152">
        <w:rPr>
          <w:sz w:val="22"/>
          <w:szCs w:val="22"/>
        </w:rPr>
        <w:t xml:space="preserve"> </w:t>
      </w:r>
      <w:r w:rsidR="008B1307">
        <w:rPr>
          <w:sz w:val="22"/>
          <w:szCs w:val="22"/>
        </w:rPr>
        <w:t>347-284-0110</w:t>
      </w:r>
      <w:r w:rsidR="0045074B" w:rsidRPr="00D66250">
        <w:rPr>
          <w:sz w:val="22"/>
          <w:szCs w:val="22"/>
        </w:rPr>
        <w:t xml:space="preserve">. </w:t>
      </w:r>
      <w:r w:rsidR="00F20FD0" w:rsidRPr="00D66250">
        <w:rPr>
          <w:sz w:val="22"/>
          <w:szCs w:val="22"/>
        </w:rPr>
        <w:t>Employees</w:t>
      </w:r>
      <w:r w:rsidR="0045074B" w:rsidRPr="00D66250">
        <w:rPr>
          <w:sz w:val="22"/>
          <w:szCs w:val="22"/>
        </w:rPr>
        <w:t xml:space="preserve"> travel to th</w:t>
      </w:r>
      <w:r w:rsidR="00F20FD0" w:rsidRPr="00D66250">
        <w:rPr>
          <w:sz w:val="22"/>
          <w:szCs w:val="22"/>
        </w:rPr>
        <w:t>e</w:t>
      </w:r>
      <w:r w:rsidR="0045074B" w:rsidRPr="00D66250">
        <w:rPr>
          <w:sz w:val="22"/>
          <w:szCs w:val="22"/>
        </w:rPr>
        <w:t xml:space="preserve"> office by means of foot, car, train, </w:t>
      </w:r>
      <w:r w:rsidR="00B51D8A" w:rsidRPr="00D66250">
        <w:rPr>
          <w:sz w:val="22"/>
          <w:szCs w:val="22"/>
        </w:rPr>
        <w:t xml:space="preserve">and </w:t>
      </w:r>
      <w:r w:rsidR="0045074B" w:rsidRPr="00D66250">
        <w:rPr>
          <w:sz w:val="22"/>
          <w:szCs w:val="22"/>
        </w:rPr>
        <w:t xml:space="preserve">bus.  </w:t>
      </w:r>
      <w:r w:rsidR="00C0700E" w:rsidRPr="00D66250">
        <w:rPr>
          <w:sz w:val="22"/>
          <w:szCs w:val="22"/>
        </w:rPr>
        <w:t>The Firm</w:t>
      </w:r>
      <w:r w:rsidR="0045074B" w:rsidRPr="00D66250">
        <w:rPr>
          <w:sz w:val="22"/>
          <w:szCs w:val="22"/>
        </w:rPr>
        <w:t xml:space="preserve"> engage</w:t>
      </w:r>
      <w:r w:rsidR="00B44A77" w:rsidRPr="00D66250">
        <w:rPr>
          <w:sz w:val="22"/>
          <w:szCs w:val="22"/>
        </w:rPr>
        <w:t>s</w:t>
      </w:r>
      <w:r w:rsidR="0045074B" w:rsidRPr="00D66250">
        <w:rPr>
          <w:sz w:val="22"/>
          <w:szCs w:val="22"/>
        </w:rPr>
        <w:t xml:space="preserve"> in order taking and entry at this location.</w:t>
      </w:r>
    </w:p>
    <w:bookmarkEnd w:id="0"/>
    <w:bookmarkEnd w:id="1"/>
    <w:p w14:paraId="0CDC0C94" w14:textId="77777777" w:rsidR="002B04E0" w:rsidRPr="00B51D8A" w:rsidRDefault="002B04E0"/>
    <w:p w14:paraId="70DB3034" w14:textId="77777777" w:rsidR="0045074B" w:rsidRDefault="00C0700E" w:rsidP="00C0700E">
      <w:pPr>
        <w:pStyle w:val="Heading1"/>
        <w:numPr>
          <w:ilvl w:val="0"/>
          <w:numId w:val="0"/>
        </w:numPr>
        <w:spacing w:after="0"/>
        <w:rPr>
          <w:sz w:val="24"/>
          <w:szCs w:val="24"/>
        </w:rPr>
      </w:pPr>
      <w:r w:rsidRPr="00DB78BC">
        <w:rPr>
          <w:sz w:val="24"/>
          <w:szCs w:val="24"/>
          <w:u w:val="none"/>
        </w:rPr>
        <w:t xml:space="preserve">SECTION </w:t>
      </w:r>
      <w:r>
        <w:rPr>
          <w:sz w:val="24"/>
          <w:szCs w:val="24"/>
          <w:u w:val="none"/>
        </w:rPr>
        <w:t>5</w:t>
      </w:r>
      <w:r w:rsidRPr="00DB78BC">
        <w:rPr>
          <w:sz w:val="24"/>
          <w:szCs w:val="24"/>
          <w:u w:val="none"/>
        </w:rPr>
        <w:t xml:space="preserve">.     </w:t>
      </w:r>
      <w:r w:rsidRPr="00C0700E">
        <w:rPr>
          <w:sz w:val="24"/>
          <w:szCs w:val="24"/>
        </w:rPr>
        <w:t>ALTERNATIVE PHYSICAL LOCATION(S) OF EMPLOYEES</w:t>
      </w:r>
    </w:p>
    <w:p w14:paraId="23D51BB3" w14:textId="77777777" w:rsidR="00C0700E" w:rsidRPr="00C0700E" w:rsidRDefault="00C0700E" w:rsidP="00C0700E">
      <w:pPr>
        <w:widowControl w:val="0"/>
        <w:tabs>
          <w:tab w:val="left" w:pos="6600"/>
        </w:tabs>
        <w:autoSpaceDE w:val="0"/>
        <w:autoSpaceDN w:val="0"/>
        <w:adjustRightInd w:val="0"/>
        <w:rPr>
          <w:b/>
          <w:bCs/>
          <w:sz w:val="22"/>
          <w:szCs w:val="22"/>
          <w:u w:val="single"/>
        </w:rPr>
      </w:pPr>
      <w:r w:rsidRPr="00C0700E">
        <w:rPr>
          <w:b/>
          <w:bCs/>
          <w:sz w:val="22"/>
          <w:szCs w:val="22"/>
          <w:u w:val="single"/>
        </w:rPr>
        <w:t>References:</w:t>
      </w:r>
    </w:p>
    <w:p w14:paraId="41946F94" w14:textId="77777777" w:rsidR="00C0700E" w:rsidRPr="00C0700E" w:rsidRDefault="00C0700E" w:rsidP="00C0700E">
      <w:pPr>
        <w:rPr>
          <w:sz w:val="22"/>
          <w:szCs w:val="22"/>
        </w:rPr>
      </w:pPr>
      <w:r w:rsidRPr="00C0700E">
        <w:rPr>
          <w:b/>
          <w:sz w:val="22"/>
          <w:szCs w:val="22"/>
        </w:rPr>
        <w:t>FINRA Rule 4370</w:t>
      </w:r>
    </w:p>
    <w:p w14:paraId="76895A87" w14:textId="77777777" w:rsidR="00C0700E" w:rsidRDefault="00C0700E">
      <w:pPr>
        <w:rPr>
          <w:b/>
          <w:bCs/>
          <w:sz w:val="28"/>
          <w:szCs w:val="20"/>
          <w:u w:val="single"/>
        </w:rPr>
      </w:pPr>
    </w:p>
    <w:p w14:paraId="0E62DE1D" w14:textId="77777777" w:rsidR="0045074B" w:rsidRPr="00D66250" w:rsidRDefault="0045074B">
      <w:pPr>
        <w:rPr>
          <w:sz w:val="22"/>
          <w:szCs w:val="22"/>
        </w:rPr>
      </w:pPr>
      <w:r w:rsidRPr="00D66250">
        <w:rPr>
          <w:sz w:val="22"/>
          <w:szCs w:val="22"/>
        </w:rPr>
        <w:t xml:space="preserve">In the event of an SBD, </w:t>
      </w:r>
      <w:r w:rsidR="00C0700E" w:rsidRPr="00D66250">
        <w:rPr>
          <w:sz w:val="22"/>
          <w:szCs w:val="22"/>
        </w:rPr>
        <w:t>the Firm</w:t>
      </w:r>
      <w:r w:rsidRPr="00D66250">
        <w:rPr>
          <w:sz w:val="22"/>
          <w:szCs w:val="22"/>
        </w:rPr>
        <w:t xml:space="preserve"> will move </w:t>
      </w:r>
      <w:r w:rsidR="00C0700E" w:rsidRPr="00D66250">
        <w:rPr>
          <w:sz w:val="22"/>
          <w:szCs w:val="22"/>
        </w:rPr>
        <w:t>the</w:t>
      </w:r>
      <w:r w:rsidRPr="00D66250">
        <w:rPr>
          <w:sz w:val="22"/>
          <w:szCs w:val="22"/>
        </w:rPr>
        <w:t xml:space="preserve"> staff from affected offices to the closest </w:t>
      </w:r>
      <w:r w:rsidR="00001954">
        <w:rPr>
          <w:sz w:val="22"/>
          <w:szCs w:val="22"/>
        </w:rPr>
        <w:t>unaffected office location</w:t>
      </w:r>
      <w:r w:rsidRPr="00D66250">
        <w:rPr>
          <w:sz w:val="22"/>
          <w:szCs w:val="22"/>
        </w:rPr>
        <w:t xml:space="preserve">.  If </w:t>
      </w:r>
      <w:r w:rsidR="00352DFB" w:rsidRPr="00D66250">
        <w:rPr>
          <w:sz w:val="22"/>
          <w:szCs w:val="22"/>
        </w:rPr>
        <w:t>anther office location</w:t>
      </w:r>
      <w:r w:rsidRPr="00D66250">
        <w:rPr>
          <w:sz w:val="22"/>
          <w:szCs w:val="22"/>
        </w:rPr>
        <w:t xml:space="preserve"> is </w:t>
      </w:r>
      <w:r w:rsidR="00352DFB" w:rsidRPr="00D66250">
        <w:rPr>
          <w:sz w:val="22"/>
          <w:szCs w:val="22"/>
        </w:rPr>
        <w:t>un</w:t>
      </w:r>
      <w:r w:rsidRPr="00D66250">
        <w:rPr>
          <w:sz w:val="22"/>
          <w:szCs w:val="22"/>
        </w:rPr>
        <w:t>available to receive those staff</w:t>
      </w:r>
      <w:r w:rsidR="00001954">
        <w:rPr>
          <w:sz w:val="22"/>
          <w:szCs w:val="22"/>
        </w:rPr>
        <w:t xml:space="preserve"> or the Firm does not maintain an alternate location</w:t>
      </w:r>
      <w:r w:rsidRPr="00D66250">
        <w:rPr>
          <w:sz w:val="22"/>
          <w:szCs w:val="22"/>
        </w:rPr>
        <w:t xml:space="preserve">, </w:t>
      </w:r>
      <w:r w:rsidR="00E47016" w:rsidRPr="00D66250">
        <w:rPr>
          <w:sz w:val="22"/>
          <w:szCs w:val="22"/>
        </w:rPr>
        <w:t>they will be instructed to work from home until an alternative site is determined</w:t>
      </w:r>
      <w:r w:rsidR="00D66250">
        <w:rPr>
          <w:sz w:val="22"/>
          <w:szCs w:val="22"/>
        </w:rPr>
        <w:t>.</w:t>
      </w:r>
      <w:r w:rsidRPr="00D66250">
        <w:rPr>
          <w:sz w:val="22"/>
          <w:szCs w:val="22"/>
        </w:rPr>
        <w:t xml:space="preserve">  </w:t>
      </w:r>
    </w:p>
    <w:p w14:paraId="01EFB5C3" w14:textId="77777777" w:rsidR="0047454D" w:rsidRDefault="0047454D"/>
    <w:p w14:paraId="641CA84B" w14:textId="77777777" w:rsidR="0045074B" w:rsidRPr="00352DFB" w:rsidRDefault="00352DFB" w:rsidP="00352DFB">
      <w:pPr>
        <w:pStyle w:val="Heading1"/>
        <w:numPr>
          <w:ilvl w:val="0"/>
          <w:numId w:val="0"/>
        </w:numPr>
        <w:spacing w:after="0"/>
        <w:rPr>
          <w:sz w:val="24"/>
          <w:szCs w:val="24"/>
        </w:rPr>
      </w:pPr>
      <w:r w:rsidRPr="00DB78BC">
        <w:rPr>
          <w:sz w:val="24"/>
          <w:szCs w:val="24"/>
          <w:u w:val="none"/>
        </w:rPr>
        <w:t xml:space="preserve">SECTION </w:t>
      </w:r>
      <w:r>
        <w:rPr>
          <w:sz w:val="24"/>
          <w:szCs w:val="24"/>
          <w:u w:val="none"/>
        </w:rPr>
        <w:t>6</w:t>
      </w:r>
      <w:r w:rsidRPr="00DB78BC">
        <w:rPr>
          <w:sz w:val="24"/>
          <w:szCs w:val="24"/>
          <w:u w:val="none"/>
        </w:rPr>
        <w:t xml:space="preserve">.     </w:t>
      </w:r>
      <w:r w:rsidRPr="00352DFB">
        <w:rPr>
          <w:sz w:val="24"/>
          <w:szCs w:val="24"/>
        </w:rPr>
        <w:t>CUSTOMERS’ ACCESS TO FUNDS AND SECURITIES</w:t>
      </w:r>
    </w:p>
    <w:p w14:paraId="3A7136C4" w14:textId="77777777" w:rsidR="00352DFB" w:rsidRPr="00352DFB" w:rsidRDefault="00352DFB" w:rsidP="00352DFB">
      <w:pPr>
        <w:widowControl w:val="0"/>
        <w:tabs>
          <w:tab w:val="left" w:pos="6600"/>
        </w:tabs>
        <w:autoSpaceDE w:val="0"/>
        <w:autoSpaceDN w:val="0"/>
        <w:adjustRightInd w:val="0"/>
        <w:rPr>
          <w:b/>
          <w:bCs/>
          <w:sz w:val="22"/>
          <w:szCs w:val="22"/>
          <w:u w:val="single"/>
        </w:rPr>
      </w:pPr>
      <w:r w:rsidRPr="00352DFB">
        <w:rPr>
          <w:b/>
          <w:bCs/>
          <w:sz w:val="22"/>
          <w:szCs w:val="22"/>
          <w:u w:val="single"/>
        </w:rPr>
        <w:t>References:</w:t>
      </w:r>
    </w:p>
    <w:p w14:paraId="244ECECD" w14:textId="77777777" w:rsidR="00352DFB" w:rsidRPr="00352DFB" w:rsidRDefault="00352DFB" w:rsidP="00352DFB">
      <w:pPr>
        <w:rPr>
          <w:sz w:val="22"/>
          <w:szCs w:val="22"/>
        </w:rPr>
      </w:pPr>
      <w:r w:rsidRPr="00352DFB">
        <w:rPr>
          <w:b/>
          <w:sz w:val="22"/>
          <w:szCs w:val="22"/>
        </w:rPr>
        <w:t>FINRA Rule 4370</w:t>
      </w:r>
    </w:p>
    <w:p w14:paraId="7E6060E4" w14:textId="77777777" w:rsidR="00352DFB" w:rsidRPr="00352DFB" w:rsidRDefault="00352DFB" w:rsidP="00352DFB">
      <w:pPr>
        <w:tabs>
          <w:tab w:val="left" w:pos="8280"/>
        </w:tabs>
        <w:rPr>
          <w:b/>
          <w:sz w:val="22"/>
          <w:szCs w:val="22"/>
        </w:rPr>
      </w:pPr>
      <w:r w:rsidRPr="00352DFB">
        <w:rPr>
          <w:b/>
          <w:sz w:val="22"/>
          <w:szCs w:val="22"/>
        </w:rPr>
        <w:t>Securities Exchange Act Rule 15c3-1;</w:t>
      </w:r>
      <w:r w:rsidRPr="00352DFB">
        <w:rPr>
          <w:b/>
          <w:i/>
          <w:sz w:val="22"/>
          <w:szCs w:val="22"/>
        </w:rPr>
        <w:t xml:space="preserve"> </w:t>
      </w:r>
      <w:r w:rsidRPr="00352DFB">
        <w:rPr>
          <w:b/>
          <w:bCs/>
          <w:sz w:val="22"/>
          <w:szCs w:val="22"/>
        </w:rPr>
        <w:t>15 U.S.C. 78eee (2003)</w:t>
      </w:r>
    </w:p>
    <w:p w14:paraId="52720389" w14:textId="77777777" w:rsidR="00352DFB" w:rsidRDefault="00352DFB" w:rsidP="00352DFB">
      <w:pPr>
        <w:pStyle w:val="Heading1"/>
        <w:numPr>
          <w:ilvl w:val="0"/>
          <w:numId w:val="0"/>
        </w:numPr>
      </w:pPr>
    </w:p>
    <w:p w14:paraId="7AFE9095" w14:textId="77777777" w:rsidR="0045074B" w:rsidRPr="00D66250" w:rsidRDefault="00C0700E">
      <w:pPr>
        <w:tabs>
          <w:tab w:val="left" w:pos="8280"/>
        </w:tabs>
        <w:rPr>
          <w:sz w:val="22"/>
          <w:szCs w:val="22"/>
        </w:rPr>
      </w:pPr>
      <w:r w:rsidRPr="00D66250">
        <w:rPr>
          <w:sz w:val="22"/>
          <w:szCs w:val="22"/>
        </w:rPr>
        <w:t>The</w:t>
      </w:r>
      <w:r w:rsidR="0045074B" w:rsidRPr="00D66250">
        <w:rPr>
          <w:sz w:val="22"/>
          <w:szCs w:val="22"/>
        </w:rPr>
        <w:t xml:space="preserve"> </w:t>
      </w:r>
      <w:r w:rsidRPr="00D66250">
        <w:rPr>
          <w:sz w:val="22"/>
          <w:szCs w:val="22"/>
        </w:rPr>
        <w:t>Firm</w:t>
      </w:r>
      <w:r w:rsidR="0045074B" w:rsidRPr="00D66250">
        <w:rPr>
          <w:sz w:val="22"/>
          <w:szCs w:val="22"/>
        </w:rPr>
        <w:t xml:space="preserve"> does not maintain custody of </w:t>
      </w:r>
      <w:r w:rsidR="00001954">
        <w:rPr>
          <w:sz w:val="22"/>
          <w:szCs w:val="22"/>
        </w:rPr>
        <w:t xml:space="preserve">customers’ funds or securities.  </w:t>
      </w:r>
      <w:r w:rsidR="0045074B" w:rsidRPr="00D66250">
        <w:rPr>
          <w:sz w:val="22"/>
          <w:szCs w:val="22"/>
        </w:rPr>
        <w:t xml:space="preserve">In the event of an internal or external SBD, if </w:t>
      </w:r>
      <w:r w:rsidR="00001954">
        <w:rPr>
          <w:sz w:val="22"/>
          <w:szCs w:val="22"/>
        </w:rPr>
        <w:t>telephone service is available,</w:t>
      </w:r>
      <w:r w:rsidR="0045074B" w:rsidRPr="00D66250">
        <w:rPr>
          <w:sz w:val="22"/>
          <w:szCs w:val="22"/>
        </w:rPr>
        <w:t xml:space="preserve"> registered persons will take customer orders or instructions and</w:t>
      </w:r>
      <w:r w:rsidR="009F3C74">
        <w:rPr>
          <w:sz w:val="22"/>
          <w:szCs w:val="22"/>
        </w:rPr>
        <w:t xml:space="preserve"> </w:t>
      </w:r>
      <w:r w:rsidR="0045074B" w:rsidRPr="00D66250">
        <w:rPr>
          <w:sz w:val="22"/>
          <w:szCs w:val="22"/>
        </w:rPr>
        <w:t xml:space="preserve">if </w:t>
      </w:r>
      <w:r w:rsidR="00001954">
        <w:rPr>
          <w:sz w:val="22"/>
          <w:szCs w:val="22"/>
        </w:rPr>
        <w:t xml:space="preserve">the </w:t>
      </w:r>
      <w:r w:rsidRPr="00D66250">
        <w:rPr>
          <w:sz w:val="22"/>
          <w:szCs w:val="22"/>
        </w:rPr>
        <w:t>Firm</w:t>
      </w:r>
      <w:r w:rsidR="0045074B" w:rsidRPr="00D66250">
        <w:rPr>
          <w:sz w:val="22"/>
          <w:szCs w:val="22"/>
        </w:rPr>
        <w:t xml:space="preserve"> </w:t>
      </w:r>
      <w:r w:rsidR="00001954">
        <w:rPr>
          <w:sz w:val="22"/>
          <w:szCs w:val="22"/>
        </w:rPr>
        <w:t>web site</w:t>
      </w:r>
      <w:r w:rsidR="0045074B" w:rsidRPr="00D66250">
        <w:rPr>
          <w:sz w:val="22"/>
          <w:szCs w:val="22"/>
        </w:rPr>
        <w:t xml:space="preserve"> is available, </w:t>
      </w:r>
      <w:r w:rsidRPr="00D66250">
        <w:rPr>
          <w:sz w:val="22"/>
          <w:szCs w:val="22"/>
        </w:rPr>
        <w:t>the</w:t>
      </w:r>
      <w:r w:rsidR="0045074B" w:rsidRPr="00D66250">
        <w:rPr>
          <w:sz w:val="22"/>
          <w:szCs w:val="22"/>
        </w:rPr>
        <w:t xml:space="preserve"> </w:t>
      </w:r>
      <w:r w:rsidRPr="00D66250">
        <w:rPr>
          <w:sz w:val="22"/>
          <w:szCs w:val="22"/>
        </w:rPr>
        <w:t>Firm</w:t>
      </w:r>
      <w:r w:rsidR="0045074B" w:rsidRPr="00D66250">
        <w:rPr>
          <w:sz w:val="22"/>
          <w:szCs w:val="22"/>
        </w:rPr>
        <w:t xml:space="preserve"> will post on </w:t>
      </w:r>
      <w:r w:rsidR="00001954">
        <w:rPr>
          <w:sz w:val="22"/>
          <w:szCs w:val="22"/>
        </w:rPr>
        <w:t xml:space="preserve">the </w:t>
      </w:r>
      <w:r w:rsidR="0045074B" w:rsidRPr="00D66250">
        <w:rPr>
          <w:sz w:val="22"/>
          <w:szCs w:val="22"/>
        </w:rPr>
        <w:t>site that customers may access their fund</w:t>
      </w:r>
      <w:r w:rsidR="000A1E64" w:rsidRPr="00D66250">
        <w:rPr>
          <w:sz w:val="22"/>
          <w:szCs w:val="22"/>
        </w:rPr>
        <w:t>s and securities by contact</w:t>
      </w:r>
      <w:r w:rsidR="00C03E1F" w:rsidRPr="00D66250">
        <w:rPr>
          <w:sz w:val="22"/>
          <w:szCs w:val="22"/>
        </w:rPr>
        <w:t>ing the home office</w:t>
      </w:r>
      <w:r w:rsidR="0045074B" w:rsidRPr="00D66250">
        <w:rPr>
          <w:sz w:val="22"/>
          <w:szCs w:val="22"/>
        </w:rPr>
        <w:t xml:space="preserve">.  </w:t>
      </w:r>
    </w:p>
    <w:p w14:paraId="12FDA0F6" w14:textId="77777777" w:rsidR="0045074B" w:rsidRPr="00D66250" w:rsidRDefault="0045074B">
      <w:pPr>
        <w:tabs>
          <w:tab w:val="left" w:pos="8280"/>
        </w:tabs>
        <w:rPr>
          <w:sz w:val="22"/>
          <w:szCs w:val="22"/>
        </w:rPr>
      </w:pPr>
    </w:p>
    <w:p w14:paraId="2714C886" w14:textId="77777777" w:rsidR="0045074B" w:rsidRPr="00D66250" w:rsidRDefault="0045074B">
      <w:pPr>
        <w:tabs>
          <w:tab w:val="left" w:pos="8280"/>
        </w:tabs>
        <w:rPr>
          <w:sz w:val="22"/>
          <w:szCs w:val="22"/>
        </w:rPr>
      </w:pPr>
      <w:r w:rsidRPr="00D66250">
        <w:rPr>
          <w:sz w:val="22"/>
          <w:szCs w:val="22"/>
        </w:rPr>
        <w:t xml:space="preserve">If SIPC determines that </w:t>
      </w:r>
      <w:r w:rsidR="00C0700E" w:rsidRPr="00D66250">
        <w:rPr>
          <w:sz w:val="22"/>
          <w:szCs w:val="22"/>
        </w:rPr>
        <w:t>the Firm</w:t>
      </w:r>
      <w:r w:rsidRPr="00D66250">
        <w:rPr>
          <w:sz w:val="22"/>
          <w:szCs w:val="22"/>
        </w:rPr>
        <w:t xml:space="preserve"> </w:t>
      </w:r>
      <w:r w:rsidR="00352DFB" w:rsidRPr="00D66250">
        <w:rPr>
          <w:sz w:val="22"/>
          <w:szCs w:val="22"/>
        </w:rPr>
        <w:t>is</w:t>
      </w:r>
      <w:r w:rsidRPr="00D66250">
        <w:rPr>
          <w:sz w:val="22"/>
          <w:szCs w:val="22"/>
        </w:rPr>
        <w:t xml:space="preserve"> unable to meet </w:t>
      </w:r>
      <w:r w:rsidR="00C0700E" w:rsidRPr="00D66250">
        <w:rPr>
          <w:sz w:val="22"/>
          <w:szCs w:val="22"/>
        </w:rPr>
        <w:t>the</w:t>
      </w:r>
      <w:r w:rsidRPr="00D66250">
        <w:rPr>
          <w:sz w:val="22"/>
          <w:szCs w:val="22"/>
        </w:rPr>
        <w:t xml:space="preserve"> obligations to </w:t>
      </w:r>
      <w:r w:rsidR="00001954">
        <w:rPr>
          <w:sz w:val="22"/>
          <w:szCs w:val="22"/>
        </w:rPr>
        <w:t>its</w:t>
      </w:r>
      <w:r w:rsidRPr="00D66250">
        <w:rPr>
          <w:sz w:val="22"/>
          <w:szCs w:val="22"/>
        </w:rPr>
        <w:t xml:space="preserve"> customers or if </w:t>
      </w:r>
      <w:r w:rsidR="00C0700E" w:rsidRPr="00D66250">
        <w:rPr>
          <w:sz w:val="22"/>
          <w:szCs w:val="22"/>
        </w:rPr>
        <w:t>the</w:t>
      </w:r>
      <w:r w:rsidRPr="00D66250">
        <w:rPr>
          <w:sz w:val="22"/>
          <w:szCs w:val="22"/>
        </w:rPr>
        <w:t xml:space="preserve"> liabilities exceed </w:t>
      </w:r>
      <w:r w:rsidR="00C0700E" w:rsidRPr="00D66250">
        <w:rPr>
          <w:sz w:val="22"/>
          <w:szCs w:val="22"/>
        </w:rPr>
        <w:t>the</w:t>
      </w:r>
      <w:r w:rsidRPr="00D66250">
        <w:rPr>
          <w:sz w:val="22"/>
          <w:szCs w:val="22"/>
        </w:rPr>
        <w:t xml:space="preserve"> assets in violation of Securities Exchange Act Rule 15c3-1, SIPC may seek to appoint a trustee </w:t>
      </w:r>
      <w:r w:rsidRPr="00D66250">
        <w:rPr>
          <w:sz w:val="22"/>
          <w:szCs w:val="22"/>
        </w:rPr>
        <w:lastRenderedPageBreak/>
        <w:t xml:space="preserve">to disburse </w:t>
      </w:r>
      <w:r w:rsidR="00C0700E" w:rsidRPr="00D66250">
        <w:rPr>
          <w:sz w:val="22"/>
          <w:szCs w:val="22"/>
        </w:rPr>
        <w:t>the</w:t>
      </w:r>
      <w:r w:rsidRPr="00D66250">
        <w:rPr>
          <w:sz w:val="22"/>
          <w:szCs w:val="22"/>
        </w:rPr>
        <w:t xml:space="preserve"> assets to customers.  </w:t>
      </w:r>
      <w:r w:rsidR="00C0700E" w:rsidRPr="00D66250">
        <w:rPr>
          <w:sz w:val="22"/>
          <w:szCs w:val="22"/>
        </w:rPr>
        <w:t>The Firm</w:t>
      </w:r>
      <w:r w:rsidRPr="00D66250">
        <w:rPr>
          <w:sz w:val="22"/>
          <w:szCs w:val="22"/>
        </w:rPr>
        <w:t xml:space="preserve"> will assist SIPC and the trustee by providing </w:t>
      </w:r>
      <w:r w:rsidR="00C0700E" w:rsidRPr="00D66250">
        <w:rPr>
          <w:sz w:val="22"/>
          <w:szCs w:val="22"/>
        </w:rPr>
        <w:t>the</w:t>
      </w:r>
      <w:r w:rsidRPr="00D66250">
        <w:rPr>
          <w:sz w:val="22"/>
          <w:szCs w:val="22"/>
        </w:rPr>
        <w:t xml:space="preserve"> books and records identifying customer accounts</w:t>
      </w:r>
      <w:r w:rsidR="000A1E64" w:rsidRPr="00D66250">
        <w:rPr>
          <w:sz w:val="22"/>
          <w:szCs w:val="22"/>
        </w:rPr>
        <w:t xml:space="preserve"> subject to SIPC regulation</w:t>
      </w:r>
      <w:r w:rsidRPr="00D66250">
        <w:rPr>
          <w:sz w:val="22"/>
          <w:szCs w:val="22"/>
        </w:rPr>
        <w:t>.</w:t>
      </w:r>
    </w:p>
    <w:p w14:paraId="635D7746" w14:textId="77777777" w:rsidR="0045074B" w:rsidRDefault="0045074B"/>
    <w:p w14:paraId="13B593EC" w14:textId="77777777" w:rsidR="0047454D" w:rsidRDefault="0047454D"/>
    <w:p w14:paraId="37F86FE5" w14:textId="77777777" w:rsidR="0045074B" w:rsidRDefault="00A9152D" w:rsidP="00A9152D">
      <w:pPr>
        <w:pStyle w:val="Heading1"/>
        <w:numPr>
          <w:ilvl w:val="0"/>
          <w:numId w:val="0"/>
        </w:numPr>
        <w:spacing w:after="0"/>
        <w:rPr>
          <w:sz w:val="24"/>
          <w:szCs w:val="24"/>
        </w:rPr>
      </w:pPr>
      <w:r w:rsidRPr="00DB78BC">
        <w:rPr>
          <w:sz w:val="24"/>
          <w:szCs w:val="24"/>
          <w:u w:val="none"/>
        </w:rPr>
        <w:t xml:space="preserve">SECTION </w:t>
      </w:r>
      <w:r w:rsidR="00001954">
        <w:rPr>
          <w:sz w:val="24"/>
          <w:szCs w:val="24"/>
          <w:u w:val="none"/>
        </w:rPr>
        <w:t>7</w:t>
      </w:r>
      <w:r w:rsidRPr="00DB78BC">
        <w:rPr>
          <w:sz w:val="24"/>
          <w:szCs w:val="24"/>
          <w:u w:val="none"/>
        </w:rPr>
        <w:t xml:space="preserve">.     </w:t>
      </w:r>
      <w:r w:rsidRPr="00783909">
        <w:rPr>
          <w:sz w:val="24"/>
          <w:szCs w:val="24"/>
        </w:rPr>
        <w:t>DATA BACK-UP AND RECOVERY (HARD COPY AND ELECTRONIC)</w:t>
      </w:r>
    </w:p>
    <w:p w14:paraId="50E96FA5" w14:textId="77777777" w:rsidR="00A9152D" w:rsidRDefault="00A9152D" w:rsidP="00A9152D">
      <w:pPr>
        <w:widowControl w:val="0"/>
        <w:tabs>
          <w:tab w:val="left" w:pos="6600"/>
        </w:tabs>
        <w:autoSpaceDE w:val="0"/>
        <w:autoSpaceDN w:val="0"/>
        <w:adjustRightInd w:val="0"/>
        <w:rPr>
          <w:b/>
          <w:bCs/>
          <w:u w:val="single"/>
        </w:rPr>
      </w:pPr>
      <w:r>
        <w:rPr>
          <w:b/>
          <w:bCs/>
          <w:u w:val="single"/>
        </w:rPr>
        <w:t>References:</w:t>
      </w:r>
    </w:p>
    <w:p w14:paraId="266CE369" w14:textId="77777777" w:rsidR="00A9152D" w:rsidRPr="00DB78BC" w:rsidRDefault="00A9152D" w:rsidP="00A9152D">
      <w:r w:rsidRPr="00DB78BC">
        <w:rPr>
          <w:b/>
        </w:rPr>
        <w:t>FINRA Rule 4370</w:t>
      </w:r>
    </w:p>
    <w:p w14:paraId="3A5CFE26" w14:textId="77777777" w:rsidR="00A9152D" w:rsidRDefault="00A9152D" w:rsidP="00A9152D">
      <w:pPr>
        <w:pStyle w:val="Heading1"/>
        <w:numPr>
          <w:ilvl w:val="0"/>
          <w:numId w:val="0"/>
        </w:numPr>
      </w:pPr>
    </w:p>
    <w:p w14:paraId="1C8ECAD4" w14:textId="77777777" w:rsidR="004D7639" w:rsidRDefault="004D7639" w:rsidP="004D7639">
      <w:pPr>
        <w:rPr>
          <w:sz w:val="22"/>
          <w:szCs w:val="22"/>
        </w:rPr>
      </w:pPr>
      <w:r w:rsidRPr="00D66250">
        <w:rPr>
          <w:sz w:val="22"/>
          <w:szCs w:val="22"/>
        </w:rPr>
        <w:t>The Firm maintains its primary hard copy books and records and its electronic records at the home office.</w:t>
      </w:r>
    </w:p>
    <w:p w14:paraId="2D07E462" w14:textId="77777777" w:rsidR="004D7639" w:rsidRPr="00D66250" w:rsidRDefault="004D7639" w:rsidP="004D7639">
      <w:pPr>
        <w:rPr>
          <w:sz w:val="22"/>
          <w:szCs w:val="22"/>
        </w:rPr>
      </w:pPr>
      <w:r>
        <w:rPr>
          <w:sz w:val="22"/>
          <w:szCs w:val="22"/>
        </w:rPr>
        <w:t xml:space="preserve">All electronic records will be stored within a designated folder on the Firm’s electronic retention service.  </w:t>
      </w:r>
    </w:p>
    <w:p w14:paraId="22D15460" w14:textId="77777777" w:rsidR="004D7639" w:rsidRPr="00D66250" w:rsidRDefault="004D7639" w:rsidP="004D7639">
      <w:pPr>
        <w:pStyle w:val="Header"/>
        <w:tabs>
          <w:tab w:val="clear" w:pos="4320"/>
          <w:tab w:val="clear" w:pos="8640"/>
        </w:tabs>
        <w:rPr>
          <w:sz w:val="22"/>
          <w:szCs w:val="22"/>
        </w:rPr>
      </w:pPr>
    </w:p>
    <w:p w14:paraId="539EB95F" w14:textId="77777777" w:rsidR="004D7639" w:rsidRPr="00D66250" w:rsidRDefault="004D7639" w:rsidP="004D7639">
      <w:pPr>
        <w:rPr>
          <w:sz w:val="22"/>
          <w:szCs w:val="22"/>
        </w:rPr>
      </w:pPr>
      <w:r w:rsidRPr="00D66250">
        <w:rPr>
          <w:sz w:val="22"/>
          <w:szCs w:val="22"/>
        </w:rPr>
        <w:t xml:space="preserve">In the event of an internal or external SBD that causes the loss of </w:t>
      </w:r>
      <w:r>
        <w:rPr>
          <w:sz w:val="22"/>
          <w:szCs w:val="22"/>
        </w:rPr>
        <w:t>any</w:t>
      </w:r>
      <w:r w:rsidRPr="00D66250">
        <w:rPr>
          <w:sz w:val="22"/>
          <w:szCs w:val="22"/>
        </w:rPr>
        <w:t xml:space="preserve"> paper records, the Firm </w:t>
      </w:r>
      <w:r>
        <w:rPr>
          <w:sz w:val="22"/>
          <w:szCs w:val="22"/>
        </w:rPr>
        <w:t>can</w:t>
      </w:r>
      <w:r w:rsidRPr="00D66250">
        <w:rPr>
          <w:sz w:val="22"/>
          <w:szCs w:val="22"/>
        </w:rPr>
        <w:t xml:space="preserve"> physically recover them from </w:t>
      </w:r>
      <w:r>
        <w:rPr>
          <w:sz w:val="22"/>
          <w:szCs w:val="22"/>
        </w:rPr>
        <w:t>the electronic retention service</w:t>
      </w:r>
      <w:r w:rsidRPr="00D66250">
        <w:rPr>
          <w:sz w:val="22"/>
          <w:szCs w:val="22"/>
        </w:rPr>
        <w:t>.  If the primary site is inoperable, the Firm will continue operations from the back-up site or an alternate location.  For the loss of electronic records, the Firm will either physically recover the storage media or electronically recover data from the back-up site, or, if the primary site is inoperable, continue operations from the back-up site or an alternate location.</w:t>
      </w:r>
    </w:p>
    <w:p w14:paraId="0B3A4AD4" w14:textId="77777777" w:rsidR="00783909" w:rsidRDefault="00783909" w:rsidP="00783909">
      <w:pPr>
        <w:pStyle w:val="Heading1"/>
        <w:numPr>
          <w:ilvl w:val="0"/>
          <w:numId w:val="0"/>
        </w:numPr>
        <w:rPr>
          <w:b w:val="0"/>
          <w:bCs w:val="0"/>
          <w:sz w:val="24"/>
          <w:szCs w:val="24"/>
          <w:u w:val="none"/>
        </w:rPr>
      </w:pPr>
    </w:p>
    <w:p w14:paraId="56556E45" w14:textId="77777777" w:rsidR="0045074B" w:rsidRDefault="00783909" w:rsidP="00783909">
      <w:pPr>
        <w:pStyle w:val="Heading1"/>
        <w:numPr>
          <w:ilvl w:val="0"/>
          <w:numId w:val="0"/>
        </w:numPr>
        <w:spacing w:after="0"/>
      </w:pPr>
      <w:r w:rsidRPr="00DB78BC">
        <w:rPr>
          <w:sz w:val="24"/>
          <w:szCs w:val="24"/>
          <w:u w:val="none"/>
        </w:rPr>
        <w:t xml:space="preserve">SECTION </w:t>
      </w:r>
      <w:r w:rsidR="00001954">
        <w:rPr>
          <w:sz w:val="24"/>
          <w:szCs w:val="24"/>
          <w:u w:val="none"/>
        </w:rPr>
        <w:t>8</w:t>
      </w:r>
      <w:r w:rsidRPr="00DB78BC">
        <w:rPr>
          <w:sz w:val="24"/>
          <w:szCs w:val="24"/>
          <w:u w:val="none"/>
        </w:rPr>
        <w:t xml:space="preserve">.     </w:t>
      </w:r>
      <w:r w:rsidRPr="00783909">
        <w:rPr>
          <w:sz w:val="24"/>
          <w:szCs w:val="24"/>
        </w:rPr>
        <w:t>FINANCIAL AND OPERATIONAL ASSESSMENTS</w:t>
      </w:r>
      <w:r>
        <w:t xml:space="preserve"> </w:t>
      </w:r>
    </w:p>
    <w:p w14:paraId="2674434E" w14:textId="77777777" w:rsidR="00783909" w:rsidRPr="00783909" w:rsidRDefault="00783909" w:rsidP="00783909">
      <w:pPr>
        <w:widowControl w:val="0"/>
        <w:tabs>
          <w:tab w:val="left" w:pos="6600"/>
        </w:tabs>
        <w:autoSpaceDE w:val="0"/>
        <w:autoSpaceDN w:val="0"/>
        <w:adjustRightInd w:val="0"/>
        <w:rPr>
          <w:b/>
          <w:bCs/>
          <w:sz w:val="22"/>
          <w:szCs w:val="22"/>
          <w:u w:val="single"/>
        </w:rPr>
      </w:pPr>
      <w:r w:rsidRPr="00783909">
        <w:rPr>
          <w:b/>
          <w:bCs/>
          <w:sz w:val="22"/>
          <w:szCs w:val="22"/>
          <w:u w:val="single"/>
        </w:rPr>
        <w:t>References:</w:t>
      </w:r>
    </w:p>
    <w:p w14:paraId="5546D2F0" w14:textId="77777777" w:rsidR="00783909" w:rsidRPr="00783909" w:rsidRDefault="00783909" w:rsidP="00783909">
      <w:pPr>
        <w:rPr>
          <w:b/>
          <w:sz w:val="22"/>
          <w:szCs w:val="22"/>
        </w:rPr>
      </w:pPr>
      <w:r w:rsidRPr="00783909">
        <w:rPr>
          <w:b/>
          <w:sz w:val="22"/>
          <w:szCs w:val="22"/>
        </w:rPr>
        <w:t>FINRA Rule 4370</w:t>
      </w:r>
    </w:p>
    <w:p w14:paraId="19172598" w14:textId="77777777" w:rsidR="00783909" w:rsidRDefault="00783909" w:rsidP="00783909">
      <w:pPr>
        <w:pStyle w:val="Heading1"/>
        <w:numPr>
          <w:ilvl w:val="0"/>
          <w:numId w:val="0"/>
        </w:numPr>
      </w:pPr>
    </w:p>
    <w:p w14:paraId="2809FAFB" w14:textId="77777777" w:rsidR="0045074B" w:rsidRPr="00AE6E1C" w:rsidRDefault="00FC38D9" w:rsidP="00FC38D9">
      <w:pPr>
        <w:pStyle w:val="Heading2"/>
        <w:numPr>
          <w:ilvl w:val="0"/>
          <w:numId w:val="0"/>
        </w:numPr>
        <w:rPr>
          <w:b/>
          <w:sz w:val="24"/>
          <w:szCs w:val="24"/>
        </w:rPr>
      </w:pPr>
      <w:r>
        <w:rPr>
          <w:b/>
          <w:sz w:val="24"/>
          <w:szCs w:val="24"/>
          <w:u w:val="none"/>
        </w:rPr>
        <w:t>8.1</w:t>
      </w:r>
      <w:r w:rsidR="00001954">
        <w:rPr>
          <w:b/>
          <w:sz w:val="24"/>
          <w:szCs w:val="24"/>
          <w:u w:val="none"/>
        </w:rPr>
        <w:t xml:space="preserve">    </w:t>
      </w:r>
      <w:r w:rsidR="0045074B" w:rsidRPr="00AE6E1C">
        <w:rPr>
          <w:b/>
          <w:sz w:val="24"/>
          <w:szCs w:val="24"/>
        </w:rPr>
        <w:t>Operational Risk</w:t>
      </w:r>
    </w:p>
    <w:p w14:paraId="21EE42F5" w14:textId="77777777" w:rsidR="0045074B" w:rsidRPr="00D66250" w:rsidRDefault="0045074B">
      <w:pPr>
        <w:rPr>
          <w:color w:val="000000"/>
          <w:sz w:val="22"/>
          <w:szCs w:val="22"/>
        </w:rPr>
      </w:pPr>
      <w:r w:rsidRPr="00D66250">
        <w:rPr>
          <w:color w:val="000000"/>
          <w:sz w:val="22"/>
          <w:szCs w:val="22"/>
        </w:rPr>
        <w:t xml:space="preserve">In the event of an SBD, </w:t>
      </w:r>
      <w:r w:rsidR="00C0700E" w:rsidRPr="00D66250">
        <w:rPr>
          <w:color w:val="000000"/>
          <w:sz w:val="22"/>
          <w:szCs w:val="22"/>
        </w:rPr>
        <w:t>the Firm</w:t>
      </w:r>
      <w:r w:rsidRPr="00D66250">
        <w:rPr>
          <w:color w:val="000000"/>
          <w:sz w:val="22"/>
          <w:szCs w:val="22"/>
        </w:rPr>
        <w:t xml:space="preserve"> will immediately identify </w:t>
      </w:r>
      <w:r w:rsidR="00001954">
        <w:rPr>
          <w:color w:val="000000"/>
          <w:sz w:val="22"/>
          <w:szCs w:val="22"/>
        </w:rPr>
        <w:t>the manner in which</w:t>
      </w:r>
      <w:r w:rsidRPr="00D66250">
        <w:rPr>
          <w:color w:val="000000"/>
          <w:sz w:val="22"/>
          <w:szCs w:val="22"/>
        </w:rPr>
        <w:t xml:space="preserve"> </w:t>
      </w:r>
      <w:r w:rsidR="00AE6E1C" w:rsidRPr="00D66250">
        <w:rPr>
          <w:color w:val="000000"/>
          <w:sz w:val="22"/>
          <w:szCs w:val="22"/>
        </w:rPr>
        <w:t>the Firm</w:t>
      </w:r>
      <w:r w:rsidRPr="00D66250">
        <w:rPr>
          <w:color w:val="000000"/>
          <w:sz w:val="22"/>
          <w:szCs w:val="22"/>
        </w:rPr>
        <w:t xml:space="preserve"> </w:t>
      </w:r>
      <w:r w:rsidR="00001954">
        <w:rPr>
          <w:color w:val="000000"/>
          <w:sz w:val="22"/>
          <w:szCs w:val="22"/>
        </w:rPr>
        <w:t>can</w:t>
      </w:r>
      <w:r w:rsidRPr="00D66250">
        <w:rPr>
          <w:color w:val="000000"/>
          <w:sz w:val="22"/>
          <w:szCs w:val="22"/>
        </w:rPr>
        <w:t xml:space="preserve"> communicate with customers, employees, critical business constituents, critical banks, critical counter-parties, and regulators.  Although the effects of an SBD will determine the means of alternative communication</w:t>
      </w:r>
      <w:r w:rsidR="00001954">
        <w:rPr>
          <w:color w:val="000000"/>
          <w:sz w:val="22"/>
          <w:szCs w:val="22"/>
        </w:rPr>
        <w:t>s</w:t>
      </w:r>
      <w:r w:rsidRPr="00D66250">
        <w:rPr>
          <w:color w:val="000000"/>
          <w:sz w:val="22"/>
          <w:szCs w:val="22"/>
        </w:rPr>
        <w:t xml:space="preserve">, the communications options </w:t>
      </w:r>
      <w:r w:rsidR="00C0700E" w:rsidRPr="00D66250">
        <w:rPr>
          <w:color w:val="000000"/>
          <w:sz w:val="22"/>
          <w:szCs w:val="22"/>
        </w:rPr>
        <w:t>the Firm</w:t>
      </w:r>
      <w:r w:rsidRPr="00D66250">
        <w:rPr>
          <w:color w:val="000000"/>
          <w:sz w:val="22"/>
          <w:szCs w:val="22"/>
        </w:rPr>
        <w:t xml:space="preserve"> will employ will include </w:t>
      </w:r>
      <w:r w:rsidR="00C0700E" w:rsidRPr="00D66250">
        <w:rPr>
          <w:iCs/>
          <w:color w:val="000000"/>
          <w:sz w:val="22"/>
          <w:szCs w:val="22"/>
        </w:rPr>
        <w:t>the</w:t>
      </w:r>
      <w:r w:rsidR="00001954">
        <w:rPr>
          <w:iCs/>
          <w:color w:val="000000"/>
          <w:sz w:val="22"/>
          <w:szCs w:val="22"/>
        </w:rPr>
        <w:t xml:space="preserve"> </w:t>
      </w:r>
      <w:r w:rsidR="00C0700E" w:rsidRPr="00D66250">
        <w:rPr>
          <w:iCs/>
          <w:color w:val="000000"/>
          <w:sz w:val="22"/>
          <w:szCs w:val="22"/>
        </w:rPr>
        <w:t>Firm</w:t>
      </w:r>
      <w:r w:rsidR="00AE6E1C" w:rsidRPr="00D66250">
        <w:rPr>
          <w:iCs/>
          <w:color w:val="000000"/>
          <w:sz w:val="22"/>
          <w:szCs w:val="22"/>
        </w:rPr>
        <w:t xml:space="preserve"> web</w:t>
      </w:r>
      <w:r w:rsidRPr="00D66250">
        <w:rPr>
          <w:iCs/>
          <w:color w:val="000000"/>
          <w:sz w:val="22"/>
          <w:szCs w:val="22"/>
        </w:rPr>
        <w:t xml:space="preserve"> site, telephone voice mail, </w:t>
      </w:r>
      <w:r w:rsidR="000A1E64" w:rsidRPr="00D66250">
        <w:rPr>
          <w:iCs/>
          <w:color w:val="000000"/>
          <w:sz w:val="22"/>
          <w:szCs w:val="22"/>
        </w:rPr>
        <w:t xml:space="preserve">and </w:t>
      </w:r>
      <w:r w:rsidRPr="00D66250">
        <w:rPr>
          <w:iCs/>
          <w:color w:val="000000"/>
          <w:sz w:val="22"/>
          <w:szCs w:val="22"/>
        </w:rPr>
        <w:t>secure e-mail</w:t>
      </w:r>
      <w:r w:rsidRPr="00D66250">
        <w:rPr>
          <w:color w:val="000000"/>
          <w:sz w:val="22"/>
          <w:szCs w:val="22"/>
        </w:rPr>
        <w:t xml:space="preserve">.  </w:t>
      </w:r>
    </w:p>
    <w:p w14:paraId="4C8B6754" w14:textId="77777777" w:rsidR="00DB78BC" w:rsidRPr="00AE6E1C" w:rsidRDefault="00DB78BC" w:rsidP="00DB78BC">
      <w:pPr>
        <w:rPr>
          <w:b/>
        </w:rPr>
      </w:pPr>
    </w:p>
    <w:p w14:paraId="1B07CF72" w14:textId="77777777" w:rsidR="0045074B" w:rsidRPr="00AE6E1C" w:rsidRDefault="00FC38D9" w:rsidP="00FC38D9">
      <w:pPr>
        <w:pStyle w:val="Heading2"/>
        <w:numPr>
          <w:ilvl w:val="0"/>
          <w:numId w:val="0"/>
        </w:numPr>
        <w:rPr>
          <w:b/>
          <w:sz w:val="24"/>
          <w:szCs w:val="24"/>
        </w:rPr>
      </w:pPr>
      <w:r>
        <w:rPr>
          <w:b/>
          <w:sz w:val="24"/>
          <w:szCs w:val="24"/>
          <w:u w:val="none"/>
        </w:rPr>
        <w:t>8.2</w:t>
      </w:r>
      <w:r w:rsidR="00001954">
        <w:rPr>
          <w:b/>
          <w:sz w:val="24"/>
          <w:szCs w:val="24"/>
          <w:u w:val="none"/>
        </w:rPr>
        <w:t xml:space="preserve">   </w:t>
      </w:r>
      <w:r w:rsidR="0045074B" w:rsidRPr="00AE6E1C">
        <w:rPr>
          <w:b/>
          <w:sz w:val="24"/>
          <w:szCs w:val="24"/>
        </w:rPr>
        <w:t>Financial and Credit Risk</w:t>
      </w:r>
    </w:p>
    <w:p w14:paraId="15ADF84C" w14:textId="77777777" w:rsidR="0045074B" w:rsidRPr="00D66250" w:rsidRDefault="0045074B">
      <w:pPr>
        <w:rPr>
          <w:color w:val="000000"/>
          <w:sz w:val="22"/>
          <w:szCs w:val="22"/>
        </w:rPr>
      </w:pPr>
      <w:r w:rsidRPr="00D66250">
        <w:rPr>
          <w:color w:val="000000"/>
          <w:sz w:val="22"/>
          <w:szCs w:val="22"/>
        </w:rPr>
        <w:t xml:space="preserve">In the event of an SBD, </w:t>
      </w:r>
      <w:r w:rsidR="00C0700E" w:rsidRPr="00D66250">
        <w:rPr>
          <w:color w:val="000000"/>
          <w:sz w:val="22"/>
          <w:szCs w:val="22"/>
        </w:rPr>
        <w:t>the Firm</w:t>
      </w:r>
      <w:r w:rsidRPr="00D66250">
        <w:rPr>
          <w:color w:val="000000"/>
          <w:sz w:val="22"/>
          <w:szCs w:val="22"/>
        </w:rPr>
        <w:t xml:space="preserve"> will determine the value and liquidity of investments and other assets to evaluate </w:t>
      </w:r>
      <w:r w:rsidR="00C0700E" w:rsidRPr="00D66250">
        <w:rPr>
          <w:color w:val="000000"/>
          <w:sz w:val="22"/>
          <w:szCs w:val="22"/>
        </w:rPr>
        <w:t>the</w:t>
      </w:r>
      <w:r w:rsidRPr="00D66250">
        <w:rPr>
          <w:color w:val="000000"/>
          <w:sz w:val="22"/>
          <w:szCs w:val="22"/>
        </w:rPr>
        <w:t xml:space="preserve"> ability to continue to fund </w:t>
      </w:r>
      <w:r w:rsidR="00C0700E" w:rsidRPr="00D66250">
        <w:rPr>
          <w:color w:val="000000"/>
          <w:sz w:val="22"/>
          <w:szCs w:val="22"/>
        </w:rPr>
        <w:t>the</w:t>
      </w:r>
      <w:r w:rsidRPr="00D66250">
        <w:rPr>
          <w:color w:val="000000"/>
          <w:sz w:val="22"/>
          <w:szCs w:val="22"/>
        </w:rPr>
        <w:t xml:space="preserve"> o</w:t>
      </w:r>
      <w:r w:rsidR="00001954">
        <w:rPr>
          <w:color w:val="000000"/>
          <w:sz w:val="22"/>
          <w:szCs w:val="22"/>
        </w:rPr>
        <w:t xml:space="preserve">perations and remain in </w:t>
      </w:r>
      <w:r w:rsidRPr="00D66250">
        <w:rPr>
          <w:color w:val="000000"/>
          <w:sz w:val="22"/>
          <w:szCs w:val="22"/>
        </w:rPr>
        <w:t>compliance</w:t>
      </w:r>
      <w:r w:rsidR="00001954">
        <w:rPr>
          <w:color w:val="000000"/>
          <w:sz w:val="22"/>
          <w:szCs w:val="22"/>
        </w:rPr>
        <w:t xml:space="preserve"> with all capital requirements</w:t>
      </w:r>
      <w:r w:rsidRPr="00D66250">
        <w:rPr>
          <w:color w:val="000000"/>
          <w:sz w:val="22"/>
          <w:szCs w:val="22"/>
        </w:rPr>
        <w:t xml:space="preserve">.  </w:t>
      </w:r>
      <w:r w:rsidR="00C0700E" w:rsidRPr="00D66250">
        <w:rPr>
          <w:color w:val="000000"/>
          <w:sz w:val="22"/>
          <w:szCs w:val="22"/>
        </w:rPr>
        <w:t>The Firm</w:t>
      </w:r>
      <w:r w:rsidRPr="00D66250">
        <w:rPr>
          <w:color w:val="000000"/>
          <w:sz w:val="22"/>
          <w:szCs w:val="22"/>
        </w:rPr>
        <w:t xml:space="preserve"> will contact critical banks, and investors to apprise them of </w:t>
      </w:r>
      <w:r w:rsidR="00C0700E" w:rsidRPr="00D66250">
        <w:rPr>
          <w:color w:val="000000"/>
          <w:sz w:val="22"/>
          <w:szCs w:val="22"/>
        </w:rPr>
        <w:t>the</w:t>
      </w:r>
      <w:r w:rsidRPr="00D66250">
        <w:rPr>
          <w:color w:val="000000"/>
          <w:sz w:val="22"/>
          <w:szCs w:val="22"/>
        </w:rPr>
        <w:t xml:space="preserve"> financial status.  If </w:t>
      </w:r>
      <w:r w:rsidR="00C0700E" w:rsidRPr="00D66250">
        <w:rPr>
          <w:color w:val="000000"/>
          <w:sz w:val="22"/>
          <w:szCs w:val="22"/>
        </w:rPr>
        <w:t>the Firm</w:t>
      </w:r>
      <w:r w:rsidRPr="00D66250">
        <w:rPr>
          <w:color w:val="000000"/>
          <w:sz w:val="22"/>
          <w:szCs w:val="22"/>
        </w:rPr>
        <w:t xml:space="preserve"> determine</w:t>
      </w:r>
      <w:r w:rsidR="009A5FA4" w:rsidRPr="00D66250">
        <w:rPr>
          <w:color w:val="000000"/>
          <w:sz w:val="22"/>
          <w:szCs w:val="22"/>
        </w:rPr>
        <w:t>s</w:t>
      </w:r>
      <w:r w:rsidRPr="00D66250">
        <w:rPr>
          <w:color w:val="000000"/>
          <w:sz w:val="22"/>
          <w:szCs w:val="22"/>
        </w:rPr>
        <w:t xml:space="preserve"> that </w:t>
      </w:r>
      <w:r w:rsidR="00C0700E" w:rsidRPr="00D66250">
        <w:rPr>
          <w:color w:val="000000"/>
          <w:sz w:val="22"/>
          <w:szCs w:val="22"/>
        </w:rPr>
        <w:t>the Firm</w:t>
      </w:r>
      <w:r w:rsidRPr="00D66250">
        <w:rPr>
          <w:color w:val="000000"/>
          <w:sz w:val="22"/>
          <w:szCs w:val="22"/>
        </w:rPr>
        <w:t xml:space="preserve"> may be unable to meet </w:t>
      </w:r>
      <w:r w:rsidR="00C0700E" w:rsidRPr="00D66250">
        <w:rPr>
          <w:color w:val="000000"/>
          <w:sz w:val="22"/>
          <w:szCs w:val="22"/>
        </w:rPr>
        <w:t>the</w:t>
      </w:r>
      <w:r w:rsidRPr="00D66250">
        <w:rPr>
          <w:color w:val="000000"/>
          <w:sz w:val="22"/>
          <w:szCs w:val="22"/>
        </w:rPr>
        <w:t xml:space="preserve"> obligations to those counter-parties or otherwise continue to fund operations, </w:t>
      </w:r>
      <w:r w:rsidR="00C0700E" w:rsidRPr="00D66250">
        <w:rPr>
          <w:color w:val="000000"/>
          <w:sz w:val="22"/>
          <w:szCs w:val="22"/>
        </w:rPr>
        <w:t>the Firm</w:t>
      </w:r>
      <w:r w:rsidRPr="00D66250">
        <w:rPr>
          <w:color w:val="000000"/>
          <w:sz w:val="22"/>
          <w:szCs w:val="22"/>
        </w:rPr>
        <w:t xml:space="preserve"> will re</w:t>
      </w:r>
      <w:r w:rsidR="00001954">
        <w:rPr>
          <w:color w:val="000000"/>
          <w:sz w:val="22"/>
          <w:szCs w:val="22"/>
        </w:rPr>
        <w:t>quest additional financing from</w:t>
      </w:r>
      <w:r w:rsidRPr="00D66250">
        <w:rPr>
          <w:color w:val="000000"/>
          <w:sz w:val="22"/>
          <w:szCs w:val="22"/>
        </w:rPr>
        <w:t xml:space="preserve"> bank</w:t>
      </w:r>
      <w:r w:rsidR="00001954">
        <w:rPr>
          <w:color w:val="000000"/>
          <w:sz w:val="22"/>
          <w:szCs w:val="22"/>
        </w:rPr>
        <w:t>s</w:t>
      </w:r>
      <w:r w:rsidRPr="00D66250">
        <w:rPr>
          <w:color w:val="000000"/>
          <w:sz w:val="22"/>
          <w:szCs w:val="22"/>
        </w:rPr>
        <w:t xml:space="preserve"> or other credit s</w:t>
      </w:r>
      <w:r w:rsidR="009A5FA4" w:rsidRPr="00D66250">
        <w:rPr>
          <w:color w:val="000000"/>
          <w:sz w:val="22"/>
          <w:szCs w:val="22"/>
        </w:rPr>
        <w:t>ources</w:t>
      </w:r>
      <w:r w:rsidRPr="00D66250">
        <w:rPr>
          <w:color w:val="000000"/>
          <w:sz w:val="22"/>
          <w:szCs w:val="22"/>
        </w:rPr>
        <w:t xml:space="preserve"> to fulfill </w:t>
      </w:r>
      <w:r w:rsidR="00C0700E" w:rsidRPr="00D66250">
        <w:rPr>
          <w:color w:val="000000"/>
          <w:sz w:val="22"/>
          <w:szCs w:val="22"/>
        </w:rPr>
        <w:t>the</w:t>
      </w:r>
      <w:r w:rsidR="00001954">
        <w:rPr>
          <w:color w:val="000000"/>
          <w:sz w:val="22"/>
          <w:szCs w:val="22"/>
        </w:rPr>
        <w:t xml:space="preserve"> obligations to</w:t>
      </w:r>
      <w:r w:rsidRPr="00D66250">
        <w:rPr>
          <w:color w:val="000000"/>
          <w:sz w:val="22"/>
          <w:szCs w:val="22"/>
        </w:rPr>
        <w:t xml:space="preserve"> customers and clients.  If </w:t>
      </w:r>
      <w:r w:rsidR="00C0700E" w:rsidRPr="00D66250">
        <w:rPr>
          <w:color w:val="000000"/>
          <w:sz w:val="22"/>
          <w:szCs w:val="22"/>
        </w:rPr>
        <w:t>the Firm</w:t>
      </w:r>
      <w:r w:rsidRPr="00D66250">
        <w:rPr>
          <w:color w:val="000000"/>
          <w:sz w:val="22"/>
          <w:szCs w:val="22"/>
        </w:rPr>
        <w:t xml:space="preserve"> cannot remedy a</w:t>
      </w:r>
      <w:r w:rsidR="00001954">
        <w:rPr>
          <w:color w:val="000000"/>
          <w:sz w:val="22"/>
          <w:szCs w:val="22"/>
        </w:rPr>
        <w:t>ny</w:t>
      </w:r>
      <w:r w:rsidRPr="00D66250">
        <w:rPr>
          <w:color w:val="000000"/>
          <w:sz w:val="22"/>
          <w:szCs w:val="22"/>
        </w:rPr>
        <w:t xml:space="preserve"> capital deficiency, </w:t>
      </w:r>
      <w:r w:rsidR="00C0700E" w:rsidRPr="00D66250">
        <w:rPr>
          <w:color w:val="000000"/>
          <w:sz w:val="22"/>
          <w:szCs w:val="22"/>
        </w:rPr>
        <w:t>the Firm</w:t>
      </w:r>
      <w:r w:rsidRPr="00D66250">
        <w:rPr>
          <w:color w:val="000000"/>
          <w:sz w:val="22"/>
          <w:szCs w:val="22"/>
        </w:rPr>
        <w:t xml:space="preserve"> will file appropriate notices with </w:t>
      </w:r>
      <w:r w:rsidR="00C0700E" w:rsidRPr="00D66250">
        <w:rPr>
          <w:color w:val="000000"/>
          <w:sz w:val="22"/>
          <w:szCs w:val="22"/>
        </w:rPr>
        <w:t>the</w:t>
      </w:r>
      <w:r w:rsidRPr="00D66250">
        <w:rPr>
          <w:color w:val="000000"/>
          <w:sz w:val="22"/>
          <w:szCs w:val="22"/>
        </w:rPr>
        <w:t xml:space="preserve"> regulators and immediately take appropriate steps.</w:t>
      </w:r>
    </w:p>
    <w:p w14:paraId="4E1B31B5" w14:textId="77777777" w:rsidR="00BA7E9C" w:rsidRPr="00EE3DC6" w:rsidRDefault="00BA7E9C"/>
    <w:p w14:paraId="044ECC24" w14:textId="77777777" w:rsidR="0045074B" w:rsidRPr="00EE73B8" w:rsidRDefault="009A5FA4" w:rsidP="009A5FA4">
      <w:pPr>
        <w:pStyle w:val="Heading1"/>
        <w:numPr>
          <w:ilvl w:val="0"/>
          <w:numId w:val="0"/>
        </w:numPr>
        <w:rPr>
          <w:bCs w:val="0"/>
        </w:rPr>
      </w:pPr>
      <w:r w:rsidRPr="00DB78BC">
        <w:rPr>
          <w:sz w:val="24"/>
          <w:szCs w:val="24"/>
          <w:u w:val="none"/>
        </w:rPr>
        <w:t xml:space="preserve">SECTION </w:t>
      </w:r>
      <w:r w:rsidR="00BF0E2A">
        <w:rPr>
          <w:sz w:val="24"/>
          <w:szCs w:val="24"/>
          <w:u w:val="none"/>
        </w:rPr>
        <w:t>9</w:t>
      </w:r>
      <w:r w:rsidRPr="00DB78BC">
        <w:rPr>
          <w:sz w:val="24"/>
          <w:szCs w:val="24"/>
          <w:u w:val="none"/>
        </w:rPr>
        <w:t xml:space="preserve">.     </w:t>
      </w:r>
      <w:r w:rsidRPr="009A5FA4">
        <w:rPr>
          <w:bCs w:val="0"/>
          <w:sz w:val="24"/>
          <w:szCs w:val="24"/>
        </w:rPr>
        <w:t>MISSION CRITICAL SYSTEMS</w:t>
      </w:r>
    </w:p>
    <w:p w14:paraId="5DFA3D52" w14:textId="77777777" w:rsidR="009F3C74" w:rsidRDefault="009F3C74" w:rsidP="00001954">
      <w:pPr>
        <w:pStyle w:val="Heading2"/>
        <w:numPr>
          <w:ilvl w:val="0"/>
          <w:numId w:val="0"/>
        </w:numPr>
        <w:rPr>
          <w:b/>
          <w:sz w:val="24"/>
          <w:szCs w:val="24"/>
          <w:u w:val="none"/>
        </w:rPr>
      </w:pPr>
    </w:p>
    <w:p w14:paraId="640F4E20" w14:textId="77777777" w:rsidR="00001954" w:rsidRDefault="009F3C74" w:rsidP="00001954">
      <w:pPr>
        <w:pStyle w:val="Heading2"/>
        <w:numPr>
          <w:ilvl w:val="0"/>
          <w:numId w:val="0"/>
        </w:numPr>
        <w:rPr>
          <w:b/>
          <w:sz w:val="24"/>
          <w:szCs w:val="24"/>
          <w:u w:val="none"/>
        </w:rPr>
      </w:pPr>
      <w:r>
        <w:rPr>
          <w:b/>
          <w:sz w:val="24"/>
          <w:szCs w:val="24"/>
          <w:u w:val="none"/>
        </w:rPr>
        <w:t>RESERVED</w:t>
      </w:r>
    </w:p>
    <w:p w14:paraId="3A350B93" w14:textId="77777777" w:rsidR="00BA7E9C" w:rsidRPr="000633DB" w:rsidRDefault="00BA7E9C">
      <w:pPr>
        <w:rPr>
          <w:b/>
        </w:rPr>
      </w:pPr>
    </w:p>
    <w:p w14:paraId="2009DA19" w14:textId="77777777" w:rsidR="0045074B" w:rsidRDefault="00FC38D9" w:rsidP="00FC38D9">
      <w:pPr>
        <w:pStyle w:val="Heading2"/>
        <w:numPr>
          <w:ilvl w:val="0"/>
          <w:numId w:val="0"/>
        </w:numPr>
        <w:spacing w:after="0"/>
        <w:rPr>
          <w:b/>
          <w:sz w:val="24"/>
          <w:szCs w:val="24"/>
        </w:rPr>
      </w:pPr>
      <w:r>
        <w:rPr>
          <w:b/>
          <w:sz w:val="24"/>
          <w:szCs w:val="24"/>
          <w:u w:val="none"/>
        </w:rPr>
        <w:t>9.2</w:t>
      </w:r>
      <w:r w:rsidR="00BF0E2A">
        <w:rPr>
          <w:b/>
          <w:sz w:val="24"/>
          <w:szCs w:val="24"/>
          <w:u w:val="none"/>
        </w:rPr>
        <w:t xml:space="preserve">     </w:t>
      </w:r>
      <w:r w:rsidR="00C0700E" w:rsidRPr="000633DB">
        <w:rPr>
          <w:b/>
          <w:sz w:val="24"/>
          <w:szCs w:val="24"/>
        </w:rPr>
        <w:t>The</w:t>
      </w:r>
      <w:r w:rsidR="0045074B" w:rsidRPr="000633DB">
        <w:rPr>
          <w:b/>
          <w:sz w:val="24"/>
          <w:szCs w:val="24"/>
        </w:rPr>
        <w:t xml:space="preserve"> </w:t>
      </w:r>
      <w:r w:rsidR="00C0700E" w:rsidRPr="000633DB">
        <w:rPr>
          <w:b/>
          <w:sz w:val="24"/>
          <w:szCs w:val="24"/>
        </w:rPr>
        <w:t>Firm</w:t>
      </w:r>
      <w:r w:rsidR="0045074B" w:rsidRPr="000633DB">
        <w:rPr>
          <w:b/>
          <w:sz w:val="24"/>
          <w:szCs w:val="24"/>
        </w:rPr>
        <w:t>’s Mission Critical Systems</w:t>
      </w:r>
    </w:p>
    <w:p w14:paraId="3500C6CD" w14:textId="77777777" w:rsidR="000633DB" w:rsidRPr="000633DB" w:rsidRDefault="000633DB" w:rsidP="000633DB">
      <w:pPr>
        <w:widowControl w:val="0"/>
        <w:tabs>
          <w:tab w:val="left" w:pos="6600"/>
        </w:tabs>
        <w:autoSpaceDE w:val="0"/>
        <w:autoSpaceDN w:val="0"/>
        <w:adjustRightInd w:val="0"/>
        <w:rPr>
          <w:b/>
          <w:bCs/>
          <w:sz w:val="22"/>
          <w:szCs w:val="22"/>
          <w:u w:val="single"/>
        </w:rPr>
      </w:pPr>
      <w:r w:rsidRPr="000633DB">
        <w:rPr>
          <w:b/>
          <w:bCs/>
          <w:sz w:val="22"/>
          <w:szCs w:val="22"/>
          <w:u w:val="single"/>
        </w:rPr>
        <w:t>References:</w:t>
      </w:r>
    </w:p>
    <w:p w14:paraId="79D77884" w14:textId="77777777" w:rsidR="000633DB" w:rsidRPr="000633DB" w:rsidRDefault="000633DB" w:rsidP="000633DB">
      <w:pPr>
        <w:rPr>
          <w:sz w:val="22"/>
          <w:szCs w:val="22"/>
        </w:rPr>
      </w:pPr>
      <w:r w:rsidRPr="000633DB">
        <w:rPr>
          <w:b/>
          <w:sz w:val="22"/>
          <w:szCs w:val="22"/>
        </w:rPr>
        <w:t>FINRA Rule 4370</w:t>
      </w:r>
    </w:p>
    <w:p w14:paraId="5A375C2F" w14:textId="2689F3E7" w:rsidR="000633DB" w:rsidRPr="002B3FBC" w:rsidRDefault="002B3FBC" w:rsidP="000633DB">
      <w:pPr>
        <w:pStyle w:val="Heading2"/>
        <w:numPr>
          <w:ilvl w:val="0"/>
          <w:numId w:val="0"/>
        </w:numPr>
        <w:rPr>
          <w:bCs w:val="0"/>
          <w:sz w:val="24"/>
          <w:szCs w:val="24"/>
          <w:u w:val="none"/>
        </w:rPr>
      </w:pPr>
      <w:r>
        <w:rPr>
          <w:bCs w:val="0"/>
          <w:sz w:val="24"/>
          <w:szCs w:val="24"/>
          <w:u w:val="none"/>
        </w:rPr>
        <w:lastRenderedPageBreak/>
        <w:t>The Firm’s Mission Critical Systems are Global Relay which provides email and electronic communications storage.</w:t>
      </w:r>
    </w:p>
    <w:p w14:paraId="5BD49D91" w14:textId="77777777" w:rsidR="002B3FBC" w:rsidRDefault="002B3FBC" w:rsidP="000633DB">
      <w:pPr>
        <w:pStyle w:val="Heading2"/>
        <w:numPr>
          <w:ilvl w:val="0"/>
          <w:numId w:val="0"/>
        </w:numPr>
        <w:rPr>
          <w:b/>
          <w:sz w:val="24"/>
          <w:szCs w:val="24"/>
        </w:rPr>
      </w:pPr>
    </w:p>
    <w:p w14:paraId="18D85736" w14:textId="77777777" w:rsidR="0045074B" w:rsidRDefault="0045074B" w:rsidP="00FC38D9">
      <w:pPr>
        <w:pStyle w:val="Heading3"/>
        <w:numPr>
          <w:ilvl w:val="2"/>
          <w:numId w:val="16"/>
        </w:numPr>
      </w:pPr>
      <w:r>
        <w:t>Order Taking</w:t>
      </w:r>
    </w:p>
    <w:p w14:paraId="3E9667D1" w14:textId="09FF34A2" w:rsidR="0045074B" w:rsidRDefault="0045074B">
      <w:pPr>
        <w:rPr>
          <w:bCs/>
          <w:sz w:val="22"/>
          <w:szCs w:val="22"/>
        </w:rPr>
      </w:pPr>
      <w:r w:rsidRPr="00D66250">
        <w:rPr>
          <w:bCs/>
          <w:sz w:val="22"/>
          <w:szCs w:val="22"/>
        </w:rPr>
        <w:t xml:space="preserve">Currently, </w:t>
      </w:r>
      <w:r w:rsidR="00C0700E" w:rsidRPr="00D66250">
        <w:rPr>
          <w:bCs/>
          <w:sz w:val="22"/>
          <w:szCs w:val="22"/>
        </w:rPr>
        <w:t>the</w:t>
      </w:r>
      <w:r w:rsidRPr="00D66250">
        <w:rPr>
          <w:bCs/>
          <w:sz w:val="22"/>
          <w:szCs w:val="22"/>
        </w:rPr>
        <w:t xml:space="preserve"> </w:t>
      </w:r>
      <w:r w:rsidR="00C0700E" w:rsidRPr="00D66250">
        <w:rPr>
          <w:bCs/>
          <w:sz w:val="22"/>
          <w:szCs w:val="22"/>
        </w:rPr>
        <w:t>Firm</w:t>
      </w:r>
      <w:r w:rsidRPr="00D66250">
        <w:rPr>
          <w:bCs/>
          <w:sz w:val="22"/>
          <w:szCs w:val="22"/>
        </w:rPr>
        <w:t xml:space="preserve"> </w:t>
      </w:r>
      <w:r w:rsidR="002B3FBC">
        <w:rPr>
          <w:bCs/>
          <w:sz w:val="22"/>
          <w:szCs w:val="22"/>
        </w:rPr>
        <w:t xml:space="preserve">is limited in scope to Private Placements and accepts Subscription Agreements in person or through the Firm’s email system. </w:t>
      </w:r>
      <w:r w:rsidRPr="00D66250">
        <w:rPr>
          <w:bCs/>
          <w:sz w:val="22"/>
          <w:szCs w:val="22"/>
        </w:rPr>
        <w:t xml:space="preserve">During an SBD, either internal or external, </w:t>
      </w:r>
      <w:r w:rsidR="00C0700E" w:rsidRPr="00D66250">
        <w:rPr>
          <w:bCs/>
          <w:sz w:val="22"/>
          <w:szCs w:val="22"/>
        </w:rPr>
        <w:t>the Firm</w:t>
      </w:r>
      <w:r w:rsidRPr="00D66250">
        <w:rPr>
          <w:bCs/>
          <w:sz w:val="22"/>
          <w:szCs w:val="22"/>
        </w:rPr>
        <w:t xml:space="preserve"> will continue to take orders through any of these methods that are available and reliable, and in addition, as communications permit, </w:t>
      </w:r>
      <w:r w:rsidR="00C0700E" w:rsidRPr="00D66250">
        <w:rPr>
          <w:bCs/>
          <w:sz w:val="22"/>
          <w:szCs w:val="22"/>
        </w:rPr>
        <w:t>the Firm</w:t>
      </w:r>
      <w:r w:rsidRPr="00D66250">
        <w:rPr>
          <w:bCs/>
          <w:sz w:val="22"/>
          <w:szCs w:val="22"/>
        </w:rPr>
        <w:t xml:space="preserve"> will inform customers when communications become available </w:t>
      </w:r>
      <w:r w:rsidR="00BF0E2A">
        <w:rPr>
          <w:bCs/>
          <w:sz w:val="22"/>
          <w:szCs w:val="22"/>
        </w:rPr>
        <w:t>and inform</w:t>
      </w:r>
      <w:r w:rsidRPr="00D66250">
        <w:rPr>
          <w:bCs/>
          <w:sz w:val="22"/>
          <w:szCs w:val="22"/>
        </w:rPr>
        <w:t xml:space="preserve"> them </w:t>
      </w:r>
      <w:r w:rsidR="00BF0E2A">
        <w:rPr>
          <w:bCs/>
          <w:sz w:val="22"/>
          <w:szCs w:val="22"/>
        </w:rPr>
        <w:t>of the available</w:t>
      </w:r>
      <w:r w:rsidRPr="00D66250">
        <w:rPr>
          <w:bCs/>
          <w:sz w:val="22"/>
          <w:szCs w:val="22"/>
        </w:rPr>
        <w:t xml:space="preserve"> alternatives </w:t>
      </w:r>
      <w:r w:rsidR="00BF0E2A">
        <w:rPr>
          <w:bCs/>
          <w:sz w:val="22"/>
          <w:szCs w:val="22"/>
        </w:rPr>
        <w:t>regarding</w:t>
      </w:r>
      <w:r w:rsidRPr="00D66250">
        <w:rPr>
          <w:bCs/>
          <w:sz w:val="22"/>
          <w:szCs w:val="22"/>
        </w:rPr>
        <w:t xml:space="preserve"> send</w:t>
      </w:r>
      <w:r w:rsidR="00BF0E2A">
        <w:rPr>
          <w:bCs/>
          <w:sz w:val="22"/>
          <w:szCs w:val="22"/>
        </w:rPr>
        <w:t>ing</w:t>
      </w:r>
      <w:r w:rsidRPr="00D66250">
        <w:rPr>
          <w:bCs/>
          <w:sz w:val="22"/>
          <w:szCs w:val="22"/>
        </w:rPr>
        <w:t xml:space="preserve"> their orders to </w:t>
      </w:r>
      <w:r w:rsidR="000633DB" w:rsidRPr="00D66250">
        <w:rPr>
          <w:bCs/>
          <w:sz w:val="22"/>
          <w:szCs w:val="22"/>
        </w:rPr>
        <w:t>the Firm</w:t>
      </w:r>
      <w:r w:rsidR="00BF0E2A">
        <w:rPr>
          <w:bCs/>
          <w:sz w:val="22"/>
          <w:szCs w:val="22"/>
        </w:rPr>
        <w:t>.</w:t>
      </w:r>
      <w:r w:rsidRPr="00D66250">
        <w:rPr>
          <w:bCs/>
          <w:sz w:val="22"/>
          <w:szCs w:val="22"/>
        </w:rPr>
        <w:t xml:space="preserve">  Customers will </w:t>
      </w:r>
      <w:r w:rsidR="00EE73B8" w:rsidRPr="00D66250">
        <w:rPr>
          <w:bCs/>
          <w:sz w:val="22"/>
          <w:szCs w:val="22"/>
        </w:rPr>
        <w:t xml:space="preserve">be informed of alternatives by telephone, e-mail and/or via </w:t>
      </w:r>
      <w:r w:rsidR="00C0700E" w:rsidRPr="00D66250">
        <w:rPr>
          <w:bCs/>
          <w:sz w:val="22"/>
          <w:szCs w:val="22"/>
        </w:rPr>
        <w:t>the</w:t>
      </w:r>
      <w:r w:rsidR="00EE73B8" w:rsidRPr="00D66250">
        <w:rPr>
          <w:bCs/>
          <w:sz w:val="22"/>
          <w:szCs w:val="22"/>
        </w:rPr>
        <w:t xml:space="preserve"> </w:t>
      </w:r>
      <w:r w:rsidR="00C0700E" w:rsidRPr="00D66250">
        <w:rPr>
          <w:bCs/>
          <w:sz w:val="22"/>
          <w:szCs w:val="22"/>
        </w:rPr>
        <w:t>Firm</w:t>
      </w:r>
      <w:r w:rsidR="000633DB" w:rsidRPr="00D66250">
        <w:rPr>
          <w:bCs/>
          <w:sz w:val="22"/>
          <w:szCs w:val="22"/>
        </w:rPr>
        <w:t xml:space="preserve"> web</w:t>
      </w:r>
      <w:r w:rsidR="00EE73B8" w:rsidRPr="00D66250">
        <w:rPr>
          <w:bCs/>
          <w:sz w:val="22"/>
          <w:szCs w:val="22"/>
        </w:rPr>
        <w:t>site</w:t>
      </w:r>
      <w:r w:rsidRPr="00D66250">
        <w:rPr>
          <w:bCs/>
          <w:sz w:val="22"/>
          <w:szCs w:val="22"/>
        </w:rPr>
        <w:t xml:space="preserve">.  </w:t>
      </w:r>
    </w:p>
    <w:p w14:paraId="2B19956B" w14:textId="77777777" w:rsidR="009F3C74" w:rsidRDefault="009F3C74">
      <w:pPr>
        <w:rPr>
          <w:b/>
        </w:rPr>
      </w:pPr>
    </w:p>
    <w:p w14:paraId="0F85F135" w14:textId="77777777" w:rsidR="0045074B" w:rsidRDefault="009F3C74" w:rsidP="00FC38D9">
      <w:pPr>
        <w:pStyle w:val="Heading3"/>
        <w:numPr>
          <w:ilvl w:val="2"/>
          <w:numId w:val="16"/>
        </w:numPr>
        <w:rPr>
          <w:bCs w:val="0"/>
        </w:rPr>
      </w:pPr>
      <w:r>
        <w:t>RESERVED</w:t>
      </w:r>
    </w:p>
    <w:p w14:paraId="20832EBC" w14:textId="77777777" w:rsidR="0045074B" w:rsidRPr="00D66250" w:rsidRDefault="0045074B">
      <w:pPr>
        <w:rPr>
          <w:b/>
          <w:sz w:val="22"/>
          <w:szCs w:val="22"/>
        </w:rPr>
      </w:pPr>
    </w:p>
    <w:p w14:paraId="63A4A9C7" w14:textId="77777777" w:rsidR="0045074B" w:rsidRDefault="0045074B" w:rsidP="00FC38D9">
      <w:pPr>
        <w:pStyle w:val="Heading3"/>
        <w:numPr>
          <w:ilvl w:val="2"/>
          <w:numId w:val="16"/>
        </w:numPr>
      </w:pPr>
      <w:r>
        <w:t>Order Execution</w:t>
      </w:r>
    </w:p>
    <w:p w14:paraId="3F121C12" w14:textId="3B12C1FA" w:rsidR="0045074B" w:rsidRPr="00D66250" w:rsidRDefault="00C0700E">
      <w:pPr>
        <w:rPr>
          <w:bCs/>
          <w:sz w:val="22"/>
          <w:szCs w:val="22"/>
        </w:rPr>
      </w:pPr>
      <w:r w:rsidRPr="00D66250">
        <w:rPr>
          <w:bCs/>
          <w:sz w:val="22"/>
          <w:szCs w:val="22"/>
        </w:rPr>
        <w:t>The Firm</w:t>
      </w:r>
      <w:r w:rsidR="0045074B" w:rsidRPr="00D66250">
        <w:rPr>
          <w:bCs/>
          <w:sz w:val="22"/>
          <w:szCs w:val="22"/>
        </w:rPr>
        <w:t xml:space="preserve"> currently </w:t>
      </w:r>
      <w:r w:rsidR="0047454D" w:rsidRPr="00D66250">
        <w:rPr>
          <w:bCs/>
          <w:sz w:val="22"/>
          <w:szCs w:val="22"/>
        </w:rPr>
        <w:t>do</w:t>
      </w:r>
      <w:r w:rsidR="000633DB" w:rsidRPr="00D66250">
        <w:rPr>
          <w:bCs/>
          <w:sz w:val="22"/>
          <w:szCs w:val="22"/>
        </w:rPr>
        <w:t>es</w:t>
      </w:r>
      <w:r w:rsidR="0047454D" w:rsidRPr="00D66250">
        <w:rPr>
          <w:bCs/>
          <w:sz w:val="22"/>
          <w:szCs w:val="22"/>
        </w:rPr>
        <w:t xml:space="preserve"> not execute orders</w:t>
      </w:r>
      <w:r w:rsidR="00275267">
        <w:rPr>
          <w:bCs/>
          <w:sz w:val="22"/>
          <w:szCs w:val="22"/>
        </w:rPr>
        <w:t xml:space="preserve"> for its customers.</w:t>
      </w:r>
    </w:p>
    <w:p w14:paraId="34CBC425" w14:textId="77777777" w:rsidR="0045074B" w:rsidRDefault="0045074B">
      <w:pPr>
        <w:rPr>
          <w:bCs/>
          <w:i/>
        </w:rPr>
      </w:pPr>
    </w:p>
    <w:p w14:paraId="08307E9C" w14:textId="77777777" w:rsidR="009A5FA4" w:rsidRDefault="009A5FA4" w:rsidP="00E57CD8">
      <w:pPr>
        <w:pStyle w:val="Heading1"/>
        <w:numPr>
          <w:ilvl w:val="0"/>
          <w:numId w:val="0"/>
        </w:numPr>
        <w:spacing w:after="0"/>
        <w:rPr>
          <w:sz w:val="24"/>
          <w:szCs w:val="24"/>
        </w:rPr>
      </w:pPr>
      <w:r w:rsidRPr="00DB78BC">
        <w:rPr>
          <w:sz w:val="24"/>
          <w:szCs w:val="24"/>
          <w:u w:val="none"/>
        </w:rPr>
        <w:t xml:space="preserve">SECTION </w:t>
      </w:r>
      <w:r w:rsidR="00BF0E2A">
        <w:rPr>
          <w:sz w:val="24"/>
          <w:szCs w:val="24"/>
          <w:u w:val="none"/>
        </w:rPr>
        <w:t>10</w:t>
      </w:r>
      <w:r w:rsidRPr="00DB78BC">
        <w:rPr>
          <w:sz w:val="24"/>
          <w:szCs w:val="24"/>
          <w:u w:val="none"/>
        </w:rPr>
        <w:t xml:space="preserve">.     </w:t>
      </w:r>
      <w:r w:rsidRPr="009A5FA4">
        <w:rPr>
          <w:sz w:val="24"/>
          <w:szCs w:val="24"/>
        </w:rPr>
        <w:t>ALTERNATE COMMUNICATIONS BET</w:t>
      </w:r>
      <w:r w:rsidR="00E57CD8">
        <w:rPr>
          <w:sz w:val="24"/>
          <w:szCs w:val="24"/>
        </w:rPr>
        <w:t xml:space="preserve">WEEN </w:t>
      </w:r>
      <w:r w:rsidRPr="009A5FA4">
        <w:rPr>
          <w:sz w:val="24"/>
          <w:szCs w:val="24"/>
        </w:rPr>
        <w:t>THE FIRM AND CUSTOMERS, EMPLOYEES, AND REGULATORS</w:t>
      </w:r>
    </w:p>
    <w:p w14:paraId="4775DEDE" w14:textId="77777777" w:rsidR="009A5FA4" w:rsidRPr="009A5FA4" w:rsidRDefault="009A5FA4" w:rsidP="009A5FA4">
      <w:pPr>
        <w:widowControl w:val="0"/>
        <w:tabs>
          <w:tab w:val="left" w:pos="6600"/>
        </w:tabs>
        <w:autoSpaceDE w:val="0"/>
        <w:autoSpaceDN w:val="0"/>
        <w:adjustRightInd w:val="0"/>
        <w:rPr>
          <w:b/>
          <w:bCs/>
          <w:sz w:val="22"/>
          <w:szCs w:val="22"/>
          <w:u w:val="single"/>
        </w:rPr>
      </w:pPr>
      <w:r w:rsidRPr="009A5FA4">
        <w:rPr>
          <w:b/>
          <w:bCs/>
          <w:sz w:val="22"/>
          <w:szCs w:val="22"/>
          <w:u w:val="single"/>
        </w:rPr>
        <w:t>References:</w:t>
      </w:r>
    </w:p>
    <w:p w14:paraId="0FF3CD55" w14:textId="77777777" w:rsidR="009A5FA4" w:rsidRPr="009A5FA4" w:rsidRDefault="009A5FA4" w:rsidP="009A5FA4">
      <w:pPr>
        <w:rPr>
          <w:sz w:val="22"/>
          <w:szCs w:val="22"/>
        </w:rPr>
      </w:pPr>
      <w:r w:rsidRPr="009A5FA4">
        <w:rPr>
          <w:b/>
          <w:sz w:val="22"/>
          <w:szCs w:val="22"/>
        </w:rPr>
        <w:t>FINRA Rule 4370</w:t>
      </w:r>
    </w:p>
    <w:p w14:paraId="1718F1D3" w14:textId="77777777" w:rsidR="0045074B" w:rsidRDefault="009A5FA4" w:rsidP="009A5FA4">
      <w:pPr>
        <w:pStyle w:val="Heading1"/>
        <w:numPr>
          <w:ilvl w:val="0"/>
          <w:numId w:val="0"/>
        </w:numPr>
      </w:pPr>
      <w:r>
        <w:t xml:space="preserve"> </w:t>
      </w:r>
    </w:p>
    <w:p w14:paraId="3301EB1E" w14:textId="77777777" w:rsidR="0045074B" w:rsidRPr="000633DB" w:rsidRDefault="00BF0E2A" w:rsidP="000633DB">
      <w:pPr>
        <w:rPr>
          <w:b/>
          <w:color w:val="000000"/>
        </w:rPr>
      </w:pPr>
      <w:r>
        <w:rPr>
          <w:b/>
          <w:color w:val="000000"/>
        </w:rPr>
        <w:t>10</w:t>
      </w:r>
      <w:r w:rsidR="000633DB" w:rsidRPr="000633DB">
        <w:rPr>
          <w:b/>
          <w:color w:val="000000"/>
        </w:rPr>
        <w:t xml:space="preserve">.1   </w:t>
      </w:r>
      <w:r w:rsidR="0045074B" w:rsidRPr="000633DB">
        <w:rPr>
          <w:b/>
          <w:color w:val="000000"/>
          <w:u w:val="single"/>
        </w:rPr>
        <w:t>Customers</w:t>
      </w:r>
    </w:p>
    <w:p w14:paraId="6BA5B1F7" w14:textId="77777777" w:rsidR="000C2237" w:rsidRDefault="000C2237"/>
    <w:p w14:paraId="4EA9494A" w14:textId="55737AAD" w:rsidR="0045074B" w:rsidRPr="00D66250" w:rsidRDefault="00C0700E">
      <w:pPr>
        <w:rPr>
          <w:sz w:val="22"/>
          <w:szCs w:val="22"/>
        </w:rPr>
      </w:pPr>
      <w:r w:rsidRPr="00D66250">
        <w:rPr>
          <w:sz w:val="22"/>
          <w:szCs w:val="22"/>
        </w:rPr>
        <w:t>The Firm</w:t>
      </w:r>
      <w:r w:rsidR="0045074B" w:rsidRPr="00D66250">
        <w:rPr>
          <w:sz w:val="22"/>
          <w:szCs w:val="22"/>
        </w:rPr>
        <w:t xml:space="preserve"> now communicate</w:t>
      </w:r>
      <w:r w:rsidR="000633DB" w:rsidRPr="00D66250">
        <w:rPr>
          <w:sz w:val="22"/>
          <w:szCs w:val="22"/>
        </w:rPr>
        <w:t>s</w:t>
      </w:r>
      <w:r w:rsidR="0045074B" w:rsidRPr="00D66250">
        <w:rPr>
          <w:sz w:val="22"/>
          <w:szCs w:val="22"/>
        </w:rPr>
        <w:t xml:space="preserve"> with customers </w:t>
      </w:r>
      <w:r w:rsidR="00BF0E2A">
        <w:rPr>
          <w:sz w:val="22"/>
          <w:szCs w:val="22"/>
        </w:rPr>
        <w:t>via</w:t>
      </w:r>
      <w:r w:rsidR="0045074B" w:rsidRPr="00D66250">
        <w:rPr>
          <w:sz w:val="22"/>
          <w:szCs w:val="22"/>
        </w:rPr>
        <w:t xml:space="preserve"> the telephone, e-mail, </w:t>
      </w:r>
      <w:r w:rsidRPr="00D66250">
        <w:rPr>
          <w:sz w:val="22"/>
          <w:szCs w:val="22"/>
        </w:rPr>
        <w:t>The Firm</w:t>
      </w:r>
      <w:r w:rsidR="000633DB" w:rsidRPr="00D66250">
        <w:rPr>
          <w:sz w:val="22"/>
          <w:szCs w:val="22"/>
        </w:rPr>
        <w:t xml:space="preserve"> </w:t>
      </w:r>
      <w:r w:rsidR="00275267">
        <w:rPr>
          <w:sz w:val="22"/>
          <w:szCs w:val="22"/>
        </w:rPr>
        <w:t>email</w:t>
      </w:r>
      <w:r w:rsidR="00275267" w:rsidRPr="00D66250">
        <w:rPr>
          <w:sz w:val="22"/>
          <w:szCs w:val="22"/>
        </w:rPr>
        <w:t>, U.S.</w:t>
      </w:r>
      <w:r w:rsidR="0045074B" w:rsidRPr="00D66250">
        <w:rPr>
          <w:sz w:val="22"/>
          <w:szCs w:val="22"/>
        </w:rPr>
        <w:t xml:space="preserve"> mail, and in person visits at </w:t>
      </w:r>
      <w:r w:rsidRPr="00D66250">
        <w:rPr>
          <w:sz w:val="22"/>
          <w:szCs w:val="22"/>
        </w:rPr>
        <w:t>the</w:t>
      </w:r>
      <w:r w:rsidR="0045074B" w:rsidRPr="00D66250">
        <w:rPr>
          <w:sz w:val="22"/>
          <w:szCs w:val="22"/>
        </w:rPr>
        <w:t xml:space="preserve"> </w:t>
      </w:r>
      <w:r w:rsidRPr="00D66250">
        <w:rPr>
          <w:sz w:val="22"/>
          <w:szCs w:val="22"/>
        </w:rPr>
        <w:t>Firm</w:t>
      </w:r>
      <w:r w:rsidR="000C2237" w:rsidRPr="00D66250">
        <w:rPr>
          <w:sz w:val="22"/>
          <w:szCs w:val="22"/>
        </w:rPr>
        <w:t xml:space="preserve"> or at any</w:t>
      </w:r>
      <w:r w:rsidR="0045074B" w:rsidRPr="00D66250">
        <w:rPr>
          <w:sz w:val="22"/>
          <w:szCs w:val="22"/>
        </w:rPr>
        <w:t xml:space="preserve"> other location.  In the event of an SBD, </w:t>
      </w:r>
      <w:r w:rsidRPr="00D66250">
        <w:rPr>
          <w:sz w:val="22"/>
          <w:szCs w:val="22"/>
        </w:rPr>
        <w:t>the Firm</w:t>
      </w:r>
      <w:r w:rsidR="0045074B" w:rsidRPr="00D66250">
        <w:rPr>
          <w:sz w:val="22"/>
          <w:szCs w:val="22"/>
        </w:rPr>
        <w:t xml:space="preserve"> will assess which means of communication are still available, and use the means closest in speed and form (written or oral) that </w:t>
      </w:r>
      <w:r w:rsidRPr="00D66250">
        <w:rPr>
          <w:sz w:val="22"/>
          <w:szCs w:val="22"/>
        </w:rPr>
        <w:t>the Firm</w:t>
      </w:r>
      <w:r w:rsidR="000C2237" w:rsidRPr="00D66250">
        <w:rPr>
          <w:sz w:val="22"/>
          <w:szCs w:val="22"/>
        </w:rPr>
        <w:t xml:space="preserve"> has</w:t>
      </w:r>
      <w:r w:rsidR="0045074B" w:rsidRPr="00D66250">
        <w:rPr>
          <w:sz w:val="22"/>
          <w:szCs w:val="22"/>
        </w:rPr>
        <w:t xml:space="preserve"> used in the past to communicate with the other party. </w:t>
      </w:r>
      <w:r w:rsidR="000C2237" w:rsidRPr="00D66250">
        <w:rPr>
          <w:sz w:val="22"/>
          <w:szCs w:val="22"/>
        </w:rPr>
        <w:t xml:space="preserve"> </w:t>
      </w:r>
      <w:r w:rsidR="0045074B" w:rsidRPr="00D66250">
        <w:rPr>
          <w:sz w:val="22"/>
          <w:szCs w:val="22"/>
        </w:rPr>
        <w:t xml:space="preserve">For example, if </w:t>
      </w:r>
      <w:r w:rsidRPr="00D66250">
        <w:rPr>
          <w:sz w:val="22"/>
          <w:szCs w:val="22"/>
        </w:rPr>
        <w:t>the Firm</w:t>
      </w:r>
      <w:r w:rsidR="000C2237" w:rsidRPr="00D66250">
        <w:rPr>
          <w:sz w:val="22"/>
          <w:szCs w:val="22"/>
        </w:rPr>
        <w:t xml:space="preserve"> has </w:t>
      </w:r>
      <w:r w:rsidR="0045074B" w:rsidRPr="00D66250">
        <w:rPr>
          <w:sz w:val="22"/>
          <w:szCs w:val="22"/>
        </w:rPr>
        <w:t xml:space="preserve">communicated with a party by e-mail but the Internet is unavailable, </w:t>
      </w:r>
      <w:r w:rsidRPr="00D66250">
        <w:rPr>
          <w:sz w:val="22"/>
          <w:szCs w:val="22"/>
        </w:rPr>
        <w:t>the Firm</w:t>
      </w:r>
      <w:r w:rsidR="000C2237" w:rsidRPr="00D66250">
        <w:rPr>
          <w:sz w:val="22"/>
          <w:szCs w:val="22"/>
        </w:rPr>
        <w:t xml:space="preserve"> will call that party</w:t>
      </w:r>
      <w:r w:rsidR="0045074B" w:rsidRPr="00D66250">
        <w:rPr>
          <w:sz w:val="22"/>
          <w:szCs w:val="22"/>
        </w:rPr>
        <w:t xml:space="preserve"> on the telephone and follow up where a record is needed with paper copy in the U.S. mail.  </w:t>
      </w:r>
    </w:p>
    <w:p w14:paraId="4F6D7FC3" w14:textId="77777777" w:rsidR="000C2237" w:rsidRDefault="000C2237"/>
    <w:p w14:paraId="36CB3A8D" w14:textId="77777777" w:rsidR="0045074B" w:rsidRPr="000C2237" w:rsidRDefault="00BF0E2A">
      <w:pPr>
        <w:rPr>
          <w:b/>
          <w:u w:val="single"/>
        </w:rPr>
      </w:pPr>
      <w:r>
        <w:rPr>
          <w:b/>
        </w:rPr>
        <w:t>10</w:t>
      </w:r>
      <w:r w:rsidR="000C2237" w:rsidRPr="000C2237">
        <w:rPr>
          <w:b/>
        </w:rPr>
        <w:t xml:space="preserve">.2    </w:t>
      </w:r>
      <w:r w:rsidR="0045074B" w:rsidRPr="000C2237">
        <w:rPr>
          <w:b/>
          <w:u w:val="single"/>
        </w:rPr>
        <w:t>Employees</w:t>
      </w:r>
    </w:p>
    <w:p w14:paraId="2D91FD7A" w14:textId="77777777" w:rsidR="0045074B" w:rsidRDefault="0045074B"/>
    <w:p w14:paraId="54B60B62" w14:textId="77777777" w:rsidR="0045074B" w:rsidRPr="00D66250" w:rsidRDefault="00C0700E">
      <w:pPr>
        <w:rPr>
          <w:sz w:val="22"/>
          <w:szCs w:val="22"/>
        </w:rPr>
      </w:pPr>
      <w:r w:rsidRPr="00D66250">
        <w:rPr>
          <w:sz w:val="22"/>
          <w:szCs w:val="22"/>
        </w:rPr>
        <w:t>The Firm</w:t>
      </w:r>
      <w:r w:rsidR="0045074B" w:rsidRPr="00D66250">
        <w:rPr>
          <w:sz w:val="22"/>
          <w:szCs w:val="22"/>
        </w:rPr>
        <w:t xml:space="preserve"> now communicate</w:t>
      </w:r>
      <w:r w:rsidR="000C2237" w:rsidRPr="00D66250">
        <w:rPr>
          <w:sz w:val="22"/>
          <w:szCs w:val="22"/>
        </w:rPr>
        <w:t>s</w:t>
      </w:r>
      <w:r w:rsidR="0045074B" w:rsidRPr="00D66250">
        <w:rPr>
          <w:sz w:val="22"/>
          <w:szCs w:val="22"/>
        </w:rPr>
        <w:t xml:space="preserve"> with employees using the telephone, e-mail, and in person.  In the event of an SBD, </w:t>
      </w:r>
      <w:r w:rsidRPr="00D66250">
        <w:rPr>
          <w:sz w:val="22"/>
          <w:szCs w:val="22"/>
        </w:rPr>
        <w:t>the Firm</w:t>
      </w:r>
      <w:r w:rsidR="0045074B" w:rsidRPr="00D66250">
        <w:rPr>
          <w:sz w:val="22"/>
          <w:szCs w:val="22"/>
        </w:rPr>
        <w:t xml:space="preserve"> will assess which means of communi</w:t>
      </w:r>
      <w:r w:rsidR="000C2237" w:rsidRPr="00D66250">
        <w:rPr>
          <w:sz w:val="22"/>
          <w:szCs w:val="22"/>
        </w:rPr>
        <w:t>cation are still available</w:t>
      </w:r>
      <w:r w:rsidR="0045074B" w:rsidRPr="00D66250">
        <w:rPr>
          <w:sz w:val="22"/>
          <w:szCs w:val="22"/>
        </w:rPr>
        <w:t xml:space="preserve"> and use the means closest in speed and form (written or oral) that </w:t>
      </w:r>
      <w:r w:rsidRPr="00D66250">
        <w:rPr>
          <w:sz w:val="22"/>
          <w:szCs w:val="22"/>
        </w:rPr>
        <w:t>the Firm</w:t>
      </w:r>
      <w:r w:rsidR="000C2237" w:rsidRPr="00D66250">
        <w:rPr>
          <w:sz w:val="22"/>
          <w:szCs w:val="22"/>
        </w:rPr>
        <w:t xml:space="preserve"> has</w:t>
      </w:r>
      <w:r w:rsidR="0045074B" w:rsidRPr="00D66250">
        <w:rPr>
          <w:sz w:val="22"/>
          <w:szCs w:val="22"/>
        </w:rPr>
        <w:t xml:space="preserve"> used in the past to communicate with the other party. </w:t>
      </w:r>
      <w:r w:rsidRPr="00D66250">
        <w:rPr>
          <w:sz w:val="22"/>
          <w:szCs w:val="22"/>
        </w:rPr>
        <w:t>The Firm</w:t>
      </w:r>
      <w:r w:rsidR="0045074B" w:rsidRPr="00D66250">
        <w:rPr>
          <w:sz w:val="22"/>
          <w:szCs w:val="22"/>
        </w:rPr>
        <w:t xml:space="preserve"> will also employ a call tree so that senior management can reach all employees quickly during an SBD.  The call tree includes all staff home and office phone numbers.  </w:t>
      </w:r>
    </w:p>
    <w:p w14:paraId="66DF952D" w14:textId="77777777" w:rsidR="000C2237" w:rsidRDefault="000C2237"/>
    <w:p w14:paraId="2A6AD2BD" w14:textId="77777777" w:rsidR="0045074B" w:rsidRDefault="00BF0E2A">
      <w:pPr>
        <w:rPr>
          <w:b/>
          <w:u w:val="single"/>
        </w:rPr>
      </w:pPr>
      <w:r>
        <w:rPr>
          <w:b/>
        </w:rPr>
        <w:t>10</w:t>
      </w:r>
      <w:r w:rsidR="000C2237" w:rsidRPr="000C2237">
        <w:rPr>
          <w:b/>
        </w:rPr>
        <w:t xml:space="preserve">.3    </w:t>
      </w:r>
      <w:r w:rsidR="0045074B" w:rsidRPr="000C2237">
        <w:rPr>
          <w:b/>
          <w:u w:val="single"/>
        </w:rPr>
        <w:t>Regulators</w:t>
      </w:r>
    </w:p>
    <w:p w14:paraId="5F236C02" w14:textId="77777777" w:rsidR="000C2237" w:rsidRPr="00D66250" w:rsidRDefault="000C2237">
      <w:pPr>
        <w:rPr>
          <w:b/>
          <w:sz w:val="22"/>
          <w:szCs w:val="22"/>
        </w:rPr>
      </w:pPr>
    </w:p>
    <w:p w14:paraId="6CF37046" w14:textId="77777777" w:rsidR="0045074B" w:rsidRPr="00D66250" w:rsidRDefault="00C0700E">
      <w:pPr>
        <w:rPr>
          <w:sz w:val="22"/>
          <w:szCs w:val="22"/>
        </w:rPr>
      </w:pPr>
      <w:r w:rsidRPr="00D66250">
        <w:rPr>
          <w:sz w:val="22"/>
          <w:szCs w:val="22"/>
        </w:rPr>
        <w:t>The Firm</w:t>
      </w:r>
      <w:r w:rsidR="0045074B" w:rsidRPr="00D66250">
        <w:rPr>
          <w:sz w:val="22"/>
          <w:szCs w:val="22"/>
        </w:rPr>
        <w:t xml:space="preserve"> communicate</w:t>
      </w:r>
      <w:r w:rsidR="000C2237" w:rsidRPr="00D66250">
        <w:rPr>
          <w:sz w:val="22"/>
          <w:szCs w:val="22"/>
        </w:rPr>
        <w:t xml:space="preserve">s with </w:t>
      </w:r>
      <w:r w:rsidR="0045074B" w:rsidRPr="00D66250">
        <w:rPr>
          <w:sz w:val="22"/>
          <w:szCs w:val="22"/>
        </w:rPr>
        <w:t xml:space="preserve">regulators using the telephone, e-mail, fax, U.S. mail, and in person.  In the event of an SBD, </w:t>
      </w:r>
      <w:r w:rsidRPr="00D66250">
        <w:rPr>
          <w:sz w:val="22"/>
          <w:szCs w:val="22"/>
        </w:rPr>
        <w:t>the Firm</w:t>
      </w:r>
      <w:r w:rsidR="0045074B" w:rsidRPr="00D66250">
        <w:rPr>
          <w:sz w:val="22"/>
          <w:szCs w:val="22"/>
        </w:rPr>
        <w:t xml:space="preserve"> will assess which means of communication are still available and use the means closest in speed and form (written or oral) that </w:t>
      </w:r>
      <w:r w:rsidRPr="00D66250">
        <w:rPr>
          <w:sz w:val="22"/>
          <w:szCs w:val="22"/>
        </w:rPr>
        <w:t>the Firm</w:t>
      </w:r>
      <w:r w:rsidR="0045074B" w:rsidRPr="00D66250">
        <w:rPr>
          <w:sz w:val="22"/>
          <w:szCs w:val="22"/>
        </w:rPr>
        <w:t xml:space="preserve"> ha</w:t>
      </w:r>
      <w:r w:rsidR="000C2237" w:rsidRPr="00D66250">
        <w:rPr>
          <w:sz w:val="22"/>
          <w:szCs w:val="22"/>
        </w:rPr>
        <w:t>s</w:t>
      </w:r>
      <w:r w:rsidR="0045074B" w:rsidRPr="00D66250">
        <w:rPr>
          <w:sz w:val="22"/>
          <w:szCs w:val="22"/>
        </w:rPr>
        <w:t xml:space="preserve"> used in the past to communicate with the other party. </w:t>
      </w:r>
    </w:p>
    <w:p w14:paraId="52272EAE" w14:textId="77777777" w:rsidR="0045074B" w:rsidRDefault="0045074B">
      <w:pPr>
        <w:rPr>
          <w:sz w:val="22"/>
          <w:szCs w:val="22"/>
        </w:rPr>
      </w:pPr>
    </w:p>
    <w:p w14:paraId="7A1CB25E" w14:textId="77777777" w:rsidR="002B3FBC" w:rsidRDefault="002B3FBC">
      <w:pPr>
        <w:rPr>
          <w:sz w:val="22"/>
          <w:szCs w:val="22"/>
        </w:rPr>
      </w:pPr>
    </w:p>
    <w:p w14:paraId="5812C3D6" w14:textId="77777777" w:rsidR="002B3FBC" w:rsidRDefault="002B3FBC">
      <w:pPr>
        <w:rPr>
          <w:sz w:val="22"/>
          <w:szCs w:val="22"/>
        </w:rPr>
      </w:pPr>
    </w:p>
    <w:p w14:paraId="251C67E1" w14:textId="77777777" w:rsidR="002B3FBC" w:rsidRPr="00D66250" w:rsidRDefault="002B3FBC">
      <w:pPr>
        <w:rPr>
          <w:sz w:val="22"/>
          <w:szCs w:val="22"/>
        </w:rPr>
      </w:pPr>
    </w:p>
    <w:p w14:paraId="4436AFCA" w14:textId="77777777" w:rsidR="000C2237" w:rsidRDefault="009A5FA4" w:rsidP="000C2237">
      <w:pPr>
        <w:pStyle w:val="Heading1"/>
        <w:numPr>
          <w:ilvl w:val="0"/>
          <w:numId w:val="0"/>
        </w:numPr>
        <w:spacing w:after="0"/>
        <w:rPr>
          <w:bCs w:val="0"/>
          <w:sz w:val="24"/>
          <w:szCs w:val="24"/>
        </w:rPr>
      </w:pPr>
      <w:r w:rsidRPr="00DB78BC">
        <w:rPr>
          <w:sz w:val="24"/>
          <w:szCs w:val="24"/>
          <w:u w:val="none"/>
        </w:rPr>
        <w:t xml:space="preserve">SECTION </w:t>
      </w:r>
      <w:r>
        <w:rPr>
          <w:sz w:val="24"/>
          <w:szCs w:val="24"/>
          <w:u w:val="none"/>
        </w:rPr>
        <w:t>1</w:t>
      </w:r>
      <w:r w:rsidR="00BF0E2A">
        <w:rPr>
          <w:sz w:val="24"/>
          <w:szCs w:val="24"/>
          <w:u w:val="none"/>
        </w:rPr>
        <w:t>1</w:t>
      </w:r>
      <w:r w:rsidRPr="00DB78BC">
        <w:rPr>
          <w:sz w:val="24"/>
          <w:szCs w:val="24"/>
          <w:u w:val="none"/>
        </w:rPr>
        <w:t xml:space="preserve">.     </w:t>
      </w:r>
      <w:r w:rsidRPr="009A5FA4">
        <w:rPr>
          <w:bCs w:val="0"/>
          <w:sz w:val="24"/>
          <w:szCs w:val="24"/>
        </w:rPr>
        <w:t>CRITICAL BUSINESS CONSTITUENTS, BANKS, AND COUNTER-PARTIES</w:t>
      </w:r>
    </w:p>
    <w:p w14:paraId="0102A56A" w14:textId="77777777" w:rsidR="000C2237" w:rsidRPr="000C2237" w:rsidRDefault="000C2237" w:rsidP="000C2237">
      <w:pPr>
        <w:widowControl w:val="0"/>
        <w:tabs>
          <w:tab w:val="left" w:pos="6600"/>
        </w:tabs>
        <w:autoSpaceDE w:val="0"/>
        <w:autoSpaceDN w:val="0"/>
        <w:adjustRightInd w:val="0"/>
        <w:rPr>
          <w:b/>
          <w:bCs/>
          <w:sz w:val="22"/>
          <w:szCs w:val="22"/>
          <w:u w:val="single"/>
        </w:rPr>
      </w:pPr>
      <w:r w:rsidRPr="000C2237">
        <w:rPr>
          <w:b/>
          <w:bCs/>
          <w:sz w:val="22"/>
          <w:szCs w:val="22"/>
          <w:u w:val="single"/>
        </w:rPr>
        <w:t>References:</w:t>
      </w:r>
    </w:p>
    <w:p w14:paraId="5D907C7E" w14:textId="77777777" w:rsidR="000C2237" w:rsidRPr="000C2237" w:rsidRDefault="000C2237" w:rsidP="000C2237">
      <w:pPr>
        <w:rPr>
          <w:sz w:val="22"/>
          <w:szCs w:val="22"/>
        </w:rPr>
      </w:pPr>
      <w:r w:rsidRPr="000C2237">
        <w:rPr>
          <w:b/>
          <w:sz w:val="22"/>
          <w:szCs w:val="22"/>
        </w:rPr>
        <w:t>FINRA Rule 4370</w:t>
      </w:r>
    </w:p>
    <w:p w14:paraId="0B04D554" w14:textId="77777777" w:rsidR="0045074B" w:rsidRPr="009A5FA4" w:rsidRDefault="009A5FA4" w:rsidP="009A5FA4">
      <w:pPr>
        <w:pStyle w:val="Heading1"/>
        <w:numPr>
          <w:ilvl w:val="0"/>
          <w:numId w:val="0"/>
        </w:numPr>
        <w:rPr>
          <w:bCs w:val="0"/>
          <w:sz w:val="24"/>
          <w:szCs w:val="24"/>
        </w:rPr>
      </w:pPr>
      <w:r w:rsidRPr="009A5FA4">
        <w:rPr>
          <w:bCs w:val="0"/>
          <w:sz w:val="24"/>
          <w:szCs w:val="24"/>
        </w:rPr>
        <w:t xml:space="preserve"> </w:t>
      </w:r>
    </w:p>
    <w:p w14:paraId="5378B781" w14:textId="77777777" w:rsidR="0045074B" w:rsidRPr="000C2237" w:rsidRDefault="000C2237" w:rsidP="000C2237">
      <w:pPr>
        <w:pStyle w:val="Heading2"/>
        <w:numPr>
          <w:ilvl w:val="0"/>
          <w:numId w:val="0"/>
        </w:numPr>
        <w:rPr>
          <w:b/>
          <w:sz w:val="24"/>
          <w:szCs w:val="24"/>
        </w:rPr>
      </w:pPr>
      <w:r w:rsidRPr="000C2237">
        <w:rPr>
          <w:b/>
          <w:sz w:val="24"/>
          <w:szCs w:val="24"/>
          <w:u w:val="none"/>
        </w:rPr>
        <w:t>1</w:t>
      </w:r>
      <w:r w:rsidR="00BF0E2A">
        <w:rPr>
          <w:b/>
          <w:sz w:val="24"/>
          <w:szCs w:val="24"/>
          <w:u w:val="none"/>
        </w:rPr>
        <w:t>1</w:t>
      </w:r>
      <w:r w:rsidRPr="000C2237">
        <w:rPr>
          <w:b/>
          <w:sz w:val="24"/>
          <w:szCs w:val="24"/>
          <w:u w:val="none"/>
        </w:rPr>
        <w:t xml:space="preserve">.1   </w:t>
      </w:r>
      <w:r w:rsidR="0045074B" w:rsidRPr="000C2237">
        <w:rPr>
          <w:b/>
          <w:sz w:val="24"/>
          <w:szCs w:val="24"/>
        </w:rPr>
        <w:t>Business constituents</w:t>
      </w:r>
    </w:p>
    <w:p w14:paraId="5924AE59" w14:textId="77777777" w:rsidR="0045074B" w:rsidRPr="00D66250" w:rsidRDefault="00C0700E">
      <w:pPr>
        <w:pStyle w:val="BodyText2"/>
        <w:rPr>
          <w:sz w:val="22"/>
          <w:szCs w:val="22"/>
        </w:rPr>
      </w:pPr>
      <w:r w:rsidRPr="00D66250">
        <w:rPr>
          <w:i w:val="0"/>
          <w:iCs w:val="0"/>
          <w:sz w:val="22"/>
          <w:szCs w:val="22"/>
        </w:rPr>
        <w:t>The Firm</w:t>
      </w:r>
      <w:r w:rsidR="0045074B" w:rsidRPr="00D66250">
        <w:rPr>
          <w:i w:val="0"/>
          <w:iCs w:val="0"/>
          <w:sz w:val="22"/>
          <w:szCs w:val="22"/>
        </w:rPr>
        <w:t xml:space="preserve"> ha</w:t>
      </w:r>
      <w:r w:rsidR="000C2237" w:rsidRPr="00D66250">
        <w:rPr>
          <w:i w:val="0"/>
          <w:iCs w:val="0"/>
          <w:sz w:val="22"/>
          <w:szCs w:val="22"/>
        </w:rPr>
        <w:t>s</w:t>
      </w:r>
      <w:r w:rsidR="0045074B" w:rsidRPr="00D66250">
        <w:rPr>
          <w:i w:val="0"/>
          <w:iCs w:val="0"/>
          <w:sz w:val="22"/>
          <w:szCs w:val="22"/>
        </w:rPr>
        <w:t xml:space="preserve"> contacted </w:t>
      </w:r>
      <w:r w:rsidRPr="00D66250">
        <w:rPr>
          <w:i w:val="0"/>
          <w:iCs w:val="0"/>
          <w:sz w:val="22"/>
          <w:szCs w:val="22"/>
        </w:rPr>
        <w:t>the</w:t>
      </w:r>
      <w:r w:rsidR="0045074B" w:rsidRPr="00D66250">
        <w:rPr>
          <w:i w:val="0"/>
          <w:iCs w:val="0"/>
          <w:sz w:val="22"/>
          <w:szCs w:val="22"/>
        </w:rPr>
        <w:t xml:space="preserve"> critical business constituents (businesses with which </w:t>
      </w:r>
      <w:r w:rsidRPr="00D66250">
        <w:rPr>
          <w:i w:val="0"/>
          <w:iCs w:val="0"/>
          <w:sz w:val="22"/>
          <w:szCs w:val="22"/>
        </w:rPr>
        <w:t>the Firm</w:t>
      </w:r>
      <w:r w:rsidR="0045074B" w:rsidRPr="00D66250">
        <w:rPr>
          <w:i w:val="0"/>
          <w:iCs w:val="0"/>
          <w:sz w:val="22"/>
          <w:szCs w:val="22"/>
        </w:rPr>
        <w:t xml:space="preserve"> have an ongoing commercial relationship in support of </w:t>
      </w:r>
      <w:r w:rsidRPr="00D66250">
        <w:rPr>
          <w:i w:val="0"/>
          <w:iCs w:val="0"/>
          <w:sz w:val="22"/>
          <w:szCs w:val="22"/>
        </w:rPr>
        <w:t>the</w:t>
      </w:r>
      <w:r w:rsidR="0045074B" w:rsidRPr="00D66250">
        <w:rPr>
          <w:i w:val="0"/>
          <w:iCs w:val="0"/>
          <w:sz w:val="22"/>
          <w:szCs w:val="22"/>
        </w:rPr>
        <w:t xml:space="preserve"> operating activitie</w:t>
      </w:r>
      <w:r w:rsidR="00C36E8A">
        <w:rPr>
          <w:i w:val="0"/>
          <w:iCs w:val="0"/>
          <w:sz w:val="22"/>
          <w:szCs w:val="22"/>
        </w:rPr>
        <w:t xml:space="preserve">s, such as vendors providing </w:t>
      </w:r>
      <w:r w:rsidR="0045074B" w:rsidRPr="00D66250">
        <w:rPr>
          <w:i w:val="0"/>
          <w:iCs w:val="0"/>
          <w:sz w:val="22"/>
          <w:szCs w:val="22"/>
        </w:rPr>
        <w:t xml:space="preserve">critical services), and determined the extent to which </w:t>
      </w:r>
      <w:r w:rsidRPr="00D66250">
        <w:rPr>
          <w:i w:val="0"/>
          <w:iCs w:val="0"/>
          <w:sz w:val="22"/>
          <w:szCs w:val="22"/>
        </w:rPr>
        <w:t>the Firm</w:t>
      </w:r>
      <w:r w:rsidR="0045074B" w:rsidRPr="00D66250">
        <w:rPr>
          <w:i w:val="0"/>
          <w:iCs w:val="0"/>
          <w:sz w:val="22"/>
          <w:szCs w:val="22"/>
        </w:rPr>
        <w:t xml:space="preserve"> can continue </w:t>
      </w:r>
      <w:r w:rsidRPr="00D66250">
        <w:rPr>
          <w:i w:val="0"/>
          <w:iCs w:val="0"/>
          <w:sz w:val="22"/>
          <w:szCs w:val="22"/>
        </w:rPr>
        <w:t>the</w:t>
      </w:r>
      <w:r w:rsidR="0045074B" w:rsidRPr="00D66250">
        <w:rPr>
          <w:i w:val="0"/>
          <w:iCs w:val="0"/>
          <w:sz w:val="22"/>
          <w:szCs w:val="22"/>
        </w:rPr>
        <w:t xml:space="preserve"> business relationship with them in light of the internal or external SBD.  </w:t>
      </w:r>
      <w:r w:rsidRPr="00D66250">
        <w:rPr>
          <w:i w:val="0"/>
          <w:iCs w:val="0"/>
          <w:sz w:val="22"/>
          <w:szCs w:val="22"/>
        </w:rPr>
        <w:t>The Firm</w:t>
      </w:r>
      <w:r w:rsidR="0045074B" w:rsidRPr="00D66250">
        <w:rPr>
          <w:i w:val="0"/>
          <w:iCs w:val="0"/>
          <w:sz w:val="22"/>
          <w:szCs w:val="22"/>
        </w:rPr>
        <w:t xml:space="preserve"> will quickly establish alternative arrangements if a business constituent can no longer provide the needed goods or services when </w:t>
      </w:r>
      <w:r w:rsidRPr="00D66250">
        <w:rPr>
          <w:i w:val="0"/>
          <w:iCs w:val="0"/>
          <w:sz w:val="22"/>
          <w:szCs w:val="22"/>
        </w:rPr>
        <w:t>the Firm</w:t>
      </w:r>
      <w:r w:rsidR="0045074B" w:rsidRPr="00D66250">
        <w:rPr>
          <w:i w:val="0"/>
          <w:iCs w:val="0"/>
          <w:sz w:val="22"/>
          <w:szCs w:val="22"/>
        </w:rPr>
        <w:t xml:space="preserve"> need</w:t>
      </w:r>
      <w:r w:rsidR="000C2237" w:rsidRPr="00D66250">
        <w:rPr>
          <w:i w:val="0"/>
          <w:iCs w:val="0"/>
          <w:sz w:val="22"/>
          <w:szCs w:val="22"/>
        </w:rPr>
        <w:t>s</w:t>
      </w:r>
      <w:r w:rsidR="0045074B" w:rsidRPr="00D66250">
        <w:rPr>
          <w:i w:val="0"/>
          <w:iCs w:val="0"/>
          <w:sz w:val="22"/>
          <w:szCs w:val="22"/>
        </w:rPr>
        <w:t xml:space="preserve"> them because of a SBD to them or </w:t>
      </w:r>
      <w:r w:rsidRPr="00D66250">
        <w:rPr>
          <w:i w:val="0"/>
          <w:iCs w:val="0"/>
          <w:sz w:val="22"/>
          <w:szCs w:val="22"/>
        </w:rPr>
        <w:t>the</w:t>
      </w:r>
      <w:r w:rsidR="0045074B" w:rsidRPr="00D66250">
        <w:rPr>
          <w:i w:val="0"/>
          <w:iCs w:val="0"/>
          <w:sz w:val="22"/>
          <w:szCs w:val="22"/>
        </w:rPr>
        <w:t xml:space="preserve"> </w:t>
      </w:r>
      <w:r w:rsidRPr="00D66250">
        <w:rPr>
          <w:i w:val="0"/>
          <w:iCs w:val="0"/>
          <w:sz w:val="22"/>
          <w:szCs w:val="22"/>
        </w:rPr>
        <w:t>Fir</w:t>
      </w:r>
      <w:r w:rsidR="00D66250">
        <w:rPr>
          <w:i w:val="0"/>
          <w:iCs w:val="0"/>
          <w:sz w:val="22"/>
          <w:szCs w:val="22"/>
        </w:rPr>
        <w:t>m.</w:t>
      </w:r>
    </w:p>
    <w:p w14:paraId="6F41680B" w14:textId="77777777" w:rsidR="00BA7E9C" w:rsidRDefault="00BA7E9C">
      <w:pPr>
        <w:rPr>
          <w:color w:val="000000"/>
        </w:rPr>
      </w:pPr>
    </w:p>
    <w:p w14:paraId="3B41546C" w14:textId="77777777" w:rsidR="0045074B" w:rsidRPr="000C2237" w:rsidRDefault="000C2237" w:rsidP="000C2237">
      <w:pPr>
        <w:pStyle w:val="Heading2"/>
        <w:numPr>
          <w:ilvl w:val="0"/>
          <w:numId w:val="0"/>
        </w:numPr>
        <w:rPr>
          <w:b/>
          <w:sz w:val="24"/>
          <w:szCs w:val="24"/>
        </w:rPr>
      </w:pPr>
      <w:r w:rsidRPr="000C2237">
        <w:rPr>
          <w:b/>
          <w:sz w:val="24"/>
          <w:szCs w:val="24"/>
          <w:u w:val="none"/>
        </w:rPr>
        <w:t>1</w:t>
      </w:r>
      <w:r w:rsidR="00BF0E2A">
        <w:rPr>
          <w:b/>
          <w:sz w:val="24"/>
          <w:szCs w:val="24"/>
          <w:u w:val="none"/>
        </w:rPr>
        <w:t>1</w:t>
      </w:r>
      <w:r w:rsidRPr="000C2237">
        <w:rPr>
          <w:b/>
          <w:sz w:val="24"/>
          <w:szCs w:val="24"/>
          <w:u w:val="none"/>
        </w:rPr>
        <w:t xml:space="preserve">.2    </w:t>
      </w:r>
      <w:r w:rsidR="0045074B" w:rsidRPr="000C2237">
        <w:rPr>
          <w:b/>
          <w:sz w:val="24"/>
          <w:szCs w:val="24"/>
        </w:rPr>
        <w:t>Banks</w:t>
      </w:r>
    </w:p>
    <w:p w14:paraId="545098C3" w14:textId="77777777" w:rsidR="0045074B" w:rsidRPr="00D66250" w:rsidRDefault="00C0700E">
      <w:pPr>
        <w:rPr>
          <w:color w:val="000000"/>
          <w:sz w:val="22"/>
          <w:szCs w:val="22"/>
        </w:rPr>
      </w:pPr>
      <w:r w:rsidRPr="00D66250">
        <w:rPr>
          <w:color w:val="000000"/>
          <w:sz w:val="22"/>
          <w:szCs w:val="22"/>
        </w:rPr>
        <w:t>The Firm</w:t>
      </w:r>
      <w:r w:rsidR="000C2237" w:rsidRPr="00D66250">
        <w:rPr>
          <w:color w:val="000000"/>
          <w:sz w:val="22"/>
          <w:szCs w:val="22"/>
        </w:rPr>
        <w:t xml:space="preserve"> has</w:t>
      </w:r>
      <w:r w:rsidR="0045074B" w:rsidRPr="00D66250">
        <w:rPr>
          <w:color w:val="000000"/>
          <w:sz w:val="22"/>
          <w:szCs w:val="22"/>
        </w:rPr>
        <w:t xml:space="preserve"> contacted banks and lenders to determine if they can continue to provide </w:t>
      </w:r>
      <w:r w:rsidR="000C2237" w:rsidRPr="00D66250">
        <w:rPr>
          <w:color w:val="000000"/>
          <w:sz w:val="22"/>
          <w:szCs w:val="22"/>
        </w:rPr>
        <w:t>access to funds</w:t>
      </w:r>
      <w:r w:rsidR="0045074B" w:rsidRPr="00D66250">
        <w:rPr>
          <w:color w:val="000000"/>
          <w:sz w:val="22"/>
          <w:szCs w:val="22"/>
        </w:rPr>
        <w:t xml:space="preserve"> that </w:t>
      </w:r>
      <w:r w:rsidRPr="00D66250">
        <w:rPr>
          <w:color w:val="000000"/>
          <w:sz w:val="22"/>
          <w:szCs w:val="22"/>
        </w:rPr>
        <w:t>the Firm</w:t>
      </w:r>
      <w:r w:rsidR="0045074B" w:rsidRPr="00D66250">
        <w:rPr>
          <w:color w:val="000000"/>
          <w:sz w:val="22"/>
          <w:szCs w:val="22"/>
        </w:rPr>
        <w:t xml:space="preserve"> will need in light of the internal or external SBD.  If </w:t>
      </w:r>
      <w:r w:rsidRPr="00D66250">
        <w:rPr>
          <w:color w:val="000000"/>
          <w:sz w:val="22"/>
          <w:szCs w:val="22"/>
        </w:rPr>
        <w:t>the</w:t>
      </w:r>
      <w:r w:rsidR="0045074B" w:rsidRPr="00D66250">
        <w:rPr>
          <w:color w:val="000000"/>
          <w:sz w:val="22"/>
          <w:szCs w:val="22"/>
        </w:rPr>
        <w:t xml:space="preserve"> banks and other lenders are unable to provide the </w:t>
      </w:r>
      <w:r w:rsidR="000C2237" w:rsidRPr="00D66250">
        <w:rPr>
          <w:color w:val="000000"/>
          <w:sz w:val="22"/>
          <w:szCs w:val="22"/>
        </w:rPr>
        <w:t>access</w:t>
      </w:r>
      <w:r w:rsidR="0045074B" w:rsidRPr="00D66250">
        <w:rPr>
          <w:color w:val="000000"/>
          <w:sz w:val="22"/>
          <w:szCs w:val="22"/>
        </w:rPr>
        <w:t xml:space="preserve">, </w:t>
      </w:r>
      <w:r w:rsidRPr="00D66250">
        <w:rPr>
          <w:color w:val="000000"/>
          <w:sz w:val="22"/>
          <w:szCs w:val="22"/>
        </w:rPr>
        <w:t>the Firm</w:t>
      </w:r>
      <w:r w:rsidR="0045074B" w:rsidRPr="00D66250">
        <w:rPr>
          <w:color w:val="000000"/>
          <w:sz w:val="22"/>
          <w:szCs w:val="22"/>
        </w:rPr>
        <w:t xml:space="preserve"> will </w:t>
      </w:r>
      <w:r w:rsidR="00324EE4" w:rsidRPr="00D66250">
        <w:rPr>
          <w:color w:val="000000"/>
          <w:sz w:val="22"/>
          <w:szCs w:val="22"/>
        </w:rPr>
        <w:t xml:space="preserve">immediately </w:t>
      </w:r>
      <w:r w:rsidR="000C2237" w:rsidRPr="00D66250">
        <w:rPr>
          <w:color w:val="000000"/>
          <w:sz w:val="22"/>
          <w:szCs w:val="22"/>
        </w:rPr>
        <w:t>seek alternatives</w:t>
      </w:r>
      <w:r w:rsidR="0045074B" w:rsidRPr="00D66250">
        <w:rPr>
          <w:color w:val="000000"/>
          <w:sz w:val="22"/>
          <w:szCs w:val="22"/>
        </w:rPr>
        <w:t>.</w:t>
      </w:r>
    </w:p>
    <w:p w14:paraId="33014F67" w14:textId="77777777" w:rsidR="00BA7E9C" w:rsidRDefault="00BA7E9C">
      <w:pPr>
        <w:rPr>
          <w:color w:val="000000"/>
        </w:rPr>
      </w:pPr>
    </w:p>
    <w:p w14:paraId="544FDEBC" w14:textId="77777777" w:rsidR="0045074B" w:rsidRPr="000C2237" w:rsidRDefault="000C2237" w:rsidP="000C2237">
      <w:pPr>
        <w:pStyle w:val="Heading2"/>
        <w:numPr>
          <w:ilvl w:val="0"/>
          <w:numId w:val="0"/>
        </w:numPr>
        <w:rPr>
          <w:b/>
          <w:sz w:val="24"/>
          <w:szCs w:val="24"/>
        </w:rPr>
      </w:pPr>
      <w:r w:rsidRPr="000C2237">
        <w:rPr>
          <w:b/>
          <w:sz w:val="24"/>
          <w:szCs w:val="24"/>
          <w:u w:val="none"/>
        </w:rPr>
        <w:t>1</w:t>
      </w:r>
      <w:r w:rsidR="00BF0E2A">
        <w:rPr>
          <w:b/>
          <w:sz w:val="24"/>
          <w:szCs w:val="24"/>
          <w:u w:val="none"/>
        </w:rPr>
        <w:t>1</w:t>
      </w:r>
      <w:r w:rsidRPr="000C2237">
        <w:rPr>
          <w:b/>
          <w:sz w:val="24"/>
          <w:szCs w:val="24"/>
          <w:u w:val="none"/>
        </w:rPr>
        <w:t xml:space="preserve">.3   </w:t>
      </w:r>
      <w:r w:rsidR="0045074B" w:rsidRPr="000C2237">
        <w:rPr>
          <w:b/>
          <w:sz w:val="24"/>
          <w:szCs w:val="24"/>
        </w:rPr>
        <w:t>Counter-Parties</w:t>
      </w:r>
    </w:p>
    <w:p w14:paraId="1720B49B" w14:textId="77777777" w:rsidR="00BA7E9C" w:rsidRDefault="00C0700E">
      <w:pPr>
        <w:rPr>
          <w:color w:val="000000"/>
          <w:sz w:val="22"/>
          <w:szCs w:val="22"/>
        </w:rPr>
      </w:pPr>
      <w:r w:rsidRPr="00D66250">
        <w:rPr>
          <w:color w:val="000000"/>
          <w:sz w:val="22"/>
          <w:szCs w:val="22"/>
        </w:rPr>
        <w:t>The Firm</w:t>
      </w:r>
      <w:r w:rsidR="000C2237" w:rsidRPr="00D66250">
        <w:rPr>
          <w:color w:val="000000"/>
          <w:sz w:val="22"/>
          <w:szCs w:val="22"/>
        </w:rPr>
        <w:t xml:space="preserve"> has</w:t>
      </w:r>
      <w:r w:rsidR="0045074B" w:rsidRPr="00D66250">
        <w:rPr>
          <w:color w:val="000000"/>
          <w:sz w:val="22"/>
          <w:szCs w:val="22"/>
        </w:rPr>
        <w:t xml:space="preserve"> contacted critical counter-parties, such as other broker-dealers or institutional customers, to determine if </w:t>
      </w:r>
      <w:r w:rsidRPr="00D66250">
        <w:rPr>
          <w:color w:val="000000"/>
          <w:sz w:val="22"/>
          <w:szCs w:val="22"/>
        </w:rPr>
        <w:t>the Firm</w:t>
      </w:r>
      <w:r w:rsidR="0045074B" w:rsidRPr="00D66250">
        <w:rPr>
          <w:color w:val="000000"/>
          <w:sz w:val="22"/>
          <w:szCs w:val="22"/>
        </w:rPr>
        <w:t xml:space="preserve"> will be able to carry out </w:t>
      </w:r>
      <w:r w:rsidRPr="00D66250">
        <w:rPr>
          <w:color w:val="000000"/>
          <w:sz w:val="22"/>
          <w:szCs w:val="22"/>
        </w:rPr>
        <w:t>the</w:t>
      </w:r>
      <w:r w:rsidR="0045074B" w:rsidRPr="00D66250">
        <w:rPr>
          <w:color w:val="000000"/>
          <w:sz w:val="22"/>
          <w:szCs w:val="22"/>
        </w:rPr>
        <w:t xml:space="preserve"> transactions with them in light of the internal or external SBD.  </w:t>
      </w:r>
    </w:p>
    <w:p w14:paraId="5CBD5DC5" w14:textId="77777777" w:rsidR="009F3C74" w:rsidRDefault="009F3C74">
      <w:pPr>
        <w:rPr>
          <w:color w:val="000000"/>
        </w:rPr>
      </w:pPr>
    </w:p>
    <w:p w14:paraId="67C348FF" w14:textId="77777777" w:rsidR="0045074B" w:rsidRDefault="009A5FA4" w:rsidP="000C2237">
      <w:pPr>
        <w:pStyle w:val="Heading1"/>
        <w:numPr>
          <w:ilvl w:val="0"/>
          <w:numId w:val="0"/>
        </w:numPr>
        <w:spacing w:after="0"/>
        <w:rPr>
          <w:sz w:val="24"/>
          <w:szCs w:val="24"/>
        </w:rPr>
      </w:pPr>
      <w:r w:rsidRPr="00DB78BC">
        <w:rPr>
          <w:sz w:val="24"/>
          <w:szCs w:val="24"/>
          <w:u w:val="none"/>
        </w:rPr>
        <w:t xml:space="preserve">SECTION </w:t>
      </w:r>
      <w:r>
        <w:rPr>
          <w:sz w:val="24"/>
          <w:szCs w:val="24"/>
          <w:u w:val="none"/>
        </w:rPr>
        <w:t>1</w:t>
      </w:r>
      <w:r w:rsidR="00BF0E2A">
        <w:rPr>
          <w:sz w:val="24"/>
          <w:szCs w:val="24"/>
          <w:u w:val="none"/>
        </w:rPr>
        <w:t>2</w:t>
      </w:r>
      <w:r w:rsidRPr="00DB78BC">
        <w:rPr>
          <w:sz w:val="24"/>
          <w:szCs w:val="24"/>
          <w:u w:val="none"/>
        </w:rPr>
        <w:t xml:space="preserve">.     </w:t>
      </w:r>
      <w:r w:rsidRPr="009A5FA4">
        <w:rPr>
          <w:sz w:val="24"/>
          <w:szCs w:val="24"/>
        </w:rPr>
        <w:t>REGULATORY REPORTING</w:t>
      </w:r>
    </w:p>
    <w:p w14:paraId="49D45732" w14:textId="77777777" w:rsidR="000C2237" w:rsidRPr="000C2237" w:rsidRDefault="000C2237" w:rsidP="000C2237">
      <w:pPr>
        <w:widowControl w:val="0"/>
        <w:tabs>
          <w:tab w:val="left" w:pos="6600"/>
        </w:tabs>
        <w:autoSpaceDE w:val="0"/>
        <w:autoSpaceDN w:val="0"/>
        <w:adjustRightInd w:val="0"/>
        <w:rPr>
          <w:b/>
          <w:bCs/>
          <w:sz w:val="22"/>
          <w:szCs w:val="22"/>
          <w:u w:val="single"/>
        </w:rPr>
      </w:pPr>
      <w:r w:rsidRPr="000C2237">
        <w:rPr>
          <w:b/>
          <w:bCs/>
          <w:sz w:val="22"/>
          <w:szCs w:val="22"/>
          <w:u w:val="single"/>
        </w:rPr>
        <w:t>References:</w:t>
      </w:r>
    </w:p>
    <w:p w14:paraId="7221FCF7" w14:textId="77777777" w:rsidR="000C2237" w:rsidRPr="000C2237" w:rsidRDefault="000C2237" w:rsidP="000C2237">
      <w:pPr>
        <w:rPr>
          <w:sz w:val="22"/>
          <w:szCs w:val="22"/>
        </w:rPr>
      </w:pPr>
      <w:r w:rsidRPr="000C2237">
        <w:rPr>
          <w:b/>
          <w:sz w:val="22"/>
          <w:szCs w:val="22"/>
        </w:rPr>
        <w:t>FINRA Rule 4370</w:t>
      </w:r>
    </w:p>
    <w:p w14:paraId="1CF28DD6" w14:textId="77777777" w:rsidR="00C36E8A" w:rsidRDefault="00C36E8A">
      <w:pPr>
        <w:rPr>
          <w:sz w:val="22"/>
          <w:szCs w:val="22"/>
        </w:rPr>
      </w:pPr>
    </w:p>
    <w:p w14:paraId="20381932" w14:textId="77777777" w:rsidR="0045074B" w:rsidRPr="00D66250" w:rsidRDefault="00C0700E">
      <w:pPr>
        <w:rPr>
          <w:sz w:val="22"/>
          <w:szCs w:val="22"/>
        </w:rPr>
      </w:pPr>
      <w:r w:rsidRPr="00D66250">
        <w:rPr>
          <w:sz w:val="22"/>
          <w:szCs w:val="22"/>
        </w:rPr>
        <w:t>The Firm</w:t>
      </w:r>
      <w:r w:rsidR="0045074B" w:rsidRPr="00D66250">
        <w:rPr>
          <w:sz w:val="22"/>
          <w:szCs w:val="22"/>
        </w:rPr>
        <w:t xml:space="preserve"> </w:t>
      </w:r>
      <w:r w:rsidR="000C2237" w:rsidRPr="00D66250">
        <w:rPr>
          <w:sz w:val="22"/>
          <w:szCs w:val="22"/>
        </w:rPr>
        <w:t>will</w:t>
      </w:r>
      <w:r w:rsidR="0045074B" w:rsidRPr="00D66250">
        <w:rPr>
          <w:sz w:val="22"/>
          <w:szCs w:val="22"/>
        </w:rPr>
        <w:t xml:space="preserve"> file reports with </w:t>
      </w:r>
      <w:r w:rsidRPr="00D66250">
        <w:rPr>
          <w:sz w:val="22"/>
          <w:szCs w:val="22"/>
        </w:rPr>
        <w:t>the</w:t>
      </w:r>
      <w:r w:rsidR="0045074B" w:rsidRPr="00D66250">
        <w:rPr>
          <w:sz w:val="22"/>
          <w:szCs w:val="22"/>
        </w:rPr>
        <w:t xml:space="preserve"> regulators using paper copies in the U.S. mail, and electronically using fax, e-mail, and the Internet.  In the event of an SBD, </w:t>
      </w:r>
      <w:r w:rsidRPr="00D66250">
        <w:rPr>
          <w:sz w:val="22"/>
          <w:szCs w:val="22"/>
        </w:rPr>
        <w:t>the Firm</w:t>
      </w:r>
      <w:r w:rsidR="0045074B" w:rsidRPr="00D66250">
        <w:rPr>
          <w:sz w:val="22"/>
          <w:szCs w:val="22"/>
        </w:rPr>
        <w:t xml:space="preserve"> will check with the SEC, </w:t>
      </w:r>
      <w:r w:rsidR="00324EE4" w:rsidRPr="00D66250">
        <w:rPr>
          <w:sz w:val="22"/>
          <w:szCs w:val="22"/>
        </w:rPr>
        <w:t>FINRA</w:t>
      </w:r>
      <w:r w:rsidR="0045074B" w:rsidRPr="00D66250">
        <w:rPr>
          <w:sz w:val="22"/>
          <w:szCs w:val="22"/>
        </w:rPr>
        <w:t xml:space="preserve">, and other regulators to determine which means of filing are still available and use the means closest in speed and form (written or oral) to </w:t>
      </w:r>
      <w:r w:rsidR="00C36E8A">
        <w:rPr>
          <w:sz w:val="22"/>
          <w:szCs w:val="22"/>
        </w:rPr>
        <w:t>effectuate any necessary</w:t>
      </w:r>
      <w:r w:rsidR="0045074B" w:rsidRPr="00D66250">
        <w:rPr>
          <w:sz w:val="22"/>
          <w:szCs w:val="22"/>
        </w:rPr>
        <w:t xml:space="preserve"> filing</w:t>
      </w:r>
      <w:r w:rsidR="00C36E8A">
        <w:rPr>
          <w:sz w:val="22"/>
          <w:szCs w:val="22"/>
        </w:rPr>
        <w:t>s.</w:t>
      </w:r>
      <w:r w:rsidR="0045074B" w:rsidRPr="00D66250">
        <w:rPr>
          <w:sz w:val="22"/>
          <w:szCs w:val="22"/>
        </w:rPr>
        <w:t xml:space="preserve">  In the event that </w:t>
      </w:r>
      <w:r w:rsidRPr="00D66250">
        <w:rPr>
          <w:sz w:val="22"/>
          <w:szCs w:val="22"/>
        </w:rPr>
        <w:t>the Firm</w:t>
      </w:r>
      <w:r w:rsidR="0045074B" w:rsidRPr="00D66250">
        <w:rPr>
          <w:sz w:val="22"/>
          <w:szCs w:val="22"/>
        </w:rPr>
        <w:t xml:space="preserve"> cannot contact </w:t>
      </w:r>
      <w:r w:rsidR="00C36E8A">
        <w:rPr>
          <w:sz w:val="22"/>
          <w:szCs w:val="22"/>
        </w:rPr>
        <w:t>any</w:t>
      </w:r>
      <w:r w:rsidR="0045074B" w:rsidRPr="00D66250">
        <w:rPr>
          <w:sz w:val="22"/>
          <w:szCs w:val="22"/>
        </w:rPr>
        <w:t xml:space="preserve"> regulators, </w:t>
      </w:r>
      <w:r w:rsidRPr="00D66250">
        <w:rPr>
          <w:sz w:val="22"/>
          <w:szCs w:val="22"/>
        </w:rPr>
        <w:t>the Firm</w:t>
      </w:r>
      <w:r w:rsidR="0045074B" w:rsidRPr="00D66250">
        <w:rPr>
          <w:sz w:val="22"/>
          <w:szCs w:val="22"/>
        </w:rPr>
        <w:t xml:space="preserve"> will continue to file required reports using the communication means available.  </w:t>
      </w:r>
    </w:p>
    <w:p w14:paraId="232B4D76" w14:textId="77777777" w:rsidR="00BA7E9C" w:rsidRDefault="00BA7E9C"/>
    <w:p w14:paraId="4F47677B" w14:textId="77777777" w:rsidR="009151CB" w:rsidRDefault="009151CB" w:rsidP="009151CB">
      <w:pPr>
        <w:pStyle w:val="Heading1"/>
        <w:numPr>
          <w:ilvl w:val="0"/>
          <w:numId w:val="0"/>
        </w:numPr>
        <w:spacing w:after="0"/>
        <w:rPr>
          <w:sz w:val="24"/>
          <w:szCs w:val="24"/>
        </w:rPr>
      </w:pPr>
      <w:r w:rsidRPr="00DB78BC">
        <w:rPr>
          <w:sz w:val="24"/>
          <w:szCs w:val="24"/>
          <w:u w:val="none"/>
        </w:rPr>
        <w:t xml:space="preserve">SECTION </w:t>
      </w:r>
      <w:r>
        <w:rPr>
          <w:sz w:val="24"/>
          <w:szCs w:val="24"/>
          <w:u w:val="none"/>
        </w:rPr>
        <w:t>13</w:t>
      </w:r>
      <w:r w:rsidRPr="00DB78BC">
        <w:rPr>
          <w:sz w:val="24"/>
          <w:szCs w:val="24"/>
          <w:u w:val="none"/>
        </w:rPr>
        <w:t xml:space="preserve">.     </w:t>
      </w:r>
      <w:r>
        <w:rPr>
          <w:sz w:val="24"/>
          <w:szCs w:val="24"/>
        </w:rPr>
        <w:t>PANDEMIC POLICIES</w:t>
      </w:r>
    </w:p>
    <w:p w14:paraId="0159BBB2" w14:textId="77777777" w:rsidR="009151CB" w:rsidRPr="000C2237" w:rsidRDefault="009151CB" w:rsidP="009151CB">
      <w:pPr>
        <w:widowControl w:val="0"/>
        <w:tabs>
          <w:tab w:val="left" w:pos="6600"/>
        </w:tabs>
        <w:autoSpaceDE w:val="0"/>
        <w:autoSpaceDN w:val="0"/>
        <w:adjustRightInd w:val="0"/>
        <w:rPr>
          <w:b/>
          <w:bCs/>
          <w:sz w:val="22"/>
          <w:szCs w:val="22"/>
          <w:u w:val="single"/>
        </w:rPr>
      </w:pPr>
      <w:r w:rsidRPr="000C2237">
        <w:rPr>
          <w:b/>
          <w:bCs/>
          <w:sz w:val="22"/>
          <w:szCs w:val="22"/>
          <w:u w:val="single"/>
        </w:rPr>
        <w:t>References:</w:t>
      </w:r>
    </w:p>
    <w:p w14:paraId="6A823F41" w14:textId="77777777" w:rsidR="009151CB" w:rsidRDefault="009151CB" w:rsidP="009151CB">
      <w:pPr>
        <w:rPr>
          <w:b/>
          <w:sz w:val="22"/>
          <w:szCs w:val="22"/>
        </w:rPr>
      </w:pPr>
      <w:r>
        <w:rPr>
          <w:b/>
          <w:sz w:val="22"/>
          <w:szCs w:val="22"/>
        </w:rPr>
        <w:t>Regulatory Notice 20-08</w:t>
      </w:r>
    </w:p>
    <w:p w14:paraId="21C1852C" w14:textId="77777777" w:rsidR="009151CB" w:rsidRDefault="009151CB" w:rsidP="009151CB">
      <w:pPr>
        <w:rPr>
          <w:b/>
          <w:sz w:val="22"/>
          <w:szCs w:val="22"/>
        </w:rPr>
      </w:pPr>
    </w:p>
    <w:p w14:paraId="181E9EC9" w14:textId="77777777" w:rsidR="009151CB" w:rsidRPr="006F6D2B" w:rsidRDefault="009151CB" w:rsidP="009151CB">
      <w:pPr>
        <w:rPr>
          <w:b/>
          <w:sz w:val="22"/>
          <w:szCs w:val="22"/>
        </w:rPr>
      </w:pPr>
      <w:r w:rsidRPr="006F6D2B">
        <w:rPr>
          <w:sz w:val="22"/>
          <w:szCs w:val="22"/>
        </w:rPr>
        <w:t xml:space="preserve">A pandemic occurs when there is a widespread disease outbreak. While a pandemic may vary in severity and duration, it may present significant financial or operational risks for </w:t>
      </w:r>
      <w:r w:rsidRPr="00AE712A">
        <w:rPr>
          <w:sz w:val="22"/>
          <w:szCs w:val="22"/>
        </w:rPr>
        <w:t xml:space="preserve">the </w:t>
      </w:r>
      <w:r w:rsidRPr="006F6D2B">
        <w:rPr>
          <w:sz w:val="22"/>
          <w:szCs w:val="22"/>
        </w:rPr>
        <w:t xml:space="preserve">firm for its duration and beyond. </w:t>
      </w:r>
      <w:r w:rsidRPr="00AE712A">
        <w:rPr>
          <w:sz w:val="22"/>
          <w:szCs w:val="22"/>
        </w:rPr>
        <w:t>The</w:t>
      </w:r>
      <w:r w:rsidRPr="006F6D2B">
        <w:rPr>
          <w:sz w:val="22"/>
          <w:szCs w:val="22"/>
        </w:rPr>
        <w:t xml:space="preserve"> firm </w:t>
      </w:r>
      <w:r w:rsidRPr="00AE712A">
        <w:rPr>
          <w:sz w:val="22"/>
          <w:szCs w:val="22"/>
        </w:rPr>
        <w:t>will</w:t>
      </w:r>
      <w:r w:rsidRPr="006F6D2B">
        <w:rPr>
          <w:sz w:val="22"/>
          <w:szCs w:val="22"/>
        </w:rPr>
        <w:t xml:space="preserve"> conduct its own analysis to determine whether a pandemic or any other event constitutes an emergency or significant business disruption for the firm and, thereby, causes the firm to activate its BCP.</w:t>
      </w:r>
    </w:p>
    <w:p w14:paraId="69BE4887" w14:textId="77777777" w:rsidR="009151CB" w:rsidRPr="006F6D2B" w:rsidRDefault="009151CB" w:rsidP="009151CB">
      <w:pPr>
        <w:spacing w:before="100" w:beforeAutospacing="1" w:after="100" w:afterAutospacing="1"/>
        <w:rPr>
          <w:sz w:val="22"/>
          <w:szCs w:val="22"/>
        </w:rPr>
      </w:pPr>
      <w:r w:rsidRPr="00AE712A">
        <w:rPr>
          <w:sz w:val="22"/>
          <w:szCs w:val="22"/>
        </w:rPr>
        <w:t xml:space="preserve">The firm will </w:t>
      </w:r>
      <w:r w:rsidRPr="006F6D2B">
        <w:rPr>
          <w:sz w:val="22"/>
          <w:szCs w:val="22"/>
        </w:rPr>
        <w:t>contact their assigned FINRA Risk Monitoring Analyst to discuss the activation and implementation of th</w:t>
      </w:r>
      <w:r w:rsidRPr="00AE712A">
        <w:rPr>
          <w:sz w:val="22"/>
          <w:szCs w:val="22"/>
        </w:rPr>
        <w:t>is</w:t>
      </w:r>
      <w:r w:rsidRPr="006F6D2B">
        <w:rPr>
          <w:sz w:val="22"/>
          <w:szCs w:val="22"/>
        </w:rPr>
        <w:t xml:space="preserve"> BCP, as well as to discuss any issues they may be facing, including the disruption of business operations, and whether disruptions are solved or ongoing.</w:t>
      </w:r>
    </w:p>
    <w:p w14:paraId="69449907" w14:textId="77777777" w:rsidR="00FB7A72" w:rsidRDefault="00FB7A72" w:rsidP="009151CB">
      <w:pPr>
        <w:spacing w:before="100" w:beforeAutospacing="1" w:after="100" w:afterAutospacing="1"/>
        <w:outlineLvl w:val="2"/>
        <w:rPr>
          <w:b/>
          <w:bCs/>
          <w:sz w:val="22"/>
          <w:szCs w:val="22"/>
        </w:rPr>
      </w:pPr>
    </w:p>
    <w:p w14:paraId="43F15622" w14:textId="3466DD4D" w:rsidR="009151CB" w:rsidRPr="006F6D2B" w:rsidRDefault="009151CB" w:rsidP="009151CB">
      <w:pPr>
        <w:spacing w:before="100" w:beforeAutospacing="1" w:after="100" w:afterAutospacing="1"/>
        <w:outlineLvl w:val="2"/>
        <w:rPr>
          <w:b/>
          <w:bCs/>
          <w:sz w:val="22"/>
          <w:szCs w:val="22"/>
        </w:rPr>
      </w:pPr>
      <w:r w:rsidRPr="006F6D2B">
        <w:rPr>
          <w:b/>
          <w:bCs/>
          <w:sz w:val="22"/>
          <w:szCs w:val="22"/>
        </w:rPr>
        <w:lastRenderedPageBreak/>
        <w:t>Remote Offices or Telework Arrangements</w:t>
      </w:r>
    </w:p>
    <w:p w14:paraId="1C823031" w14:textId="77777777" w:rsidR="009151CB" w:rsidRPr="006F6D2B" w:rsidRDefault="009151CB" w:rsidP="009151CB">
      <w:pPr>
        <w:spacing w:before="100" w:beforeAutospacing="1" w:after="100" w:afterAutospacing="1"/>
        <w:rPr>
          <w:sz w:val="22"/>
          <w:szCs w:val="22"/>
        </w:rPr>
      </w:pPr>
      <w:r w:rsidRPr="006F6D2B">
        <w:rPr>
          <w:sz w:val="22"/>
          <w:szCs w:val="22"/>
        </w:rPr>
        <w:t xml:space="preserve">In an effort to mitigate the impacts of a pandemic, </w:t>
      </w:r>
      <w:r w:rsidRPr="00AE712A">
        <w:rPr>
          <w:sz w:val="22"/>
          <w:szCs w:val="22"/>
        </w:rPr>
        <w:t xml:space="preserve">the </w:t>
      </w:r>
      <w:r w:rsidRPr="006F6D2B">
        <w:rPr>
          <w:sz w:val="22"/>
          <w:szCs w:val="22"/>
        </w:rPr>
        <w:t>firm may consider employing methods such as social distancing, travel restrictions, revised sick leave policies, special pandemic leave time, or specialized seating plans for densely populated floors or buildings. </w:t>
      </w:r>
      <w:r w:rsidRPr="00AE712A">
        <w:rPr>
          <w:sz w:val="22"/>
          <w:szCs w:val="22"/>
        </w:rPr>
        <w:t xml:space="preserve"> </w:t>
      </w:r>
      <w:r w:rsidRPr="006F6D2B">
        <w:rPr>
          <w:sz w:val="22"/>
          <w:szCs w:val="22"/>
        </w:rPr>
        <w:t>These methods may also involve remote offices or telework arrangements (</w:t>
      </w:r>
      <w:r w:rsidRPr="00AE712A">
        <w:rPr>
          <w:i/>
          <w:iCs/>
          <w:sz w:val="22"/>
          <w:szCs w:val="22"/>
        </w:rPr>
        <w:t>e.g.</w:t>
      </w:r>
      <w:r w:rsidRPr="006F6D2B">
        <w:rPr>
          <w:sz w:val="22"/>
          <w:szCs w:val="22"/>
        </w:rPr>
        <w:t>, working from home or a backup or recovery location) for a broad range of employees.</w:t>
      </w:r>
    </w:p>
    <w:p w14:paraId="497F9979" w14:textId="77777777" w:rsidR="009151CB" w:rsidRPr="006F6D2B" w:rsidRDefault="009151CB" w:rsidP="009151CB">
      <w:pPr>
        <w:spacing w:before="100" w:beforeAutospacing="1" w:after="100" w:afterAutospacing="1"/>
        <w:rPr>
          <w:sz w:val="22"/>
          <w:szCs w:val="22"/>
        </w:rPr>
      </w:pPr>
      <w:r w:rsidRPr="00AE712A">
        <w:rPr>
          <w:sz w:val="22"/>
          <w:szCs w:val="22"/>
        </w:rPr>
        <w:t>If such measures are taken the</w:t>
      </w:r>
      <w:r w:rsidRPr="006F6D2B">
        <w:rPr>
          <w:sz w:val="22"/>
          <w:szCs w:val="22"/>
        </w:rPr>
        <w:t xml:space="preserve"> firm </w:t>
      </w:r>
      <w:r w:rsidRPr="00AE712A">
        <w:rPr>
          <w:sz w:val="22"/>
          <w:szCs w:val="22"/>
        </w:rPr>
        <w:t>will</w:t>
      </w:r>
      <w:r w:rsidRPr="006F6D2B">
        <w:rPr>
          <w:sz w:val="22"/>
          <w:szCs w:val="22"/>
        </w:rPr>
        <w:t xml:space="preserve"> establish and maintain a supervisory system that is reasonably designed to supervise the activities of each associated person while working from an alternative or remote location during the pandemic. With respect to oversight obligations, </w:t>
      </w:r>
      <w:r w:rsidRPr="00AE712A">
        <w:rPr>
          <w:sz w:val="22"/>
          <w:szCs w:val="22"/>
        </w:rPr>
        <w:t>the</w:t>
      </w:r>
      <w:r w:rsidRPr="006F6D2B">
        <w:rPr>
          <w:sz w:val="22"/>
          <w:szCs w:val="22"/>
        </w:rPr>
        <w:t xml:space="preserve"> firm’s scheduled on-site inspections of branch offices may need to be temporarily postponed during the pandemic, with FINRA understanding that the ability to complete this annua</w:t>
      </w:r>
      <w:r w:rsidRPr="00AE712A">
        <w:rPr>
          <w:sz w:val="22"/>
          <w:szCs w:val="22"/>
        </w:rPr>
        <w:t xml:space="preserve">l regulatory obligation </w:t>
      </w:r>
      <w:r w:rsidRPr="006F6D2B">
        <w:rPr>
          <w:sz w:val="22"/>
          <w:szCs w:val="22"/>
        </w:rPr>
        <w:t>may need to be re-evaluated depending on the duration and severity of the pandemic.</w:t>
      </w:r>
    </w:p>
    <w:p w14:paraId="3F2F9059" w14:textId="77777777" w:rsidR="009151CB" w:rsidRPr="006F6D2B" w:rsidRDefault="009151CB" w:rsidP="009151CB">
      <w:pPr>
        <w:spacing w:before="100" w:beforeAutospacing="1" w:after="100" w:afterAutospacing="1"/>
        <w:rPr>
          <w:sz w:val="22"/>
          <w:szCs w:val="22"/>
        </w:rPr>
      </w:pPr>
      <w:r w:rsidRPr="006F6D2B">
        <w:rPr>
          <w:sz w:val="22"/>
          <w:szCs w:val="22"/>
        </w:rPr>
        <w:t xml:space="preserve">In addition, </w:t>
      </w:r>
      <w:r w:rsidRPr="00AE712A">
        <w:rPr>
          <w:sz w:val="22"/>
          <w:szCs w:val="22"/>
        </w:rPr>
        <w:t>the</w:t>
      </w:r>
      <w:r w:rsidRPr="006F6D2B">
        <w:rPr>
          <w:sz w:val="22"/>
          <w:szCs w:val="22"/>
        </w:rPr>
        <w:t xml:space="preserve"> firm may test broad use of remote offices or telework arrangements by associated persons </w:t>
      </w:r>
      <w:r w:rsidRPr="00AE712A">
        <w:rPr>
          <w:b/>
          <w:bCs/>
          <w:sz w:val="22"/>
          <w:szCs w:val="22"/>
        </w:rPr>
        <w:t>prior</w:t>
      </w:r>
      <w:r w:rsidRPr="006F6D2B">
        <w:rPr>
          <w:sz w:val="22"/>
          <w:szCs w:val="22"/>
        </w:rPr>
        <w:t xml:space="preserve"> to activating its BCP, including regarding the ability to connect to critical firm systems, the adequacy of remote connectivity via residential internet access networks and any potential need to secure premium or dedicated service for connectivity.</w:t>
      </w:r>
    </w:p>
    <w:p w14:paraId="1EC1748F" w14:textId="77777777" w:rsidR="009151CB" w:rsidRPr="006F6D2B" w:rsidRDefault="009151CB" w:rsidP="009151CB">
      <w:pPr>
        <w:spacing w:before="100" w:beforeAutospacing="1" w:after="100" w:afterAutospacing="1"/>
        <w:outlineLvl w:val="2"/>
        <w:rPr>
          <w:b/>
          <w:bCs/>
          <w:sz w:val="22"/>
          <w:szCs w:val="22"/>
        </w:rPr>
      </w:pPr>
      <w:r w:rsidRPr="006F6D2B">
        <w:rPr>
          <w:b/>
          <w:bCs/>
          <w:sz w:val="22"/>
          <w:szCs w:val="22"/>
        </w:rPr>
        <w:t>Cybersecurity</w:t>
      </w:r>
    </w:p>
    <w:p w14:paraId="7EA15DB3" w14:textId="77777777" w:rsidR="009151CB" w:rsidRPr="00AE712A" w:rsidRDefault="009151CB" w:rsidP="009151CB">
      <w:pPr>
        <w:spacing w:before="100" w:beforeAutospacing="1" w:after="100" w:afterAutospacing="1"/>
        <w:rPr>
          <w:sz w:val="22"/>
          <w:szCs w:val="22"/>
        </w:rPr>
      </w:pPr>
      <w:r w:rsidRPr="00AE712A">
        <w:rPr>
          <w:sz w:val="22"/>
          <w:szCs w:val="22"/>
        </w:rPr>
        <w:t>The firm will</w:t>
      </w:r>
      <w:r w:rsidRPr="006F6D2B">
        <w:rPr>
          <w:sz w:val="22"/>
          <w:szCs w:val="22"/>
        </w:rPr>
        <w:t xml:space="preserve"> consider the increased risk of cyber events as part of pandemic-related preparedness. The risk of cyber events may be increased due to use of remote offices or telework arrangements, heightened anxiety among associated persons and confusion about the virus</w:t>
      </w:r>
      <w:r w:rsidRPr="00AE712A">
        <w:rPr>
          <w:sz w:val="22"/>
          <w:szCs w:val="22"/>
        </w:rPr>
        <w:t xml:space="preserve"> or other pandemic</w:t>
      </w:r>
      <w:r w:rsidRPr="006F6D2B">
        <w:rPr>
          <w:sz w:val="22"/>
          <w:szCs w:val="22"/>
        </w:rPr>
        <w:t xml:space="preserve">. While </w:t>
      </w:r>
      <w:r w:rsidRPr="00AE712A">
        <w:rPr>
          <w:sz w:val="22"/>
          <w:szCs w:val="22"/>
        </w:rPr>
        <w:t>the firm is</w:t>
      </w:r>
      <w:r w:rsidRPr="006F6D2B">
        <w:rPr>
          <w:sz w:val="22"/>
          <w:szCs w:val="22"/>
        </w:rPr>
        <w:t xml:space="preserve"> understandably focused on business resiliency and health and safety of individuals, </w:t>
      </w:r>
      <w:r w:rsidRPr="00AE712A">
        <w:rPr>
          <w:sz w:val="22"/>
          <w:szCs w:val="22"/>
        </w:rPr>
        <w:t>the firm</w:t>
      </w:r>
      <w:r w:rsidRPr="006F6D2B">
        <w:rPr>
          <w:sz w:val="22"/>
          <w:szCs w:val="22"/>
        </w:rPr>
        <w:t xml:space="preserve"> remain</w:t>
      </w:r>
      <w:r w:rsidRPr="00AE712A">
        <w:rPr>
          <w:sz w:val="22"/>
          <w:szCs w:val="22"/>
        </w:rPr>
        <w:t>s vigilant in its</w:t>
      </w:r>
      <w:r w:rsidRPr="006F6D2B">
        <w:rPr>
          <w:sz w:val="22"/>
          <w:szCs w:val="22"/>
        </w:rPr>
        <w:t xml:space="preserve"> surveillance against cyber threats and </w:t>
      </w:r>
      <w:r w:rsidRPr="00AE712A">
        <w:rPr>
          <w:sz w:val="22"/>
          <w:szCs w:val="22"/>
        </w:rPr>
        <w:t xml:space="preserve">will </w:t>
      </w:r>
      <w:r w:rsidRPr="006F6D2B">
        <w:rPr>
          <w:sz w:val="22"/>
          <w:szCs w:val="22"/>
        </w:rPr>
        <w:t xml:space="preserve">take steps to reduce the risk of cyber events. These steps </w:t>
      </w:r>
      <w:r w:rsidRPr="00AE712A">
        <w:rPr>
          <w:sz w:val="22"/>
          <w:szCs w:val="22"/>
        </w:rPr>
        <w:t>will</w:t>
      </w:r>
      <w:r w:rsidRPr="006F6D2B">
        <w:rPr>
          <w:sz w:val="22"/>
          <w:szCs w:val="22"/>
        </w:rPr>
        <w:t xml:space="preserve"> include: </w:t>
      </w:r>
    </w:p>
    <w:p w14:paraId="0F948E5F" w14:textId="77777777" w:rsidR="009151CB" w:rsidRPr="00AE712A" w:rsidRDefault="009151CB" w:rsidP="009151CB">
      <w:pPr>
        <w:spacing w:before="100" w:beforeAutospacing="1" w:after="100" w:afterAutospacing="1"/>
        <w:rPr>
          <w:sz w:val="22"/>
          <w:szCs w:val="22"/>
        </w:rPr>
      </w:pPr>
      <w:r w:rsidRPr="006F6D2B">
        <w:rPr>
          <w:sz w:val="22"/>
          <w:szCs w:val="22"/>
        </w:rPr>
        <w:t>(1) ensuring that virtual private networks (VPN) and other remote access systems are properly patched with available security updates;</w:t>
      </w:r>
    </w:p>
    <w:p w14:paraId="51268D2E" w14:textId="77777777" w:rsidR="009151CB" w:rsidRPr="00AE712A" w:rsidRDefault="009151CB" w:rsidP="009151CB">
      <w:pPr>
        <w:spacing w:before="100" w:beforeAutospacing="1" w:after="100" w:afterAutospacing="1"/>
        <w:rPr>
          <w:sz w:val="22"/>
          <w:szCs w:val="22"/>
        </w:rPr>
      </w:pPr>
      <w:r w:rsidRPr="006F6D2B">
        <w:rPr>
          <w:sz w:val="22"/>
          <w:szCs w:val="22"/>
        </w:rPr>
        <w:t xml:space="preserve">(2) checking that system entitlements are current; </w:t>
      </w:r>
    </w:p>
    <w:p w14:paraId="4F03002B" w14:textId="77777777" w:rsidR="009151CB" w:rsidRPr="00AE712A" w:rsidRDefault="009151CB" w:rsidP="009151CB">
      <w:pPr>
        <w:spacing w:before="100" w:beforeAutospacing="1" w:after="100" w:afterAutospacing="1"/>
        <w:rPr>
          <w:sz w:val="22"/>
          <w:szCs w:val="22"/>
        </w:rPr>
      </w:pPr>
      <w:r w:rsidRPr="006F6D2B">
        <w:rPr>
          <w:sz w:val="22"/>
          <w:szCs w:val="22"/>
        </w:rPr>
        <w:t xml:space="preserve">(3) employing the use of multi-factor authentication for associated persons who access systems remotely; and </w:t>
      </w:r>
    </w:p>
    <w:p w14:paraId="412A3F06" w14:textId="77777777" w:rsidR="009151CB" w:rsidRPr="006F6D2B" w:rsidRDefault="009151CB" w:rsidP="009151CB">
      <w:pPr>
        <w:spacing w:before="100" w:beforeAutospacing="1" w:after="100" w:afterAutospacing="1"/>
        <w:rPr>
          <w:sz w:val="22"/>
          <w:szCs w:val="22"/>
        </w:rPr>
      </w:pPr>
      <w:r w:rsidRPr="006F6D2B">
        <w:rPr>
          <w:sz w:val="22"/>
          <w:szCs w:val="22"/>
        </w:rPr>
        <w:t>(4) reminding associated persons of cyber risks through education and other exercises that promote heightened vigilance.</w:t>
      </w:r>
    </w:p>
    <w:p w14:paraId="0CC09503" w14:textId="77777777" w:rsidR="009151CB" w:rsidRPr="006F6D2B" w:rsidRDefault="009151CB" w:rsidP="009151CB">
      <w:pPr>
        <w:spacing w:before="100" w:beforeAutospacing="1" w:after="100" w:afterAutospacing="1"/>
        <w:outlineLvl w:val="2"/>
        <w:rPr>
          <w:b/>
          <w:bCs/>
          <w:sz w:val="22"/>
          <w:szCs w:val="22"/>
        </w:rPr>
      </w:pPr>
      <w:r w:rsidRPr="006F6D2B">
        <w:rPr>
          <w:b/>
          <w:bCs/>
          <w:sz w:val="22"/>
          <w:szCs w:val="22"/>
        </w:rPr>
        <w:t>Emergency Office Relocations</w:t>
      </w:r>
    </w:p>
    <w:p w14:paraId="532140AC" w14:textId="77777777" w:rsidR="009151CB" w:rsidRPr="006F6D2B" w:rsidRDefault="009151CB" w:rsidP="009151CB">
      <w:pPr>
        <w:spacing w:before="100" w:beforeAutospacing="1" w:after="100" w:afterAutospacing="1"/>
        <w:rPr>
          <w:sz w:val="22"/>
          <w:szCs w:val="22"/>
        </w:rPr>
      </w:pPr>
      <w:r w:rsidRPr="006F6D2B">
        <w:rPr>
          <w:sz w:val="22"/>
          <w:szCs w:val="22"/>
        </w:rPr>
        <w:t xml:space="preserve">If </w:t>
      </w:r>
      <w:r w:rsidRPr="00AE712A">
        <w:rPr>
          <w:sz w:val="22"/>
          <w:szCs w:val="22"/>
        </w:rPr>
        <w:t>the</w:t>
      </w:r>
      <w:r w:rsidRPr="006F6D2B">
        <w:rPr>
          <w:sz w:val="22"/>
          <w:szCs w:val="22"/>
        </w:rPr>
        <w:t xml:space="preserve"> firm relocates personnel to a temporary location that is not currently registered as a branch office or identified as a regular</w:t>
      </w:r>
      <w:r w:rsidRPr="00AE712A">
        <w:rPr>
          <w:sz w:val="22"/>
          <w:szCs w:val="22"/>
        </w:rPr>
        <w:t xml:space="preserve"> non-branch location, the firm will</w:t>
      </w:r>
      <w:r w:rsidRPr="006F6D2B">
        <w:rPr>
          <w:sz w:val="22"/>
          <w:szCs w:val="22"/>
        </w:rPr>
        <w:t xml:space="preserve"> use its best efforts to provide written notification to its FINRA Risk Monitoring Analyst as soon as possible after establishing a new temporary office or space-sharing arrangement, to include at a minimum the office address, the names of each member firm involved, the names of registered personnel, a contact telephone number and, if possible, the expected duration. The notification </w:t>
      </w:r>
      <w:r w:rsidRPr="00AE712A">
        <w:rPr>
          <w:sz w:val="22"/>
          <w:szCs w:val="22"/>
        </w:rPr>
        <w:t>will</w:t>
      </w:r>
      <w:r w:rsidRPr="006F6D2B">
        <w:rPr>
          <w:sz w:val="22"/>
          <w:szCs w:val="22"/>
        </w:rPr>
        <w:t xml:space="preserve"> also indicate whether the member firm’s personnel will be sharing space with another entity, and if so, the type of business in which it is engaged. </w:t>
      </w:r>
      <w:r w:rsidRPr="00AE712A">
        <w:rPr>
          <w:sz w:val="22"/>
          <w:szCs w:val="22"/>
        </w:rPr>
        <w:t>The firm</w:t>
      </w:r>
      <w:r w:rsidRPr="006F6D2B">
        <w:rPr>
          <w:sz w:val="22"/>
          <w:szCs w:val="22"/>
        </w:rPr>
        <w:t xml:space="preserve"> take into account the risks associated with sharing office space with another entity and take steps to mitigate the risks during the emergency relocation.</w:t>
      </w:r>
    </w:p>
    <w:p w14:paraId="3DBAE33F" w14:textId="77777777" w:rsidR="009151CB" w:rsidRPr="006F6D2B" w:rsidRDefault="009151CB" w:rsidP="009151CB">
      <w:pPr>
        <w:spacing w:before="100" w:beforeAutospacing="1" w:after="100" w:afterAutospacing="1"/>
        <w:rPr>
          <w:sz w:val="22"/>
          <w:szCs w:val="22"/>
        </w:rPr>
      </w:pPr>
      <w:r w:rsidRPr="006F6D2B">
        <w:rPr>
          <w:sz w:val="22"/>
          <w:szCs w:val="22"/>
        </w:rPr>
        <w:lastRenderedPageBreak/>
        <w:t xml:space="preserve">In addition, in instances where a non-branch location or branch office has been relocated, or customer calls are being rerouted to another office, </w:t>
      </w:r>
      <w:r w:rsidRPr="00AE712A">
        <w:rPr>
          <w:sz w:val="22"/>
          <w:szCs w:val="22"/>
        </w:rPr>
        <w:t>the firm</w:t>
      </w:r>
      <w:r w:rsidRPr="006F6D2B">
        <w:rPr>
          <w:sz w:val="22"/>
          <w:szCs w:val="22"/>
        </w:rPr>
        <w:t xml:space="preserve"> exercise diligence in validating the identity of the customer as well as provide heightened supervision of the affected customer accounts.</w:t>
      </w:r>
    </w:p>
    <w:p w14:paraId="45ACBCC8" w14:textId="77777777" w:rsidR="009151CB" w:rsidRPr="006F6D2B" w:rsidRDefault="009151CB" w:rsidP="009151CB">
      <w:pPr>
        <w:spacing w:before="100" w:beforeAutospacing="1" w:after="100" w:afterAutospacing="1"/>
        <w:outlineLvl w:val="2"/>
        <w:rPr>
          <w:b/>
          <w:bCs/>
          <w:sz w:val="22"/>
          <w:szCs w:val="22"/>
        </w:rPr>
      </w:pPr>
      <w:r w:rsidRPr="006F6D2B">
        <w:rPr>
          <w:b/>
          <w:bCs/>
          <w:sz w:val="22"/>
          <w:szCs w:val="22"/>
        </w:rPr>
        <w:t>Communicating With Customers</w:t>
      </w:r>
    </w:p>
    <w:p w14:paraId="0ED316C8" w14:textId="77777777" w:rsidR="009151CB" w:rsidRPr="006F6D2B" w:rsidRDefault="009151CB" w:rsidP="009151CB">
      <w:pPr>
        <w:spacing w:before="100" w:beforeAutospacing="1" w:after="100" w:afterAutospacing="1"/>
        <w:rPr>
          <w:sz w:val="22"/>
          <w:szCs w:val="22"/>
        </w:rPr>
      </w:pPr>
      <w:r w:rsidRPr="006F6D2B">
        <w:rPr>
          <w:sz w:val="22"/>
          <w:szCs w:val="22"/>
        </w:rPr>
        <w:t xml:space="preserve">If registered representatives are unavailable to service their customers, </w:t>
      </w:r>
      <w:r w:rsidRPr="00AE712A">
        <w:rPr>
          <w:sz w:val="22"/>
          <w:szCs w:val="22"/>
        </w:rPr>
        <w:t>the firm will</w:t>
      </w:r>
      <w:r w:rsidRPr="006F6D2B">
        <w:rPr>
          <w:sz w:val="22"/>
          <w:szCs w:val="22"/>
        </w:rPr>
        <w:t xml:space="preserve"> promptly place a notice on their websites indicating to affected customers who they may contact concerning the execution of trades, their accounts, and access to funds or securities. Supervisory control policies and procedures </w:t>
      </w:r>
      <w:r w:rsidRPr="00AE712A">
        <w:rPr>
          <w:sz w:val="22"/>
          <w:szCs w:val="22"/>
        </w:rPr>
        <w:t>will be promulgated</w:t>
      </w:r>
      <w:r w:rsidRPr="006F6D2B">
        <w:rPr>
          <w:sz w:val="22"/>
          <w:szCs w:val="22"/>
        </w:rPr>
        <w:t xml:space="preserve"> that will mitigate risks that may arise due to the reduced ability to communicate with customers, inability to rely on mail or other disruption to the existing controls over communications with customers. </w:t>
      </w:r>
    </w:p>
    <w:p w14:paraId="531DAD21" w14:textId="77777777" w:rsidR="009151CB" w:rsidRPr="006F6D2B" w:rsidRDefault="009151CB" w:rsidP="009151CB">
      <w:pPr>
        <w:spacing w:before="100" w:beforeAutospacing="1" w:after="100" w:afterAutospacing="1"/>
        <w:outlineLvl w:val="2"/>
        <w:rPr>
          <w:b/>
          <w:bCs/>
          <w:sz w:val="22"/>
          <w:szCs w:val="22"/>
        </w:rPr>
      </w:pPr>
      <w:r w:rsidRPr="006F6D2B">
        <w:rPr>
          <w:b/>
          <w:bCs/>
          <w:sz w:val="22"/>
          <w:szCs w:val="22"/>
        </w:rPr>
        <w:t>Regulatory Filings and Responses to FINRA Inquiries, Matters and Investigations</w:t>
      </w:r>
    </w:p>
    <w:p w14:paraId="3487A6DA" w14:textId="77777777" w:rsidR="009151CB" w:rsidRPr="006F6D2B" w:rsidRDefault="009151CB" w:rsidP="009151CB">
      <w:pPr>
        <w:spacing w:before="100" w:beforeAutospacing="1" w:after="100" w:afterAutospacing="1"/>
        <w:rPr>
          <w:sz w:val="22"/>
          <w:szCs w:val="22"/>
        </w:rPr>
      </w:pPr>
      <w:r w:rsidRPr="006F6D2B">
        <w:rPr>
          <w:sz w:val="22"/>
          <w:szCs w:val="22"/>
        </w:rPr>
        <w:t xml:space="preserve">In the event of a pandemic, member firms may have difficulty making timely regulatory filings and responding to regulatory inquiries or investigations. </w:t>
      </w:r>
      <w:r w:rsidRPr="00AE712A">
        <w:rPr>
          <w:sz w:val="22"/>
          <w:szCs w:val="22"/>
        </w:rPr>
        <w:t xml:space="preserve"> If the firm</w:t>
      </w:r>
      <w:r w:rsidRPr="006F6D2B">
        <w:rPr>
          <w:sz w:val="22"/>
          <w:szCs w:val="22"/>
        </w:rPr>
        <w:t xml:space="preserve"> require</w:t>
      </w:r>
      <w:r w:rsidRPr="00AE712A">
        <w:rPr>
          <w:sz w:val="22"/>
          <w:szCs w:val="22"/>
        </w:rPr>
        <w:t>s</w:t>
      </w:r>
      <w:r w:rsidRPr="006F6D2B">
        <w:rPr>
          <w:sz w:val="22"/>
          <w:szCs w:val="22"/>
        </w:rPr>
        <w:t xml:space="preserve"> extra time to respond to open inquiries, inve</w:t>
      </w:r>
      <w:r w:rsidRPr="00AE712A">
        <w:rPr>
          <w:sz w:val="22"/>
          <w:szCs w:val="22"/>
        </w:rPr>
        <w:t>stigations or upcoming filings the firm will</w:t>
      </w:r>
      <w:r w:rsidRPr="006F6D2B">
        <w:rPr>
          <w:sz w:val="22"/>
          <w:szCs w:val="22"/>
        </w:rPr>
        <w:t xml:space="preserve"> contact their Risk Monitoring Analysts or the relevant FINRA department to seek extensions. </w:t>
      </w:r>
    </w:p>
    <w:p w14:paraId="5318C732" w14:textId="77777777" w:rsidR="009151CB" w:rsidRPr="000C2237" w:rsidRDefault="009151CB" w:rsidP="009151CB">
      <w:pPr>
        <w:rPr>
          <w:sz w:val="22"/>
          <w:szCs w:val="22"/>
        </w:rPr>
      </w:pPr>
    </w:p>
    <w:p w14:paraId="789EA65F" w14:textId="77777777" w:rsidR="00BA7E9C" w:rsidRDefault="00BA7E9C"/>
    <w:p w14:paraId="79618936" w14:textId="77777777" w:rsidR="000C2237" w:rsidRDefault="009A5FA4" w:rsidP="000C2237">
      <w:pPr>
        <w:pStyle w:val="Heading1"/>
        <w:numPr>
          <w:ilvl w:val="0"/>
          <w:numId w:val="0"/>
        </w:numPr>
        <w:spacing w:after="0"/>
        <w:rPr>
          <w:sz w:val="24"/>
          <w:szCs w:val="24"/>
        </w:rPr>
      </w:pPr>
      <w:r w:rsidRPr="00DB78BC">
        <w:rPr>
          <w:sz w:val="24"/>
          <w:szCs w:val="24"/>
          <w:u w:val="none"/>
        </w:rPr>
        <w:t xml:space="preserve">SECTION </w:t>
      </w:r>
      <w:r>
        <w:rPr>
          <w:sz w:val="24"/>
          <w:szCs w:val="24"/>
          <w:u w:val="none"/>
        </w:rPr>
        <w:t>1</w:t>
      </w:r>
      <w:r w:rsidR="009151CB">
        <w:rPr>
          <w:sz w:val="24"/>
          <w:szCs w:val="24"/>
          <w:u w:val="none"/>
        </w:rPr>
        <w:t>4</w:t>
      </w:r>
      <w:r w:rsidRPr="00DB78BC">
        <w:rPr>
          <w:sz w:val="24"/>
          <w:szCs w:val="24"/>
          <w:u w:val="none"/>
        </w:rPr>
        <w:t xml:space="preserve">.     </w:t>
      </w:r>
      <w:r w:rsidRPr="009A5FA4">
        <w:rPr>
          <w:sz w:val="24"/>
          <w:szCs w:val="24"/>
        </w:rPr>
        <w:t>SENIOR MANAGER APPROVAL</w:t>
      </w:r>
    </w:p>
    <w:p w14:paraId="2DD9E2D1" w14:textId="77777777" w:rsidR="000C2237" w:rsidRPr="000C2237" w:rsidRDefault="000C2237" w:rsidP="000C2237">
      <w:pPr>
        <w:widowControl w:val="0"/>
        <w:tabs>
          <w:tab w:val="left" w:pos="6600"/>
        </w:tabs>
        <w:autoSpaceDE w:val="0"/>
        <w:autoSpaceDN w:val="0"/>
        <w:adjustRightInd w:val="0"/>
        <w:rPr>
          <w:b/>
          <w:bCs/>
          <w:sz w:val="22"/>
          <w:szCs w:val="22"/>
          <w:u w:val="single"/>
        </w:rPr>
      </w:pPr>
      <w:r w:rsidRPr="000C2237">
        <w:rPr>
          <w:b/>
          <w:bCs/>
          <w:sz w:val="22"/>
          <w:szCs w:val="22"/>
          <w:u w:val="single"/>
        </w:rPr>
        <w:t>References:</w:t>
      </w:r>
    </w:p>
    <w:p w14:paraId="1ADF2BB1" w14:textId="77777777" w:rsidR="000C2237" w:rsidRPr="000C2237" w:rsidRDefault="000C2237" w:rsidP="000C2237">
      <w:pPr>
        <w:rPr>
          <w:sz w:val="22"/>
          <w:szCs w:val="22"/>
        </w:rPr>
      </w:pPr>
      <w:r w:rsidRPr="000C2237">
        <w:rPr>
          <w:b/>
          <w:sz w:val="22"/>
          <w:szCs w:val="22"/>
        </w:rPr>
        <w:t>FINRA Rule 4370</w:t>
      </w:r>
    </w:p>
    <w:p w14:paraId="7E9BEEE0" w14:textId="77777777" w:rsidR="0045074B" w:rsidRPr="009A5FA4" w:rsidRDefault="009A5FA4" w:rsidP="009A5FA4">
      <w:pPr>
        <w:pStyle w:val="Heading1"/>
        <w:numPr>
          <w:ilvl w:val="0"/>
          <w:numId w:val="0"/>
        </w:numPr>
        <w:rPr>
          <w:sz w:val="24"/>
          <w:szCs w:val="24"/>
        </w:rPr>
      </w:pPr>
      <w:r w:rsidRPr="009A5FA4">
        <w:rPr>
          <w:sz w:val="24"/>
          <w:szCs w:val="24"/>
        </w:rPr>
        <w:t xml:space="preserve">  </w:t>
      </w:r>
    </w:p>
    <w:p w14:paraId="3F2815D0" w14:textId="77777777" w:rsidR="0045074B" w:rsidRPr="00D66250" w:rsidRDefault="0045074B">
      <w:pPr>
        <w:rPr>
          <w:sz w:val="22"/>
          <w:szCs w:val="22"/>
        </w:rPr>
      </w:pPr>
      <w:r w:rsidRPr="00D66250">
        <w:rPr>
          <w:sz w:val="22"/>
          <w:szCs w:val="22"/>
        </w:rPr>
        <w:t xml:space="preserve">I have approved this Business Continuity Plan as reasonably designed to enable </w:t>
      </w:r>
      <w:r w:rsidR="00C0700E" w:rsidRPr="00D66250">
        <w:rPr>
          <w:sz w:val="22"/>
          <w:szCs w:val="22"/>
        </w:rPr>
        <w:t>the</w:t>
      </w:r>
      <w:r w:rsidRPr="00D66250">
        <w:rPr>
          <w:sz w:val="22"/>
          <w:szCs w:val="22"/>
        </w:rPr>
        <w:t xml:space="preserve"> </w:t>
      </w:r>
      <w:r w:rsidR="00C0700E" w:rsidRPr="00D66250">
        <w:rPr>
          <w:sz w:val="22"/>
          <w:szCs w:val="22"/>
        </w:rPr>
        <w:t>Firm</w:t>
      </w:r>
      <w:r w:rsidRPr="00D66250">
        <w:rPr>
          <w:sz w:val="22"/>
          <w:szCs w:val="22"/>
        </w:rPr>
        <w:t xml:space="preserve"> to meet its obligations to customers in the event of an SBD.    </w:t>
      </w:r>
    </w:p>
    <w:p w14:paraId="7FD9B1F0" w14:textId="77777777" w:rsidR="0045074B" w:rsidRDefault="0045074B"/>
    <w:p w14:paraId="5D8C3B2C" w14:textId="77777777" w:rsidR="0045074B" w:rsidRDefault="0045074B"/>
    <w:p w14:paraId="67C6F1E8" w14:textId="77777777" w:rsidR="0045074B" w:rsidRDefault="0045074B">
      <w:r>
        <w:t>Signed:</w:t>
      </w:r>
      <w:r>
        <w:tab/>
        <w:t>_______________________________</w:t>
      </w:r>
    </w:p>
    <w:p w14:paraId="563B32D6" w14:textId="77777777" w:rsidR="0045074B" w:rsidRDefault="0045074B"/>
    <w:p w14:paraId="381A289D" w14:textId="77777777" w:rsidR="0045074B" w:rsidRDefault="0045074B">
      <w:r>
        <w:t>Title:</w:t>
      </w:r>
      <w:r>
        <w:tab/>
      </w:r>
      <w:r>
        <w:tab/>
        <w:t>_______________________________</w:t>
      </w:r>
    </w:p>
    <w:p w14:paraId="5E94E5F3" w14:textId="77777777" w:rsidR="0045074B" w:rsidRDefault="0045074B"/>
    <w:p w14:paraId="11469018" w14:textId="77777777" w:rsidR="0045074B" w:rsidRDefault="0045074B">
      <w:r>
        <w:t xml:space="preserve">Date: </w:t>
      </w:r>
      <w:r>
        <w:tab/>
      </w:r>
      <w:r>
        <w:tab/>
        <w:t>_______________________________</w:t>
      </w:r>
    </w:p>
    <w:p w14:paraId="5B12A303" w14:textId="77777777" w:rsidR="009F3C74" w:rsidRDefault="002030EB" w:rsidP="002030EB">
      <w:pPr>
        <w:pStyle w:val="BodyText"/>
        <w:rPr>
          <w:rFonts w:ascii="Lucida Calligraphy" w:hAnsi="Lucida Calligraphy"/>
          <w:b/>
          <w:bCs/>
        </w:rPr>
      </w:pPr>
      <w:r>
        <w:rPr>
          <w:rFonts w:ascii="Lucida Calligraphy" w:hAnsi="Lucida Calligraphy"/>
          <w:b/>
          <w:bCs/>
        </w:rPr>
        <w:t xml:space="preserve">    </w:t>
      </w:r>
    </w:p>
    <w:p w14:paraId="75049010" w14:textId="77777777" w:rsidR="009F3C74" w:rsidRDefault="009F3C74" w:rsidP="002030EB">
      <w:pPr>
        <w:pStyle w:val="BodyText"/>
        <w:rPr>
          <w:rFonts w:ascii="Lucida Calligraphy" w:hAnsi="Lucida Calligraphy"/>
          <w:b/>
          <w:bCs/>
        </w:rPr>
      </w:pPr>
    </w:p>
    <w:p w14:paraId="4B17BE2E" w14:textId="77777777" w:rsidR="009F3C74" w:rsidRDefault="009F3C74" w:rsidP="002030EB">
      <w:pPr>
        <w:pStyle w:val="BodyText"/>
        <w:rPr>
          <w:rFonts w:ascii="Lucida Calligraphy" w:hAnsi="Lucida Calligraphy"/>
          <w:b/>
          <w:bCs/>
        </w:rPr>
      </w:pPr>
    </w:p>
    <w:p w14:paraId="68E7DB07" w14:textId="77777777" w:rsidR="009F3C74" w:rsidRDefault="009F3C74" w:rsidP="002030EB">
      <w:pPr>
        <w:pStyle w:val="BodyText"/>
        <w:rPr>
          <w:rFonts w:ascii="Lucida Calligraphy" w:hAnsi="Lucida Calligraphy"/>
          <w:b/>
          <w:bCs/>
        </w:rPr>
      </w:pPr>
    </w:p>
    <w:p w14:paraId="21CA8019" w14:textId="77777777" w:rsidR="009F3C74" w:rsidRDefault="009F3C74" w:rsidP="002030EB">
      <w:pPr>
        <w:pStyle w:val="BodyText"/>
        <w:rPr>
          <w:rFonts w:ascii="Lucida Calligraphy" w:hAnsi="Lucida Calligraphy"/>
          <w:b/>
          <w:bCs/>
        </w:rPr>
      </w:pPr>
    </w:p>
    <w:p w14:paraId="70A10FC7" w14:textId="77777777" w:rsidR="009F3C74" w:rsidRDefault="009F3C74" w:rsidP="002030EB">
      <w:pPr>
        <w:pStyle w:val="BodyText"/>
        <w:rPr>
          <w:rFonts w:ascii="Lucida Calligraphy" w:hAnsi="Lucida Calligraphy"/>
          <w:b/>
          <w:bCs/>
        </w:rPr>
      </w:pPr>
    </w:p>
    <w:p w14:paraId="6DE7372E" w14:textId="77777777" w:rsidR="007F00C2" w:rsidRDefault="007F00C2" w:rsidP="002030EB">
      <w:pPr>
        <w:pStyle w:val="BodyText"/>
        <w:rPr>
          <w:rFonts w:ascii="Lucida Calligraphy" w:hAnsi="Lucida Calligraphy"/>
          <w:b/>
          <w:bCs/>
        </w:rPr>
      </w:pPr>
    </w:p>
    <w:p w14:paraId="5A3CE382" w14:textId="77777777" w:rsidR="007F00C2" w:rsidRDefault="007F00C2" w:rsidP="002030EB">
      <w:pPr>
        <w:pStyle w:val="BodyText"/>
        <w:rPr>
          <w:rFonts w:ascii="Lucida Calligraphy" w:hAnsi="Lucida Calligraphy"/>
          <w:b/>
          <w:bCs/>
        </w:rPr>
      </w:pPr>
    </w:p>
    <w:p w14:paraId="6CF0DF8B" w14:textId="77777777" w:rsidR="007F00C2" w:rsidRDefault="007F00C2" w:rsidP="002030EB">
      <w:pPr>
        <w:pStyle w:val="BodyText"/>
        <w:rPr>
          <w:rFonts w:ascii="Lucida Calligraphy" w:hAnsi="Lucida Calligraphy"/>
          <w:b/>
          <w:bCs/>
        </w:rPr>
      </w:pPr>
    </w:p>
    <w:p w14:paraId="6FBCD838" w14:textId="77777777" w:rsidR="007F00C2" w:rsidRDefault="007F00C2" w:rsidP="002030EB">
      <w:pPr>
        <w:pStyle w:val="BodyText"/>
        <w:rPr>
          <w:rFonts w:ascii="Lucida Calligraphy" w:hAnsi="Lucida Calligraphy"/>
          <w:b/>
          <w:bCs/>
        </w:rPr>
      </w:pPr>
    </w:p>
    <w:p w14:paraId="3ABFDEF2" w14:textId="398758CE" w:rsidR="000B7376" w:rsidRPr="00047A12" w:rsidRDefault="00FB7A72" w:rsidP="002030EB">
      <w:pPr>
        <w:pStyle w:val="BodyText"/>
        <w:rPr>
          <w:rFonts w:ascii="Lucida Calligraphy" w:hAnsi="Lucida Calligraphy"/>
          <w:b/>
          <w:bCs/>
        </w:rPr>
      </w:pPr>
      <w:r>
        <w:rPr>
          <w:rFonts w:ascii="Lucida Calligraphy" w:hAnsi="Lucida Calligraphy"/>
          <w:b/>
          <w:bCs/>
        </w:rPr>
        <w:t xml:space="preserve">       </w:t>
      </w:r>
      <w:r w:rsidR="000B7376" w:rsidRPr="00047A12">
        <w:rPr>
          <w:rFonts w:ascii="Lucida Calligraphy" w:hAnsi="Lucida Calligraphy"/>
          <w:b/>
          <w:bCs/>
        </w:rPr>
        <w:t>BCP DISCLOSURE STATEMENT</w:t>
      </w:r>
    </w:p>
    <w:p w14:paraId="6DD8B477" w14:textId="77777777" w:rsidR="000B7376" w:rsidRDefault="000B7376" w:rsidP="000B7376">
      <w:pPr>
        <w:jc w:val="both"/>
        <w:rPr>
          <w:rFonts w:cs="Arial"/>
        </w:rPr>
      </w:pPr>
    </w:p>
    <w:p w14:paraId="2D902F2B" w14:textId="77777777" w:rsidR="000B7376" w:rsidRDefault="000B7376" w:rsidP="000B7376">
      <w:pPr>
        <w:jc w:val="both"/>
        <w:rPr>
          <w:rFonts w:cs="Arial"/>
        </w:rPr>
      </w:pPr>
      <w:r>
        <w:rPr>
          <w:rFonts w:cs="Arial"/>
        </w:rPr>
        <w:t xml:space="preserve">The </w:t>
      </w:r>
      <w:r w:rsidR="00C0700E">
        <w:rPr>
          <w:rFonts w:cs="Arial"/>
        </w:rPr>
        <w:t>Firm</w:t>
      </w:r>
      <w:r>
        <w:rPr>
          <w:rFonts w:cs="Arial"/>
        </w:rPr>
        <w:t xml:space="preserve"> has created a Business Continuity Plan (BCP) that provides for the </w:t>
      </w:r>
      <w:r w:rsidR="00C0700E">
        <w:rPr>
          <w:rFonts w:cs="Arial"/>
        </w:rPr>
        <w:t>Firm</w:t>
      </w:r>
      <w:r>
        <w:rPr>
          <w:rFonts w:cs="Arial"/>
        </w:rPr>
        <w:t xml:space="preserve"> to continue client service within a reasonable amount of time, </w:t>
      </w:r>
      <w:r>
        <w:rPr>
          <w:szCs w:val="21"/>
        </w:rPr>
        <w:t>given the scope and severity of a significant business disruption (SBD)</w:t>
      </w:r>
      <w:r>
        <w:rPr>
          <w:rFonts w:cs="Arial"/>
        </w:rPr>
        <w:t>.</w:t>
      </w:r>
    </w:p>
    <w:p w14:paraId="0F6E5ADE" w14:textId="77777777" w:rsidR="000B7376" w:rsidRDefault="000B7376" w:rsidP="000B7376">
      <w:pPr>
        <w:jc w:val="both"/>
        <w:rPr>
          <w:rFonts w:cs="Arial"/>
        </w:rPr>
      </w:pPr>
    </w:p>
    <w:p w14:paraId="17A0ACC0" w14:textId="77777777" w:rsidR="000B7376" w:rsidRDefault="000B7376" w:rsidP="000B7376">
      <w:pPr>
        <w:jc w:val="both"/>
      </w:pPr>
      <w:r>
        <w:rPr>
          <w:rFonts w:cs="Arial"/>
        </w:rPr>
        <w:t xml:space="preserve">The BCP anticipates responding to both internal and external SBDs.  </w:t>
      </w:r>
      <w:r>
        <w:t xml:space="preserve">An internal SBD, such as the loss of </w:t>
      </w:r>
      <w:r w:rsidR="00C0700E">
        <w:t>the</w:t>
      </w:r>
      <w:r>
        <w:t xml:space="preserve"> telephone system, affects only the </w:t>
      </w:r>
      <w:r w:rsidR="00C0700E">
        <w:t>Firm</w:t>
      </w:r>
      <w:r>
        <w:t xml:space="preserve">.   The </w:t>
      </w:r>
      <w:r w:rsidR="00C0700E">
        <w:t>Firm</w:t>
      </w:r>
      <w:r>
        <w:t xml:space="preserve"> will respond to internal SBDs by re-routing calls to secondary numbers, and/or relocating its primary office to a secondary location, and/or, recovering data from a back-up storage media and/or a back-up site.  </w:t>
      </w:r>
      <w:r>
        <w:rPr>
          <w:rFonts w:cs="Arial"/>
        </w:rPr>
        <w:t xml:space="preserve">The </w:t>
      </w:r>
      <w:r w:rsidR="00C0700E">
        <w:rPr>
          <w:rFonts w:cs="Arial"/>
        </w:rPr>
        <w:t>Firm</w:t>
      </w:r>
      <w:r>
        <w:rPr>
          <w:rFonts w:cs="Arial"/>
        </w:rPr>
        <w:t xml:space="preserve"> expects to </w:t>
      </w:r>
      <w:r>
        <w:t>recover from an internal SBD</w:t>
      </w:r>
      <w:r>
        <w:rPr>
          <w:b/>
          <w:bCs/>
        </w:rPr>
        <w:t xml:space="preserve"> </w:t>
      </w:r>
      <w:r>
        <w:t>within one h</w:t>
      </w:r>
      <w:r w:rsidR="00046CFE">
        <w:t>our</w:t>
      </w:r>
      <w:r>
        <w:t>.</w:t>
      </w:r>
    </w:p>
    <w:p w14:paraId="0A0FFAC6" w14:textId="77777777" w:rsidR="000B7376" w:rsidRDefault="000B7376" w:rsidP="000B7376">
      <w:pPr>
        <w:jc w:val="both"/>
      </w:pPr>
    </w:p>
    <w:p w14:paraId="22143A2D" w14:textId="77777777" w:rsidR="000B7376" w:rsidRDefault="000B7376" w:rsidP="000B7376">
      <w:pPr>
        <w:jc w:val="both"/>
        <w:rPr>
          <w:iCs/>
        </w:rPr>
      </w:pPr>
      <w:r>
        <w:t>An external SBD, such as a po</w:t>
      </w:r>
      <w:r w:rsidR="00BE00DE">
        <w:t>wer</w:t>
      </w:r>
      <w:r>
        <w:t xml:space="preserve"> outage or flood, affects multiple businesses and can be local, regional, national, or global.   The </w:t>
      </w:r>
      <w:r w:rsidR="00C0700E">
        <w:t>Firm</w:t>
      </w:r>
      <w:r>
        <w:t>’s response to an external SBD relies more heavily on o</w:t>
      </w:r>
      <w:r w:rsidR="009F3C74">
        <w:t xml:space="preserve">ther organizations, such as </w:t>
      </w:r>
      <w:r>
        <w:t xml:space="preserve">product sponsors.  </w:t>
      </w:r>
      <w:r>
        <w:rPr>
          <w:rFonts w:cs="Arial"/>
        </w:rPr>
        <w:t xml:space="preserve">The </w:t>
      </w:r>
      <w:r w:rsidR="00C0700E">
        <w:rPr>
          <w:rFonts w:cs="Arial"/>
        </w:rPr>
        <w:t>Firm</w:t>
      </w:r>
      <w:r>
        <w:rPr>
          <w:rFonts w:cs="Arial"/>
        </w:rPr>
        <w:t xml:space="preserve"> expects to </w:t>
      </w:r>
      <w:r>
        <w:t>recover from an external SBD within</w:t>
      </w:r>
      <w:r>
        <w:rPr>
          <w:b/>
          <w:bCs/>
        </w:rPr>
        <w:t xml:space="preserve"> </w:t>
      </w:r>
      <w:r>
        <w:t>six h</w:t>
      </w:r>
      <w:r w:rsidR="00046CFE">
        <w:t>our</w:t>
      </w:r>
      <w:r>
        <w:t>s.</w:t>
      </w:r>
      <w:r>
        <w:rPr>
          <w:b/>
          <w:bCs/>
        </w:rPr>
        <w:t xml:space="preserve">  </w:t>
      </w:r>
    </w:p>
    <w:p w14:paraId="7D088552" w14:textId="77777777" w:rsidR="000B7376" w:rsidRDefault="000B7376" w:rsidP="000B7376">
      <w:pPr>
        <w:jc w:val="both"/>
      </w:pPr>
    </w:p>
    <w:p w14:paraId="4AEF84BD" w14:textId="77777777" w:rsidR="000B7376" w:rsidRDefault="000B7376" w:rsidP="000B7376">
      <w:pPr>
        <w:jc w:val="both"/>
      </w:pPr>
      <w:r>
        <w:t xml:space="preserve">In the event a SBD prevents customers from contacting the </w:t>
      </w:r>
      <w:r w:rsidR="00C0700E">
        <w:t>Firm</w:t>
      </w:r>
      <w:r>
        <w:t xml:space="preserve"> by using the </w:t>
      </w:r>
      <w:r w:rsidR="00C0700E">
        <w:t>Firm</w:t>
      </w:r>
      <w:r>
        <w:t xml:space="preserve">’s primary phone number, fax number, or email address, customers may contact the </w:t>
      </w:r>
      <w:r w:rsidR="00C0700E">
        <w:t>Firm</w:t>
      </w:r>
      <w:r>
        <w:t xml:space="preserve"> by using the following secondary contact information:</w:t>
      </w:r>
    </w:p>
    <w:p w14:paraId="61C41A81" w14:textId="77777777" w:rsidR="00046CFE" w:rsidRDefault="00046CFE" w:rsidP="000B7376">
      <w:pPr>
        <w:jc w:val="both"/>
      </w:pPr>
    </w:p>
    <w:p w14:paraId="3B39AA85" w14:textId="77777777" w:rsidR="000B7376" w:rsidRDefault="000B7376" w:rsidP="000B7376">
      <w:r>
        <w:t xml:space="preserve">While no contingency plan can eliminate all risk of service interruption or temporarily impeded account access, the </w:t>
      </w:r>
      <w:r w:rsidR="00C0700E">
        <w:t>Firm</w:t>
      </w:r>
      <w:r>
        <w:t xml:space="preserve"> continually assesses and updates its BCP to mitigate all reasonable risk.</w:t>
      </w:r>
    </w:p>
    <w:p w14:paraId="2E4F7A1F" w14:textId="77777777" w:rsidR="000B7376" w:rsidRDefault="000B7376" w:rsidP="000B7376"/>
    <w:p w14:paraId="3A0CCDE1" w14:textId="76E8990C" w:rsidR="000B7376" w:rsidRDefault="000B7376" w:rsidP="00046CFE">
      <w:pPr>
        <w:pStyle w:val="BodyText"/>
        <w:ind w:firstLine="0"/>
        <w:rPr>
          <w:bCs/>
        </w:rPr>
      </w:pPr>
      <w:r>
        <w:t>This disclosure is subject to modification.</w:t>
      </w:r>
      <w:r>
        <w:rPr>
          <w:bCs/>
        </w:rPr>
        <w:t xml:space="preserve">  You may request a copy of the </w:t>
      </w:r>
      <w:r w:rsidR="00C0700E">
        <w:rPr>
          <w:bCs/>
        </w:rPr>
        <w:t>Firm</w:t>
      </w:r>
      <w:r>
        <w:rPr>
          <w:bCs/>
        </w:rPr>
        <w:t xml:space="preserve">’s full plan by contacting the </w:t>
      </w:r>
      <w:r w:rsidR="00C0700E">
        <w:rPr>
          <w:bCs/>
        </w:rPr>
        <w:t>Firm</w:t>
      </w:r>
      <w:r w:rsidR="00FB7A72">
        <w:rPr>
          <w:bCs/>
        </w:rPr>
        <w:t>.</w:t>
      </w:r>
    </w:p>
    <w:p w14:paraId="184309AE" w14:textId="77777777" w:rsidR="000B7376" w:rsidRDefault="000B7376" w:rsidP="000B7376">
      <w:pPr>
        <w:pStyle w:val="NoSpacing"/>
      </w:pPr>
    </w:p>
    <w:p w14:paraId="5ED722FD" w14:textId="77777777" w:rsidR="000B7376" w:rsidRDefault="000B7376"/>
    <w:sectPr w:rsidR="000B7376" w:rsidSect="00296B24">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E605" w14:textId="77777777" w:rsidR="0052776D" w:rsidRDefault="0052776D">
      <w:r>
        <w:separator/>
      </w:r>
    </w:p>
  </w:endnote>
  <w:endnote w:type="continuationSeparator" w:id="0">
    <w:p w14:paraId="513C96A5" w14:textId="77777777" w:rsidR="0052776D" w:rsidRDefault="0052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4D22" w14:textId="77777777" w:rsidR="00BF1F98" w:rsidRDefault="00971CDD">
    <w:pPr>
      <w:pStyle w:val="Footer"/>
      <w:framePr w:wrap="around" w:vAnchor="text" w:hAnchor="margin" w:xAlign="center" w:y="1"/>
      <w:rPr>
        <w:rStyle w:val="PageNumber"/>
      </w:rPr>
    </w:pPr>
    <w:r>
      <w:rPr>
        <w:rStyle w:val="PageNumber"/>
      </w:rPr>
      <w:fldChar w:fldCharType="begin"/>
    </w:r>
    <w:r w:rsidR="00BF1F98">
      <w:rPr>
        <w:rStyle w:val="PageNumber"/>
      </w:rPr>
      <w:instrText xml:space="preserve">PAGE  </w:instrText>
    </w:r>
    <w:r>
      <w:rPr>
        <w:rStyle w:val="PageNumber"/>
      </w:rPr>
      <w:fldChar w:fldCharType="end"/>
    </w:r>
  </w:p>
  <w:p w14:paraId="4B28EA97" w14:textId="77777777" w:rsidR="00BF1F98" w:rsidRDefault="00BF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143A" w14:textId="77777777" w:rsidR="00BF1F98" w:rsidRDefault="00971CDD">
    <w:pPr>
      <w:pStyle w:val="Footer"/>
      <w:framePr w:wrap="around" w:vAnchor="text" w:hAnchor="margin" w:xAlign="center" w:y="1"/>
      <w:rPr>
        <w:rStyle w:val="PageNumber"/>
      </w:rPr>
    </w:pPr>
    <w:r>
      <w:rPr>
        <w:rStyle w:val="PageNumber"/>
      </w:rPr>
      <w:fldChar w:fldCharType="begin"/>
    </w:r>
    <w:r w:rsidR="00BF1F98">
      <w:rPr>
        <w:rStyle w:val="PageNumber"/>
      </w:rPr>
      <w:instrText xml:space="preserve">PAGE  </w:instrText>
    </w:r>
    <w:r>
      <w:rPr>
        <w:rStyle w:val="PageNumber"/>
      </w:rPr>
      <w:fldChar w:fldCharType="separate"/>
    </w:r>
    <w:r w:rsidR="0001000D">
      <w:rPr>
        <w:rStyle w:val="PageNumber"/>
        <w:noProof/>
      </w:rPr>
      <w:t>3</w:t>
    </w:r>
    <w:r>
      <w:rPr>
        <w:rStyle w:val="PageNumber"/>
      </w:rPr>
      <w:fldChar w:fldCharType="end"/>
    </w:r>
  </w:p>
  <w:p w14:paraId="50B89A02" w14:textId="77777777" w:rsidR="00BF1F98" w:rsidRDefault="00BF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22F4" w14:textId="77777777" w:rsidR="0052776D" w:rsidRDefault="0052776D">
      <w:r>
        <w:separator/>
      </w:r>
    </w:p>
  </w:footnote>
  <w:footnote w:type="continuationSeparator" w:id="0">
    <w:p w14:paraId="1C8A4E14" w14:textId="77777777" w:rsidR="0052776D" w:rsidRDefault="0052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AB"/>
    <w:multiLevelType w:val="multilevel"/>
    <w:tmpl w:val="C7324128"/>
    <w:lvl w:ilvl="0">
      <w:start w:val="7"/>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EC5B79"/>
    <w:multiLevelType w:val="multilevel"/>
    <w:tmpl w:val="F61C48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303CF"/>
    <w:multiLevelType w:val="hybridMultilevel"/>
    <w:tmpl w:val="A3AA2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01607"/>
    <w:multiLevelType w:val="multilevel"/>
    <w:tmpl w:val="6D1AEE16"/>
    <w:lvl w:ilvl="0">
      <w:start w:val="2"/>
      <w:numFmt w:val="decimal"/>
      <w:lvlText w:val="%1"/>
      <w:lvlJc w:val="left"/>
      <w:pPr>
        <w:ind w:left="360" w:hanging="360"/>
      </w:pPr>
      <w:rPr>
        <w:rFonts w:hint="default"/>
        <w:b/>
        <w:sz w:val="24"/>
        <w:u w:val="none"/>
      </w:rPr>
    </w:lvl>
    <w:lvl w:ilvl="1">
      <w:start w:val="1"/>
      <w:numFmt w:val="decimal"/>
      <w:lvlText w:val="%1.%2"/>
      <w:lvlJc w:val="left"/>
      <w:pPr>
        <w:ind w:left="360" w:hanging="360"/>
      </w:pPr>
      <w:rPr>
        <w:rFonts w:hint="default"/>
        <w:b/>
        <w:sz w:val="24"/>
        <w:u w:val="none"/>
      </w:rPr>
    </w:lvl>
    <w:lvl w:ilvl="2">
      <w:start w:val="1"/>
      <w:numFmt w:val="decimal"/>
      <w:lvlText w:val="%1.%2.%3"/>
      <w:lvlJc w:val="left"/>
      <w:pPr>
        <w:ind w:left="720" w:hanging="720"/>
      </w:pPr>
      <w:rPr>
        <w:rFonts w:hint="default"/>
        <w:b/>
        <w:sz w:val="24"/>
        <w:u w:val="none"/>
      </w:rPr>
    </w:lvl>
    <w:lvl w:ilvl="3">
      <w:start w:val="1"/>
      <w:numFmt w:val="decimal"/>
      <w:lvlText w:val="%1.%2.%3.%4"/>
      <w:lvlJc w:val="left"/>
      <w:pPr>
        <w:ind w:left="1080" w:hanging="1080"/>
      </w:pPr>
      <w:rPr>
        <w:rFonts w:hint="default"/>
        <w:b/>
        <w:sz w:val="24"/>
        <w:u w:val="none"/>
      </w:rPr>
    </w:lvl>
    <w:lvl w:ilvl="4">
      <w:start w:val="1"/>
      <w:numFmt w:val="decimal"/>
      <w:lvlText w:val="%1.%2.%3.%4.%5"/>
      <w:lvlJc w:val="left"/>
      <w:pPr>
        <w:ind w:left="1080" w:hanging="1080"/>
      </w:pPr>
      <w:rPr>
        <w:rFonts w:hint="default"/>
        <w:b/>
        <w:sz w:val="24"/>
        <w:u w:val="none"/>
      </w:rPr>
    </w:lvl>
    <w:lvl w:ilvl="5">
      <w:start w:val="1"/>
      <w:numFmt w:val="decimal"/>
      <w:lvlText w:val="%1.%2.%3.%4.%5.%6"/>
      <w:lvlJc w:val="left"/>
      <w:pPr>
        <w:ind w:left="1440" w:hanging="1440"/>
      </w:pPr>
      <w:rPr>
        <w:rFonts w:hint="default"/>
        <w:b/>
        <w:sz w:val="24"/>
        <w:u w:val="none"/>
      </w:rPr>
    </w:lvl>
    <w:lvl w:ilvl="6">
      <w:start w:val="1"/>
      <w:numFmt w:val="decimal"/>
      <w:lvlText w:val="%1.%2.%3.%4.%5.%6.%7"/>
      <w:lvlJc w:val="left"/>
      <w:pPr>
        <w:ind w:left="1440" w:hanging="1440"/>
      </w:pPr>
      <w:rPr>
        <w:rFonts w:hint="default"/>
        <w:b/>
        <w:sz w:val="24"/>
        <w:u w:val="none"/>
      </w:rPr>
    </w:lvl>
    <w:lvl w:ilvl="7">
      <w:start w:val="1"/>
      <w:numFmt w:val="decimal"/>
      <w:lvlText w:val="%1.%2.%3.%4.%5.%6.%7.%8"/>
      <w:lvlJc w:val="left"/>
      <w:pPr>
        <w:ind w:left="1800" w:hanging="1800"/>
      </w:pPr>
      <w:rPr>
        <w:rFonts w:hint="default"/>
        <w:b/>
        <w:sz w:val="24"/>
        <w:u w:val="none"/>
      </w:rPr>
    </w:lvl>
    <w:lvl w:ilvl="8">
      <w:start w:val="1"/>
      <w:numFmt w:val="decimal"/>
      <w:lvlText w:val="%1.%2.%3.%4.%5.%6.%7.%8.%9"/>
      <w:lvlJc w:val="left"/>
      <w:pPr>
        <w:ind w:left="2160" w:hanging="2160"/>
      </w:pPr>
      <w:rPr>
        <w:rFonts w:hint="default"/>
        <w:b/>
        <w:sz w:val="24"/>
        <w:u w:val="none"/>
      </w:rPr>
    </w:lvl>
  </w:abstractNum>
  <w:abstractNum w:abstractNumId="4" w15:restartNumberingAfterBreak="0">
    <w:nsid w:val="1852335A"/>
    <w:multiLevelType w:val="multilevel"/>
    <w:tmpl w:val="9A1230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20477AE2"/>
    <w:multiLevelType w:val="multilevel"/>
    <w:tmpl w:val="170219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002C5D"/>
    <w:multiLevelType w:val="multilevel"/>
    <w:tmpl w:val="5FD012D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237DB3"/>
    <w:multiLevelType w:val="multilevel"/>
    <w:tmpl w:val="30E41B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72B0A"/>
    <w:multiLevelType w:val="multilevel"/>
    <w:tmpl w:val="D8F4A04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E04D3B"/>
    <w:multiLevelType w:val="multilevel"/>
    <w:tmpl w:val="23745F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E175B7"/>
    <w:multiLevelType w:val="hybridMultilevel"/>
    <w:tmpl w:val="65E0A5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7E7CCF"/>
    <w:multiLevelType w:val="multilevel"/>
    <w:tmpl w:val="A9106446"/>
    <w:lvl w:ilvl="0">
      <w:start w:val="10"/>
      <w:numFmt w:val="decimal"/>
      <w:lvlText w:val="%1"/>
      <w:lvlJc w:val="left"/>
      <w:pPr>
        <w:ind w:left="420" w:hanging="420"/>
      </w:pPr>
      <w:rPr>
        <w:rFonts w:hint="default"/>
        <w:i/>
        <w:sz w:val="24"/>
      </w:rPr>
    </w:lvl>
    <w:lvl w:ilvl="1">
      <w:start w:val="1"/>
      <w:numFmt w:val="decimal"/>
      <w:lvlText w:val="%1.%2"/>
      <w:lvlJc w:val="left"/>
      <w:pPr>
        <w:ind w:left="420" w:hanging="4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13" w15:restartNumberingAfterBreak="0">
    <w:nsid w:val="54D23AE0"/>
    <w:multiLevelType w:val="hybridMultilevel"/>
    <w:tmpl w:val="CDFCD1B8"/>
    <w:lvl w:ilvl="0" w:tplc="12FC8DD6">
      <w:start w:val="1"/>
      <w:numFmt w:val="upperLetter"/>
      <w:lvlText w:val="%1."/>
      <w:lvlJc w:val="left"/>
      <w:pPr>
        <w:ind w:left="360" w:hanging="360"/>
      </w:pPr>
      <w:rPr>
        <w:rFonts w:hint="default"/>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EC54F2"/>
    <w:multiLevelType w:val="multilevel"/>
    <w:tmpl w:val="1AD0EA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5251504">
    <w:abstractNumId w:val="5"/>
  </w:num>
  <w:num w:numId="2" w16cid:durableId="1766029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7737115">
    <w:abstractNumId w:val="11"/>
  </w:num>
  <w:num w:numId="4" w16cid:durableId="1974209543">
    <w:abstractNumId w:val="2"/>
  </w:num>
  <w:num w:numId="5" w16cid:durableId="165051856">
    <w:abstractNumId w:val="6"/>
  </w:num>
  <w:num w:numId="6" w16cid:durableId="1427313856">
    <w:abstractNumId w:val="7"/>
  </w:num>
  <w:num w:numId="7" w16cid:durableId="717898734">
    <w:abstractNumId w:val="3"/>
  </w:num>
  <w:num w:numId="8" w16cid:durableId="1874070494">
    <w:abstractNumId w:val="8"/>
  </w:num>
  <w:num w:numId="9" w16cid:durableId="607540069">
    <w:abstractNumId w:val="13"/>
  </w:num>
  <w:num w:numId="10" w16cid:durableId="1214778201">
    <w:abstractNumId w:val="0"/>
  </w:num>
  <w:num w:numId="11" w16cid:durableId="1050155656">
    <w:abstractNumId w:val="10"/>
  </w:num>
  <w:num w:numId="12" w16cid:durableId="2013798247">
    <w:abstractNumId w:val="12"/>
  </w:num>
  <w:num w:numId="13" w16cid:durableId="697510911">
    <w:abstractNumId w:val="4"/>
  </w:num>
  <w:num w:numId="14" w16cid:durableId="682363654">
    <w:abstractNumId w:val="1"/>
  </w:num>
  <w:num w:numId="15" w16cid:durableId="1976332997">
    <w:abstractNumId w:val="9"/>
  </w:num>
  <w:num w:numId="16" w16cid:durableId="18750752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0A"/>
    <w:rsid w:val="00001954"/>
    <w:rsid w:val="000064CC"/>
    <w:rsid w:val="0001000D"/>
    <w:rsid w:val="000155B9"/>
    <w:rsid w:val="00046CFE"/>
    <w:rsid w:val="000633DB"/>
    <w:rsid w:val="000A1E64"/>
    <w:rsid w:val="000B7376"/>
    <w:rsid w:val="000C2237"/>
    <w:rsid w:val="000F66D7"/>
    <w:rsid w:val="00101152"/>
    <w:rsid w:val="001160D9"/>
    <w:rsid w:val="00166E42"/>
    <w:rsid w:val="001D68DB"/>
    <w:rsid w:val="001F0503"/>
    <w:rsid w:val="002030EB"/>
    <w:rsid w:val="00273D42"/>
    <w:rsid w:val="00275267"/>
    <w:rsid w:val="00277C61"/>
    <w:rsid w:val="00296B24"/>
    <w:rsid w:val="002B04E0"/>
    <w:rsid w:val="002B3FBC"/>
    <w:rsid w:val="00324EE4"/>
    <w:rsid w:val="00334C6C"/>
    <w:rsid w:val="00352DFB"/>
    <w:rsid w:val="003B3E91"/>
    <w:rsid w:val="003E4863"/>
    <w:rsid w:val="003F79D7"/>
    <w:rsid w:val="00433116"/>
    <w:rsid w:val="0045074B"/>
    <w:rsid w:val="004708F6"/>
    <w:rsid w:val="0047454D"/>
    <w:rsid w:val="004819A2"/>
    <w:rsid w:val="0048693F"/>
    <w:rsid w:val="00497392"/>
    <w:rsid w:val="004D7639"/>
    <w:rsid w:val="004F2A13"/>
    <w:rsid w:val="005154D0"/>
    <w:rsid w:val="00522A08"/>
    <w:rsid w:val="00522A86"/>
    <w:rsid w:val="0052776D"/>
    <w:rsid w:val="00530BD5"/>
    <w:rsid w:val="00533A5B"/>
    <w:rsid w:val="00544BDC"/>
    <w:rsid w:val="005A7284"/>
    <w:rsid w:val="005E129E"/>
    <w:rsid w:val="00600B8F"/>
    <w:rsid w:val="00640FAD"/>
    <w:rsid w:val="00662045"/>
    <w:rsid w:val="006E70E7"/>
    <w:rsid w:val="00707719"/>
    <w:rsid w:val="007454B3"/>
    <w:rsid w:val="00745ED1"/>
    <w:rsid w:val="00783909"/>
    <w:rsid w:val="00783C78"/>
    <w:rsid w:val="00784347"/>
    <w:rsid w:val="007C5ACC"/>
    <w:rsid w:val="007C67C7"/>
    <w:rsid w:val="007D49BD"/>
    <w:rsid w:val="007E43EB"/>
    <w:rsid w:val="007F00C2"/>
    <w:rsid w:val="007F0CEE"/>
    <w:rsid w:val="007F72A6"/>
    <w:rsid w:val="008003A4"/>
    <w:rsid w:val="00813DBF"/>
    <w:rsid w:val="0082750A"/>
    <w:rsid w:val="00846DD9"/>
    <w:rsid w:val="008476CB"/>
    <w:rsid w:val="00853AC0"/>
    <w:rsid w:val="00886633"/>
    <w:rsid w:val="008B1307"/>
    <w:rsid w:val="008C5B91"/>
    <w:rsid w:val="00913D11"/>
    <w:rsid w:val="009151CB"/>
    <w:rsid w:val="00955B1C"/>
    <w:rsid w:val="00966868"/>
    <w:rsid w:val="00971CDD"/>
    <w:rsid w:val="009970C9"/>
    <w:rsid w:val="009A5FA4"/>
    <w:rsid w:val="009B356D"/>
    <w:rsid w:val="009D03CC"/>
    <w:rsid w:val="009D55CE"/>
    <w:rsid w:val="009F3C74"/>
    <w:rsid w:val="00A54690"/>
    <w:rsid w:val="00A62E2D"/>
    <w:rsid w:val="00A73A99"/>
    <w:rsid w:val="00A9152D"/>
    <w:rsid w:val="00A92FFD"/>
    <w:rsid w:val="00A93CC7"/>
    <w:rsid w:val="00AB1C2B"/>
    <w:rsid w:val="00AD2862"/>
    <w:rsid w:val="00AE6E1C"/>
    <w:rsid w:val="00B0446D"/>
    <w:rsid w:val="00B13F22"/>
    <w:rsid w:val="00B1508D"/>
    <w:rsid w:val="00B44A77"/>
    <w:rsid w:val="00B51D8A"/>
    <w:rsid w:val="00BA0291"/>
    <w:rsid w:val="00BA0B7F"/>
    <w:rsid w:val="00BA245B"/>
    <w:rsid w:val="00BA2CB6"/>
    <w:rsid w:val="00BA7E9C"/>
    <w:rsid w:val="00BC6B95"/>
    <w:rsid w:val="00BE00DE"/>
    <w:rsid w:val="00BF0E2A"/>
    <w:rsid w:val="00BF1F98"/>
    <w:rsid w:val="00BF256A"/>
    <w:rsid w:val="00C03E1F"/>
    <w:rsid w:val="00C04EB4"/>
    <w:rsid w:val="00C0700E"/>
    <w:rsid w:val="00C139E7"/>
    <w:rsid w:val="00C21474"/>
    <w:rsid w:val="00C336FE"/>
    <w:rsid w:val="00C36E8A"/>
    <w:rsid w:val="00C54BAB"/>
    <w:rsid w:val="00CD5B52"/>
    <w:rsid w:val="00CF03B8"/>
    <w:rsid w:val="00CF3758"/>
    <w:rsid w:val="00D22632"/>
    <w:rsid w:val="00D24A0F"/>
    <w:rsid w:val="00D25446"/>
    <w:rsid w:val="00D3299F"/>
    <w:rsid w:val="00D52C86"/>
    <w:rsid w:val="00D66250"/>
    <w:rsid w:val="00D80AB9"/>
    <w:rsid w:val="00D97973"/>
    <w:rsid w:val="00DB78BC"/>
    <w:rsid w:val="00E039D9"/>
    <w:rsid w:val="00E3456E"/>
    <w:rsid w:val="00E47016"/>
    <w:rsid w:val="00E57CD8"/>
    <w:rsid w:val="00EE3DC6"/>
    <w:rsid w:val="00EE73B8"/>
    <w:rsid w:val="00EE7904"/>
    <w:rsid w:val="00F05D80"/>
    <w:rsid w:val="00F20FD0"/>
    <w:rsid w:val="00F251F3"/>
    <w:rsid w:val="00F35367"/>
    <w:rsid w:val="00F555DC"/>
    <w:rsid w:val="00F6427A"/>
    <w:rsid w:val="00F8213F"/>
    <w:rsid w:val="00F829CF"/>
    <w:rsid w:val="00FA1DC4"/>
    <w:rsid w:val="00FB7A72"/>
    <w:rsid w:val="00FC3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3078F"/>
  <w15:docId w15:val="{8691F32E-CD3A-4194-885C-3495D35F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C78"/>
    <w:rPr>
      <w:sz w:val="24"/>
      <w:szCs w:val="24"/>
    </w:rPr>
  </w:style>
  <w:style w:type="paragraph" w:styleId="Heading1">
    <w:name w:val="heading 1"/>
    <w:basedOn w:val="Normal"/>
    <w:qFormat/>
    <w:rsid w:val="00783C78"/>
    <w:pPr>
      <w:numPr>
        <w:numId w:val="1"/>
      </w:numPr>
      <w:spacing w:after="120"/>
      <w:outlineLvl w:val="0"/>
    </w:pPr>
    <w:rPr>
      <w:b/>
      <w:bCs/>
      <w:sz w:val="28"/>
      <w:szCs w:val="20"/>
      <w:u w:val="single"/>
    </w:rPr>
  </w:style>
  <w:style w:type="paragraph" w:styleId="Heading2">
    <w:name w:val="heading 2"/>
    <w:basedOn w:val="Normal"/>
    <w:qFormat/>
    <w:rsid w:val="00783C78"/>
    <w:pPr>
      <w:numPr>
        <w:ilvl w:val="1"/>
        <w:numId w:val="1"/>
      </w:numPr>
      <w:spacing w:after="120"/>
      <w:outlineLvl w:val="1"/>
    </w:pPr>
    <w:rPr>
      <w:bCs/>
      <w:sz w:val="28"/>
      <w:szCs w:val="20"/>
      <w:u w:val="single"/>
    </w:rPr>
  </w:style>
  <w:style w:type="paragraph" w:styleId="Heading3">
    <w:name w:val="heading 3"/>
    <w:basedOn w:val="Normal"/>
    <w:qFormat/>
    <w:rsid w:val="00783C78"/>
    <w:pPr>
      <w:numPr>
        <w:ilvl w:val="2"/>
        <w:numId w:val="1"/>
      </w:numPr>
      <w:spacing w:after="240"/>
      <w:outlineLvl w:val="2"/>
    </w:pPr>
    <w:rPr>
      <w:b/>
      <w:bCs/>
      <w:szCs w:val="20"/>
    </w:rPr>
  </w:style>
  <w:style w:type="paragraph" w:styleId="Heading4">
    <w:name w:val="heading 4"/>
    <w:basedOn w:val="Normal"/>
    <w:qFormat/>
    <w:rsid w:val="00783C78"/>
    <w:pPr>
      <w:numPr>
        <w:ilvl w:val="3"/>
        <w:numId w:val="1"/>
      </w:numPr>
      <w:spacing w:after="240"/>
      <w:outlineLvl w:val="3"/>
    </w:pPr>
    <w:rPr>
      <w:sz w:val="28"/>
      <w:szCs w:val="20"/>
    </w:rPr>
  </w:style>
  <w:style w:type="paragraph" w:styleId="Heading5">
    <w:name w:val="heading 5"/>
    <w:basedOn w:val="Normal"/>
    <w:qFormat/>
    <w:rsid w:val="00783C78"/>
    <w:pPr>
      <w:numPr>
        <w:ilvl w:val="4"/>
        <w:numId w:val="1"/>
      </w:numPr>
      <w:spacing w:after="240"/>
      <w:outlineLvl w:val="4"/>
    </w:pPr>
    <w:rPr>
      <w:szCs w:val="20"/>
    </w:rPr>
  </w:style>
  <w:style w:type="paragraph" w:styleId="Heading6">
    <w:name w:val="heading 6"/>
    <w:basedOn w:val="Normal"/>
    <w:qFormat/>
    <w:rsid w:val="00783C78"/>
    <w:pPr>
      <w:numPr>
        <w:ilvl w:val="5"/>
        <w:numId w:val="1"/>
      </w:numPr>
      <w:spacing w:after="240"/>
      <w:outlineLvl w:val="5"/>
    </w:pPr>
    <w:rPr>
      <w:szCs w:val="20"/>
    </w:rPr>
  </w:style>
  <w:style w:type="paragraph" w:styleId="Heading7">
    <w:name w:val="heading 7"/>
    <w:basedOn w:val="Normal"/>
    <w:qFormat/>
    <w:rsid w:val="00783C78"/>
    <w:pPr>
      <w:numPr>
        <w:ilvl w:val="6"/>
        <w:numId w:val="1"/>
      </w:numPr>
      <w:spacing w:after="240"/>
      <w:outlineLvl w:val="6"/>
    </w:pPr>
    <w:rPr>
      <w:szCs w:val="20"/>
    </w:rPr>
  </w:style>
  <w:style w:type="paragraph" w:styleId="Heading8">
    <w:name w:val="heading 8"/>
    <w:basedOn w:val="Normal"/>
    <w:qFormat/>
    <w:rsid w:val="00783C78"/>
    <w:pPr>
      <w:numPr>
        <w:ilvl w:val="7"/>
        <w:numId w:val="1"/>
      </w:numPr>
      <w:spacing w:after="240"/>
      <w:outlineLvl w:val="7"/>
    </w:pPr>
    <w:rPr>
      <w:szCs w:val="20"/>
    </w:rPr>
  </w:style>
  <w:style w:type="paragraph" w:styleId="Heading9">
    <w:name w:val="heading 9"/>
    <w:basedOn w:val="Normal"/>
    <w:next w:val="Normal"/>
    <w:qFormat/>
    <w:rsid w:val="00783C78"/>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783C78"/>
    <w:pPr>
      <w:ind w:left="240" w:hanging="240"/>
    </w:pPr>
  </w:style>
  <w:style w:type="paragraph" w:styleId="IndexHeading">
    <w:name w:val="index heading"/>
    <w:basedOn w:val="Normal"/>
    <w:next w:val="Index1"/>
    <w:semiHidden/>
    <w:rsid w:val="00783C78"/>
    <w:rPr>
      <w:b/>
      <w:szCs w:val="20"/>
    </w:rPr>
  </w:style>
  <w:style w:type="paragraph" w:styleId="BodyText">
    <w:name w:val="Body Text"/>
    <w:basedOn w:val="Normal"/>
    <w:link w:val="BodyTextChar"/>
    <w:rsid w:val="00783C78"/>
    <w:pPr>
      <w:spacing w:after="240"/>
      <w:ind w:firstLine="1440"/>
    </w:pPr>
    <w:rPr>
      <w:szCs w:val="20"/>
    </w:rPr>
  </w:style>
  <w:style w:type="paragraph" w:customStyle="1" w:styleId="TitleCover">
    <w:name w:val="Title Cover"/>
    <w:basedOn w:val="Normal"/>
    <w:next w:val="Normal"/>
    <w:rsid w:val="00783C78"/>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783C78"/>
    <w:pPr>
      <w:tabs>
        <w:tab w:val="center" w:pos="4320"/>
        <w:tab w:val="right" w:pos="8640"/>
      </w:tabs>
    </w:pPr>
  </w:style>
  <w:style w:type="paragraph" w:styleId="Footer">
    <w:name w:val="footer"/>
    <w:basedOn w:val="Normal"/>
    <w:rsid w:val="00783C78"/>
    <w:pPr>
      <w:tabs>
        <w:tab w:val="center" w:pos="4320"/>
        <w:tab w:val="right" w:pos="8640"/>
      </w:tabs>
    </w:pPr>
  </w:style>
  <w:style w:type="character" w:styleId="Hyperlink">
    <w:name w:val="Hyperlink"/>
    <w:basedOn w:val="DefaultParagraphFont"/>
    <w:rsid w:val="00783C78"/>
    <w:rPr>
      <w:color w:val="0000FF"/>
      <w:u w:val="single"/>
    </w:rPr>
  </w:style>
  <w:style w:type="paragraph" w:styleId="BodyText2">
    <w:name w:val="Body Text 2"/>
    <w:basedOn w:val="Normal"/>
    <w:rsid w:val="00783C78"/>
    <w:rPr>
      <w:bCs/>
      <w:i/>
      <w:iCs/>
    </w:rPr>
  </w:style>
  <w:style w:type="paragraph" w:styleId="BodyTextIndent">
    <w:name w:val="Body Text Indent"/>
    <w:basedOn w:val="Normal"/>
    <w:rsid w:val="00783C78"/>
    <w:pPr>
      <w:ind w:left="1080"/>
    </w:pPr>
    <w:rPr>
      <w:bCs/>
      <w:i/>
      <w:iCs/>
    </w:rPr>
  </w:style>
  <w:style w:type="character" w:styleId="FollowedHyperlink">
    <w:name w:val="FollowedHyperlink"/>
    <w:basedOn w:val="DefaultParagraphFont"/>
    <w:rsid w:val="00783C78"/>
    <w:rPr>
      <w:color w:val="800080"/>
      <w:u w:val="single"/>
    </w:rPr>
  </w:style>
  <w:style w:type="paragraph" w:styleId="HTMLPreformatted">
    <w:name w:val="HTML Preformatted"/>
    <w:basedOn w:val="Normal"/>
    <w:rsid w:val="0078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783C78"/>
  </w:style>
  <w:style w:type="paragraph" w:styleId="BodyText3">
    <w:name w:val="Body Text 3"/>
    <w:basedOn w:val="Normal"/>
    <w:rsid w:val="00783C78"/>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783C78"/>
    <w:pPr>
      <w:spacing w:before="100" w:beforeAutospacing="1" w:after="100" w:afterAutospacing="1"/>
      <w:ind w:left="480"/>
    </w:pPr>
    <w:rPr>
      <w:rFonts w:ascii="Arial Unicode MS" w:eastAsia="Arial Unicode MS"/>
    </w:rPr>
  </w:style>
  <w:style w:type="paragraph" w:styleId="NormalWeb">
    <w:name w:val="Normal (Web)"/>
    <w:basedOn w:val="Normal"/>
    <w:rsid w:val="00783C78"/>
    <w:pPr>
      <w:spacing w:before="100" w:beforeAutospacing="1" w:after="100" w:afterAutospacing="1"/>
    </w:pPr>
    <w:rPr>
      <w:rFonts w:ascii="Arial Unicode MS" w:eastAsia="Arial Unicode MS"/>
    </w:rPr>
  </w:style>
  <w:style w:type="paragraph" w:styleId="TOC1">
    <w:name w:val="toc 1"/>
    <w:basedOn w:val="Normal"/>
    <w:next w:val="Normal"/>
    <w:semiHidden/>
    <w:rsid w:val="00783C78"/>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783C78"/>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783C78"/>
    <w:rPr>
      <w:sz w:val="20"/>
      <w:szCs w:val="20"/>
    </w:rPr>
  </w:style>
  <w:style w:type="character" w:styleId="FootnoteReference">
    <w:name w:val="footnote reference"/>
    <w:basedOn w:val="DefaultParagraphFont"/>
    <w:semiHidden/>
    <w:rsid w:val="00783C78"/>
    <w:rPr>
      <w:vertAlign w:val="superscript"/>
    </w:rPr>
  </w:style>
  <w:style w:type="character" w:styleId="CommentReference">
    <w:name w:val="annotation reference"/>
    <w:basedOn w:val="DefaultParagraphFont"/>
    <w:semiHidden/>
    <w:rsid w:val="00783C78"/>
    <w:rPr>
      <w:sz w:val="16"/>
      <w:szCs w:val="16"/>
    </w:rPr>
  </w:style>
  <w:style w:type="paragraph" w:styleId="CommentText">
    <w:name w:val="annotation text"/>
    <w:basedOn w:val="Normal"/>
    <w:semiHidden/>
    <w:rsid w:val="00783C78"/>
    <w:rPr>
      <w:sz w:val="20"/>
      <w:szCs w:val="20"/>
    </w:rPr>
  </w:style>
  <w:style w:type="paragraph" w:styleId="BodyTextIndent2">
    <w:name w:val="Body Text Indent 2"/>
    <w:basedOn w:val="Normal"/>
    <w:rsid w:val="00783C78"/>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783C78"/>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783C78"/>
    <w:pPr>
      <w:ind w:left="720" w:right="720"/>
    </w:pPr>
  </w:style>
  <w:style w:type="paragraph" w:styleId="BalloonText">
    <w:name w:val="Balloon Text"/>
    <w:basedOn w:val="Normal"/>
    <w:semiHidden/>
    <w:rsid w:val="00C139E7"/>
    <w:rPr>
      <w:rFonts w:ascii="Tahoma" w:hAnsi="Tahoma" w:cs="Tahoma"/>
      <w:sz w:val="16"/>
      <w:szCs w:val="16"/>
    </w:rPr>
  </w:style>
  <w:style w:type="character" w:customStyle="1" w:styleId="brother1">
    <w:name w:val="brother1"/>
    <w:basedOn w:val="DefaultParagraphFont"/>
    <w:rsid w:val="000A1E64"/>
    <w:rPr>
      <w:rFonts w:ascii="Verdana" w:hAnsi="Verdana" w:hint="default"/>
      <w:b w:val="0"/>
      <w:bCs w:val="0"/>
      <w:color w:val="000000"/>
      <w:sz w:val="20"/>
      <w:szCs w:val="20"/>
    </w:rPr>
  </w:style>
  <w:style w:type="character" w:customStyle="1" w:styleId="BodyTextChar">
    <w:name w:val="Body Text Char"/>
    <w:basedOn w:val="DefaultParagraphFont"/>
    <w:link w:val="BodyText"/>
    <w:rsid w:val="000B7376"/>
    <w:rPr>
      <w:sz w:val="24"/>
    </w:rPr>
  </w:style>
  <w:style w:type="paragraph" w:styleId="NoSpacing">
    <w:name w:val="No Spacing"/>
    <w:uiPriority w:val="1"/>
    <w:qFormat/>
    <w:rsid w:val="000B7376"/>
    <w:rPr>
      <w:sz w:val="24"/>
      <w:szCs w:val="24"/>
    </w:rPr>
  </w:style>
  <w:style w:type="paragraph" w:styleId="ListParagraph">
    <w:name w:val="List Paragraph"/>
    <w:basedOn w:val="Normal"/>
    <w:uiPriority w:val="34"/>
    <w:qFormat/>
    <w:rsid w:val="000633DB"/>
    <w:pPr>
      <w:ind w:left="720"/>
      <w:contextualSpacing/>
    </w:pPr>
  </w:style>
  <w:style w:type="character" w:customStyle="1" w:styleId="us">
    <w:name w:val="us"/>
    <w:basedOn w:val="DefaultParagraphFont"/>
    <w:rsid w:val="00E3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efilippo8@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finop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AED7-9361-4A0E-A035-ECDEECD9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Microsoft</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www.luxorbd.com</dc:creator>
  <cp:lastModifiedBy>Nammie Nantasupawatana</cp:lastModifiedBy>
  <cp:revision>2</cp:revision>
  <cp:lastPrinted>2007-08-30T15:09:00Z</cp:lastPrinted>
  <dcterms:created xsi:type="dcterms:W3CDTF">2023-11-30T10:58:00Z</dcterms:created>
  <dcterms:modified xsi:type="dcterms:W3CDTF">2023-11-30T10:58:00Z</dcterms:modified>
</cp:coreProperties>
</file>