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72B3" w14:textId="7A67B49E" w:rsidR="002927C3" w:rsidRDefault="00F3388E" w:rsidP="006944EC">
      <w:pPr>
        <w:jc w:val="center"/>
        <w:rPr>
          <w:rFonts w:ascii="Calibri" w:hAnsi="Calibri" w:cs="Calibri"/>
          <w:b/>
          <w:bCs/>
        </w:rPr>
      </w:pPr>
      <w:r w:rsidRPr="00B92CC9">
        <w:rPr>
          <w:rFonts w:ascii="Calibri" w:hAnsi="Calibri" w:cs="Calibri"/>
          <w:b/>
          <w:bCs/>
        </w:rPr>
        <w:t>Producer Compensation Disclosure &amp; Requirements</w:t>
      </w:r>
    </w:p>
    <w:p w14:paraId="77890815" w14:textId="5F08030A" w:rsidR="00E87C37" w:rsidRDefault="00E87C37" w:rsidP="006944EC">
      <w:pPr>
        <w:jc w:val="center"/>
        <w:rPr>
          <w:rFonts w:ascii="Calibri" w:hAnsi="Calibri" w:cs="Calibri"/>
          <w:b/>
          <w:bCs/>
        </w:rPr>
      </w:pPr>
    </w:p>
    <w:p w14:paraId="6060C79D" w14:textId="77777777" w:rsidR="00E927B2" w:rsidRDefault="00E87C37" w:rsidP="006944E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When you enroll through DiVirgilio Benefit Resources, </w:t>
      </w:r>
      <w:r w:rsidR="00E927B2">
        <w:rPr>
          <w:rFonts w:ascii="Calibri" w:hAnsi="Calibri" w:cs="Calibri"/>
          <w:b/>
          <w:bCs/>
        </w:rPr>
        <w:t xml:space="preserve">there is no cost to you.  </w:t>
      </w:r>
    </w:p>
    <w:p w14:paraId="516988BF" w14:textId="589ED511" w:rsidR="00E87C37" w:rsidRDefault="00E927B2" w:rsidP="006944E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DiVirgilio Benefit Resources is compensated by the carriers that it is licensed with. </w:t>
      </w:r>
    </w:p>
    <w:p w14:paraId="1651E79C" w14:textId="77777777" w:rsidR="002927C3" w:rsidRDefault="002927C3" w:rsidP="002927C3">
      <w:pPr>
        <w:rPr>
          <w:rFonts w:ascii="Calibri" w:hAnsi="Calibri" w:cs="Calibri"/>
          <w:b/>
          <w:bCs/>
        </w:rPr>
      </w:pPr>
    </w:p>
    <w:p w14:paraId="50B1E9F0" w14:textId="2E7B101B" w:rsidR="002927C3" w:rsidRPr="00B92CC9" w:rsidRDefault="002927C3" w:rsidP="002927C3">
      <w:pPr>
        <w:rPr>
          <w:rFonts w:eastAsia="Times New Roman" w:cstheme="minorHAnsi"/>
        </w:rPr>
      </w:pPr>
      <w:r w:rsidRPr="00B92CC9">
        <w:rPr>
          <w:rFonts w:eastAsia="Times New Roman" w:cstheme="minorHAnsi"/>
          <w:color w:val="000000"/>
          <w:shd w:val="clear" w:color="auto" w:fill="FFFFFF"/>
        </w:rPr>
        <w:t xml:space="preserve">Below </w:t>
      </w:r>
      <w:r w:rsidR="006944EC">
        <w:rPr>
          <w:rFonts w:eastAsia="Times New Roman" w:cstheme="minorHAnsi"/>
          <w:color w:val="000000"/>
          <w:shd w:val="clear" w:color="auto" w:fill="FFFFFF"/>
        </w:rPr>
        <w:t>are</w:t>
      </w:r>
      <w:r>
        <w:rPr>
          <w:rFonts w:eastAsia="Times New Roman" w:cstheme="minorHAnsi"/>
          <w:color w:val="000000"/>
          <w:shd w:val="clear" w:color="auto" w:fill="FFFFFF"/>
        </w:rPr>
        <w:t xml:space="preserve"> producer educational and licensing requirements with links </w:t>
      </w:r>
      <w:r w:rsidRPr="00B92CC9">
        <w:rPr>
          <w:rFonts w:eastAsia="Times New Roman" w:cstheme="minorHAnsi"/>
          <w:color w:val="000000"/>
          <w:shd w:val="clear" w:color="auto" w:fill="FFFFFF"/>
        </w:rPr>
        <w:t xml:space="preserve">containing the amounts that companies pay independent agents/brokers to sell their Medicare drug and health plans. Companies that contract with Medicare to provide health care coverage or prescription drugs typically use agents/brokers to </w:t>
      </w:r>
      <w:r>
        <w:rPr>
          <w:rFonts w:eastAsia="Times New Roman" w:cstheme="minorHAnsi"/>
          <w:color w:val="000000"/>
          <w:shd w:val="clear" w:color="auto" w:fill="FFFFFF"/>
        </w:rPr>
        <w:t>educate and serve consumers</w:t>
      </w:r>
      <w:r w:rsidRPr="00B92CC9">
        <w:rPr>
          <w:rFonts w:eastAsia="Times New Roman" w:cstheme="minorHAnsi"/>
          <w:color w:val="000000"/>
          <w:shd w:val="clear" w:color="auto" w:fill="FFFFFF"/>
        </w:rPr>
        <w:t>. Sometimes these agents/brokers are employees of the contracted company. In other situations, the companies hire independent agents/brokers who are not employees to sell</w:t>
      </w:r>
      <w:r>
        <w:rPr>
          <w:rFonts w:eastAsia="Times New Roman" w:cstheme="minorHAnsi"/>
          <w:color w:val="000000"/>
          <w:shd w:val="clear" w:color="auto" w:fill="FFFFFF"/>
        </w:rPr>
        <w:t>, educate &amp; service</w:t>
      </w:r>
      <w:r w:rsidRPr="00B92CC9">
        <w:rPr>
          <w:rFonts w:eastAsia="Times New Roman" w:cstheme="minorHAnsi"/>
          <w:color w:val="000000"/>
          <w:shd w:val="clear" w:color="auto" w:fill="FFFFFF"/>
        </w:rPr>
        <w:t xml:space="preserve"> the companies' Medicare plans.</w:t>
      </w:r>
    </w:p>
    <w:p w14:paraId="50F62CE7" w14:textId="378D30EC" w:rsidR="00F3388E" w:rsidRPr="00F3388E" w:rsidRDefault="00F3388E" w:rsidP="00F3388E">
      <w:pPr>
        <w:spacing w:before="150" w:after="150"/>
        <w:rPr>
          <w:rFonts w:ascii="Calibri" w:eastAsia="Times New Roman" w:hAnsi="Calibri" w:cs="Calibri"/>
          <w:color w:val="333333"/>
        </w:rPr>
      </w:pPr>
      <w:r w:rsidRPr="00F3388E">
        <w:rPr>
          <w:rFonts w:ascii="Calibri" w:eastAsia="Times New Roman" w:hAnsi="Calibri" w:cs="Calibri"/>
          <w:b/>
          <w:bCs/>
          <w:i/>
          <w:iCs/>
          <w:color w:val="333333"/>
        </w:rPr>
        <w:t>Agent/broker requirements.</w:t>
      </w:r>
      <w:r w:rsidRPr="00F3388E">
        <w:rPr>
          <w:rFonts w:ascii="Calibri" w:eastAsia="Times New Roman" w:hAnsi="Calibri" w:cs="Calibri"/>
          <w:color w:val="333333"/>
        </w:rPr>
        <w:t> Agents and brokers who represent </w:t>
      </w:r>
      <w:hyperlink r:id="rId4" w:history="1">
        <w:r w:rsidRPr="00F3388E">
          <w:rPr>
            <w:rFonts w:ascii="Calibri" w:eastAsia="Times New Roman" w:hAnsi="Calibri" w:cs="Calibri"/>
            <w:color w:val="0068AC"/>
            <w:u w:val="single"/>
          </w:rPr>
          <w:t>MA organizations</w:t>
        </w:r>
      </w:hyperlink>
      <w:r w:rsidRPr="00F3388E">
        <w:rPr>
          <w:rFonts w:ascii="Calibri" w:eastAsia="Times New Roman" w:hAnsi="Calibri" w:cs="Calibri"/>
          <w:color w:val="333333"/>
        </w:rPr>
        <w:t xml:space="preserve"> must follow the requirements </w:t>
      </w:r>
      <w:r w:rsidR="00B92CC9">
        <w:rPr>
          <w:rFonts w:ascii="Calibri" w:eastAsia="Times New Roman" w:hAnsi="Calibri" w:cs="Calibri"/>
          <w:color w:val="333333"/>
        </w:rPr>
        <w:t>below in order to be licensed and represent an insurance carrier</w:t>
      </w:r>
      <w:r w:rsidRPr="00F3388E">
        <w:rPr>
          <w:rFonts w:ascii="Calibri" w:eastAsia="Times New Roman" w:hAnsi="Calibri" w:cs="Calibri"/>
          <w:color w:val="333333"/>
        </w:rPr>
        <w:t>. Representation includes selling products (including Medicare Advantage plans, Medicare Advantage-Prescription Drug plans, Medicare</w:t>
      </w:r>
      <w:r w:rsidR="002927C3">
        <w:rPr>
          <w:rFonts w:ascii="Calibri" w:eastAsia="Times New Roman" w:hAnsi="Calibri" w:cs="Calibri"/>
          <w:color w:val="333333"/>
        </w:rPr>
        <w:t xml:space="preserve"> </w:t>
      </w:r>
      <w:r w:rsidRPr="00F3388E">
        <w:rPr>
          <w:rFonts w:ascii="Calibri" w:eastAsia="Times New Roman" w:hAnsi="Calibri" w:cs="Calibri"/>
          <w:color w:val="333333"/>
        </w:rPr>
        <w:t>Prescription Drug plans, and section 1876 Cost plans) as well as outreach to existing or potential beneficiaries and answering or potentially answering questions from existing or potential beneficiaries.</w:t>
      </w:r>
    </w:p>
    <w:p w14:paraId="0F256BD1" w14:textId="77777777" w:rsidR="00F3388E" w:rsidRPr="00F3388E" w:rsidRDefault="00F3388E" w:rsidP="00F3388E">
      <w:pPr>
        <w:spacing w:after="150"/>
        <w:ind w:left="240"/>
        <w:rPr>
          <w:rFonts w:ascii="Calibri" w:eastAsia="Times New Roman" w:hAnsi="Calibri" w:cs="Calibri"/>
          <w:color w:val="333333"/>
        </w:rPr>
      </w:pPr>
      <w:r w:rsidRPr="00F3388E">
        <w:rPr>
          <w:rFonts w:ascii="Calibri" w:eastAsia="Times New Roman" w:hAnsi="Calibri" w:cs="Calibri"/>
          <w:b/>
          <w:bCs/>
          <w:color w:val="333333"/>
        </w:rPr>
        <w:t>(1)</w:t>
      </w:r>
      <w:r w:rsidRPr="00F3388E">
        <w:rPr>
          <w:rFonts w:ascii="Calibri" w:eastAsia="Times New Roman" w:hAnsi="Calibri" w:cs="Calibri"/>
          <w:color w:val="333333"/>
        </w:rPr>
        <w:t> Be licensed and appointed under State law (if required under applicable State law).</w:t>
      </w:r>
    </w:p>
    <w:p w14:paraId="29A5F8DC" w14:textId="00661941" w:rsidR="00F3388E" w:rsidRPr="00F3388E" w:rsidRDefault="00F3388E" w:rsidP="00F3388E">
      <w:pPr>
        <w:spacing w:after="150"/>
        <w:ind w:left="240"/>
        <w:rPr>
          <w:rFonts w:ascii="Calibri" w:eastAsia="Times New Roman" w:hAnsi="Calibri" w:cs="Calibri"/>
          <w:color w:val="333333"/>
        </w:rPr>
      </w:pPr>
      <w:r w:rsidRPr="00F3388E">
        <w:rPr>
          <w:rFonts w:ascii="Calibri" w:eastAsia="Times New Roman" w:hAnsi="Calibri" w:cs="Calibri"/>
          <w:b/>
          <w:bCs/>
          <w:color w:val="333333"/>
        </w:rPr>
        <w:t>(2)</w:t>
      </w:r>
      <w:r w:rsidRPr="00F3388E">
        <w:rPr>
          <w:rFonts w:ascii="Calibri" w:eastAsia="Times New Roman" w:hAnsi="Calibri" w:cs="Calibri"/>
          <w:color w:val="333333"/>
        </w:rPr>
        <w:t> Be trained and tested annually as required under </w:t>
      </w:r>
      <w:hyperlink r:id="rId5" w:anchor="c_4" w:history="1">
        <w:r w:rsidRPr="00F3388E">
          <w:rPr>
            <w:rFonts w:ascii="Calibri" w:eastAsia="Times New Roman" w:hAnsi="Calibri" w:cs="Calibri"/>
            <w:color w:val="0068AC"/>
            <w:u w:val="single"/>
          </w:rPr>
          <w:t>paragraph (c)(4)</w:t>
        </w:r>
      </w:hyperlink>
      <w:r w:rsidRPr="00F3388E">
        <w:rPr>
          <w:rFonts w:ascii="Calibri" w:eastAsia="Times New Roman" w:hAnsi="Calibri" w:cs="Calibri"/>
          <w:color w:val="333333"/>
        </w:rPr>
        <w:t xml:space="preserve"> of this </w:t>
      </w:r>
      <w:r w:rsidR="00B92CC9" w:rsidRPr="00F3388E">
        <w:rPr>
          <w:rFonts w:ascii="Calibri" w:eastAsia="Times New Roman" w:hAnsi="Calibri" w:cs="Calibri"/>
          <w:color w:val="333333"/>
        </w:rPr>
        <w:t>section and</w:t>
      </w:r>
      <w:r w:rsidRPr="00F3388E">
        <w:rPr>
          <w:rFonts w:ascii="Calibri" w:eastAsia="Times New Roman" w:hAnsi="Calibri" w:cs="Calibri"/>
          <w:color w:val="333333"/>
        </w:rPr>
        <w:t xml:space="preserve"> achieve an 85 percent or higher on all forms of testing.</w:t>
      </w:r>
    </w:p>
    <w:p w14:paraId="5F48D1C8" w14:textId="77777777" w:rsidR="00F3388E" w:rsidRPr="00F3388E" w:rsidRDefault="00F3388E" w:rsidP="00F3388E">
      <w:pPr>
        <w:spacing w:after="150"/>
        <w:ind w:left="240"/>
        <w:rPr>
          <w:rFonts w:ascii="Calibri" w:eastAsia="Times New Roman" w:hAnsi="Calibri" w:cs="Calibri"/>
          <w:color w:val="333333"/>
        </w:rPr>
      </w:pPr>
      <w:r w:rsidRPr="00F3388E">
        <w:rPr>
          <w:rFonts w:ascii="Calibri" w:eastAsia="Times New Roman" w:hAnsi="Calibri" w:cs="Calibri"/>
          <w:b/>
          <w:bCs/>
          <w:color w:val="333333"/>
        </w:rPr>
        <w:t>(3)</w:t>
      </w:r>
      <w:r w:rsidRPr="00F3388E">
        <w:rPr>
          <w:rFonts w:ascii="Calibri" w:eastAsia="Times New Roman" w:hAnsi="Calibri" w:cs="Calibri"/>
          <w:color w:val="333333"/>
        </w:rPr>
        <w:t> Secure and document a </w:t>
      </w:r>
      <w:hyperlink r:id="rId6" w:history="1">
        <w:r w:rsidRPr="00F3388E">
          <w:rPr>
            <w:rFonts w:ascii="Calibri" w:eastAsia="Times New Roman" w:hAnsi="Calibri" w:cs="Calibri"/>
            <w:color w:val="0068AC"/>
            <w:u w:val="single"/>
          </w:rPr>
          <w:t>Scope</w:t>
        </w:r>
      </w:hyperlink>
      <w:r w:rsidRPr="00F3388E">
        <w:rPr>
          <w:rFonts w:ascii="Calibri" w:eastAsia="Times New Roman" w:hAnsi="Calibri" w:cs="Calibri"/>
          <w:color w:val="333333"/>
        </w:rPr>
        <w:t> of Appointment prior to meeting with potential enrollees.</w:t>
      </w:r>
    </w:p>
    <w:p w14:paraId="3A017ED0" w14:textId="6869B91F" w:rsidR="00F3388E" w:rsidRDefault="00F3388E">
      <w:pPr>
        <w:rPr>
          <w:rFonts w:ascii="Calibri" w:hAnsi="Calibri" w:cs="Calibri"/>
        </w:rPr>
      </w:pPr>
      <w:r w:rsidRPr="002927C3">
        <w:rPr>
          <w:rFonts w:ascii="Calibri" w:hAnsi="Calibri" w:cs="Calibri"/>
          <w:b/>
          <w:bCs/>
        </w:rPr>
        <w:t>DiVirgilio Benefit Resources is licensed and compensated by various carriers</w:t>
      </w:r>
      <w:r w:rsidRPr="00B92CC9">
        <w:rPr>
          <w:rFonts w:ascii="Calibri" w:hAnsi="Calibri" w:cs="Calibri"/>
        </w:rPr>
        <w:t>.  Insurance carriers compensate their producers in accordance with the products that they sell.  Producer compensation m</w:t>
      </w:r>
      <w:r w:rsidR="002927C3">
        <w:rPr>
          <w:rFonts w:ascii="Calibri" w:hAnsi="Calibri" w:cs="Calibri"/>
        </w:rPr>
        <w:t xml:space="preserve">ay </w:t>
      </w:r>
      <w:r w:rsidRPr="00B92CC9">
        <w:rPr>
          <w:rFonts w:ascii="Calibri" w:hAnsi="Calibri" w:cs="Calibri"/>
        </w:rPr>
        <w:t>vary dependent on the carrier.</w:t>
      </w:r>
    </w:p>
    <w:p w14:paraId="3AEFC389" w14:textId="77777777" w:rsidR="002927C3" w:rsidRPr="00B92CC9" w:rsidRDefault="002927C3">
      <w:pPr>
        <w:rPr>
          <w:rFonts w:ascii="Calibri" w:hAnsi="Calibri" w:cs="Calibri"/>
        </w:rPr>
      </w:pPr>
    </w:p>
    <w:p w14:paraId="6BDC9F93" w14:textId="77777777" w:rsidR="00F3388E" w:rsidRPr="002927C3" w:rsidRDefault="00F3388E">
      <w:pPr>
        <w:rPr>
          <w:rFonts w:ascii="Calibri" w:hAnsi="Calibri" w:cs="Calibri"/>
          <w:b/>
          <w:bCs/>
        </w:rPr>
      </w:pPr>
      <w:r w:rsidRPr="002927C3">
        <w:rPr>
          <w:rFonts w:ascii="Calibri" w:hAnsi="Calibri" w:cs="Calibri"/>
          <w:b/>
          <w:bCs/>
        </w:rPr>
        <w:t>Compensation for Medicare Products:</w:t>
      </w:r>
    </w:p>
    <w:p w14:paraId="1C1801A9" w14:textId="342DCCCA" w:rsidR="00B92CC9" w:rsidRDefault="00F3388E">
      <w:pPr>
        <w:rPr>
          <w:rFonts w:ascii="Calibri" w:hAnsi="Calibri" w:cs="Calibri"/>
        </w:rPr>
      </w:pPr>
      <w:r w:rsidRPr="00B92CC9">
        <w:rPr>
          <w:rFonts w:ascii="Calibri" w:hAnsi="Calibri" w:cs="Calibri"/>
        </w:rPr>
        <w:t>The Center for Medicare Services allows carrier</w:t>
      </w:r>
      <w:r w:rsidR="006A4E54">
        <w:rPr>
          <w:rFonts w:ascii="Calibri" w:hAnsi="Calibri" w:cs="Calibri"/>
        </w:rPr>
        <w:t>s</w:t>
      </w:r>
      <w:r w:rsidRPr="00B92CC9">
        <w:rPr>
          <w:rFonts w:ascii="Calibri" w:hAnsi="Calibri" w:cs="Calibri"/>
        </w:rPr>
        <w:t xml:space="preserve"> to compensate producers </w:t>
      </w:r>
      <w:r w:rsidR="002927C3">
        <w:rPr>
          <w:rFonts w:ascii="Calibri" w:hAnsi="Calibri" w:cs="Calibri"/>
        </w:rPr>
        <w:t xml:space="preserve">who have met the CMS requirements. </w:t>
      </w:r>
    </w:p>
    <w:p w14:paraId="768F366B" w14:textId="77777777" w:rsidR="00B92CC9" w:rsidRPr="00B92CC9" w:rsidRDefault="00B92CC9" w:rsidP="00B92CC9">
      <w:pPr>
        <w:pStyle w:val="psection-1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333333"/>
        </w:rPr>
      </w:pPr>
      <w:r w:rsidRPr="00B92CC9">
        <w:rPr>
          <w:rStyle w:val="et03"/>
          <w:rFonts w:asciiTheme="minorHAnsi" w:hAnsiTheme="minorHAnsi" w:cstheme="minorHAnsi"/>
          <w:b/>
          <w:bCs/>
          <w:i/>
          <w:iCs/>
          <w:color w:val="333333"/>
        </w:rPr>
        <w:t>Compensation requirements.</w:t>
      </w:r>
      <w:r w:rsidRPr="00B92CC9">
        <w:rPr>
          <w:rFonts w:asciiTheme="minorHAnsi" w:hAnsiTheme="minorHAnsi" w:cstheme="minorHAnsi"/>
          <w:color w:val="333333"/>
        </w:rPr>
        <w:t> </w:t>
      </w:r>
      <w:hyperlink r:id="rId7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MA organizations</w:t>
        </w:r>
      </w:hyperlink>
      <w:r w:rsidRPr="00B92CC9">
        <w:rPr>
          <w:rFonts w:asciiTheme="minorHAnsi" w:hAnsiTheme="minorHAnsi" w:cstheme="minorHAnsi"/>
          <w:color w:val="333333"/>
        </w:rPr>
        <w:t> must ensure they meet the requirements in paragraphs (d)(1) through (5) of this section in order to pay compensation. These compensation requirements only apply to independent agents and brokers.</w:t>
      </w:r>
    </w:p>
    <w:p w14:paraId="6F27AF2A" w14:textId="77777777" w:rsidR="00B92CC9" w:rsidRPr="00B92CC9" w:rsidRDefault="00B92CC9" w:rsidP="00B92CC9">
      <w:pPr>
        <w:pStyle w:val="psection-2"/>
        <w:shd w:val="clear" w:color="auto" w:fill="FFFFFF"/>
        <w:spacing w:before="0" w:beforeAutospacing="0" w:after="150" w:afterAutospacing="0"/>
        <w:ind w:left="240"/>
        <w:rPr>
          <w:rFonts w:asciiTheme="minorHAnsi" w:hAnsiTheme="minorHAnsi" w:cstheme="minorHAnsi"/>
          <w:color w:val="333333"/>
        </w:rPr>
      </w:pPr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(1)</w:t>
      </w:r>
      <w:r w:rsidRPr="00B92CC9">
        <w:rPr>
          <w:rFonts w:asciiTheme="minorHAnsi" w:hAnsiTheme="minorHAnsi" w:cstheme="minorHAnsi"/>
          <w:color w:val="333333"/>
        </w:rPr>
        <w:t> </w:t>
      </w:r>
      <w:r w:rsidRPr="00B92CC9">
        <w:rPr>
          <w:rStyle w:val="et03"/>
          <w:rFonts w:asciiTheme="minorHAnsi" w:hAnsiTheme="minorHAnsi" w:cstheme="minorHAnsi"/>
          <w:b/>
          <w:bCs/>
          <w:i/>
          <w:iCs/>
          <w:color w:val="333333"/>
        </w:rPr>
        <w:t>General rules.</w:t>
      </w:r>
    </w:p>
    <w:p w14:paraId="6077C7AE" w14:textId="77777777" w:rsidR="00B92CC9" w:rsidRPr="00B92CC9" w:rsidRDefault="00B92CC9" w:rsidP="00B92CC9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Theme="minorHAnsi" w:hAnsiTheme="minorHAnsi" w:cstheme="minorHAnsi"/>
          <w:color w:val="333333"/>
        </w:rPr>
      </w:pPr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(</w:t>
      </w:r>
      <w:proofErr w:type="spellStart"/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i</w:t>
      </w:r>
      <w:proofErr w:type="spellEnd"/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)</w:t>
      </w:r>
      <w:r w:rsidRPr="00B92CC9">
        <w:rPr>
          <w:rFonts w:asciiTheme="minorHAnsi" w:hAnsiTheme="minorHAnsi" w:cstheme="minorHAnsi"/>
          <w:color w:val="333333"/>
        </w:rPr>
        <w:t> </w:t>
      </w:r>
      <w:hyperlink r:id="rId8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MA organizations</w:t>
        </w:r>
      </w:hyperlink>
      <w:r w:rsidRPr="00B92CC9">
        <w:rPr>
          <w:rFonts w:asciiTheme="minorHAnsi" w:hAnsiTheme="minorHAnsi" w:cstheme="minorHAnsi"/>
          <w:color w:val="333333"/>
        </w:rPr>
        <w:t> may only pay agents or brokers who meet the requirements in </w:t>
      </w:r>
      <w:hyperlink r:id="rId9" w:anchor="b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paragraph (b)</w:t>
        </w:r>
      </w:hyperlink>
      <w:r w:rsidRPr="00B92CC9">
        <w:rPr>
          <w:rFonts w:asciiTheme="minorHAnsi" w:hAnsiTheme="minorHAnsi" w:cstheme="minorHAnsi"/>
          <w:color w:val="333333"/>
        </w:rPr>
        <w:t> of this section.</w:t>
      </w:r>
    </w:p>
    <w:p w14:paraId="6E344DED" w14:textId="77777777" w:rsidR="00B92CC9" w:rsidRPr="00B92CC9" w:rsidRDefault="00B92CC9" w:rsidP="00B92CC9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Theme="minorHAnsi" w:hAnsiTheme="minorHAnsi" w:cstheme="minorHAnsi"/>
          <w:color w:val="333333"/>
        </w:rPr>
      </w:pPr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(ii)</w:t>
      </w:r>
      <w:r w:rsidRPr="00B92CC9">
        <w:rPr>
          <w:rFonts w:asciiTheme="minorHAnsi" w:hAnsiTheme="minorHAnsi" w:cstheme="minorHAnsi"/>
          <w:color w:val="333333"/>
        </w:rPr>
        <w:t> </w:t>
      </w:r>
      <w:hyperlink r:id="rId10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MA organizations</w:t>
        </w:r>
      </w:hyperlink>
      <w:r w:rsidRPr="00B92CC9">
        <w:rPr>
          <w:rFonts w:asciiTheme="minorHAnsi" w:hAnsiTheme="minorHAnsi" w:cstheme="minorHAnsi"/>
          <w:color w:val="333333"/>
        </w:rPr>
        <w:t> may determine, through their contracts, the amount of compensation to be paid, provided it does not exceed limitations outlined in this section.</w:t>
      </w:r>
    </w:p>
    <w:p w14:paraId="679E76A1" w14:textId="1B2D407B" w:rsidR="00B92CC9" w:rsidRDefault="00B92CC9" w:rsidP="00B92CC9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Theme="minorHAnsi" w:hAnsiTheme="minorHAnsi" w:cstheme="minorHAnsi"/>
          <w:color w:val="333333"/>
        </w:rPr>
      </w:pPr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(iii)</w:t>
      </w:r>
      <w:r w:rsidRPr="00B92CC9">
        <w:rPr>
          <w:rFonts w:asciiTheme="minorHAnsi" w:hAnsiTheme="minorHAnsi" w:cstheme="minorHAnsi"/>
          <w:color w:val="333333"/>
        </w:rPr>
        <w:t> </w:t>
      </w:r>
      <w:hyperlink r:id="rId11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MA organizations</w:t>
        </w:r>
      </w:hyperlink>
      <w:r w:rsidRPr="00B92CC9">
        <w:rPr>
          <w:rFonts w:asciiTheme="minorHAnsi" w:hAnsiTheme="minorHAnsi" w:cstheme="minorHAnsi"/>
          <w:color w:val="333333"/>
        </w:rPr>
        <w:t> may determine their </w:t>
      </w:r>
      <w:hyperlink r:id="rId12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payment</w:t>
        </w:r>
      </w:hyperlink>
      <w:r w:rsidRPr="00B92CC9">
        <w:rPr>
          <w:rFonts w:asciiTheme="minorHAnsi" w:hAnsiTheme="minorHAnsi" w:cstheme="minorHAnsi"/>
          <w:color w:val="333333"/>
        </w:rPr>
        <w:t> schedule (for example, monthly or quarterly). </w:t>
      </w:r>
      <w:hyperlink r:id="rId13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Payments</w:t>
        </w:r>
      </w:hyperlink>
      <w:r w:rsidRPr="00B92CC9">
        <w:rPr>
          <w:rFonts w:asciiTheme="minorHAnsi" w:hAnsiTheme="minorHAnsi" w:cstheme="minorHAnsi"/>
          <w:color w:val="333333"/>
        </w:rPr>
        <w:t> (including </w:t>
      </w:r>
      <w:hyperlink r:id="rId14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payments</w:t>
        </w:r>
      </w:hyperlink>
      <w:r w:rsidRPr="00B92CC9">
        <w:rPr>
          <w:rFonts w:asciiTheme="minorHAnsi" w:hAnsiTheme="minorHAnsi" w:cstheme="minorHAnsi"/>
          <w:color w:val="333333"/>
        </w:rPr>
        <w:t> for AEP enrollments) must be made during the year of the </w:t>
      </w:r>
      <w:hyperlink r:id="rId15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beneficiary</w:t>
        </w:r>
      </w:hyperlink>
      <w:r w:rsidRPr="00B92CC9">
        <w:rPr>
          <w:rFonts w:asciiTheme="minorHAnsi" w:hAnsiTheme="minorHAnsi" w:cstheme="minorHAnsi"/>
          <w:color w:val="333333"/>
        </w:rPr>
        <w:t>'s enrollment.</w:t>
      </w:r>
    </w:p>
    <w:p w14:paraId="4539F04E" w14:textId="77777777" w:rsidR="00B92CC9" w:rsidRPr="00B92CC9" w:rsidRDefault="00B92CC9" w:rsidP="00B92CC9">
      <w:pPr>
        <w:pStyle w:val="psection-3"/>
        <w:shd w:val="clear" w:color="auto" w:fill="FFFFFF"/>
        <w:spacing w:before="0" w:beforeAutospacing="0" w:after="150" w:afterAutospacing="0"/>
        <w:ind w:left="480"/>
        <w:rPr>
          <w:rFonts w:asciiTheme="minorHAnsi" w:hAnsiTheme="minorHAnsi" w:cstheme="minorHAnsi"/>
          <w:color w:val="333333"/>
        </w:rPr>
      </w:pPr>
      <w:r w:rsidRPr="00B92CC9">
        <w:rPr>
          <w:rStyle w:val="enumxml"/>
          <w:rFonts w:asciiTheme="minorHAnsi" w:hAnsiTheme="minorHAnsi" w:cstheme="minorHAnsi"/>
          <w:b/>
          <w:bCs/>
          <w:color w:val="333333"/>
        </w:rPr>
        <w:t>(iv)</w:t>
      </w:r>
      <w:r w:rsidRPr="00B92CC9">
        <w:rPr>
          <w:rFonts w:asciiTheme="minorHAnsi" w:hAnsiTheme="minorHAnsi" w:cstheme="minorHAnsi"/>
          <w:color w:val="333333"/>
        </w:rPr>
        <w:t> </w:t>
      </w:r>
      <w:hyperlink r:id="rId16" w:history="1">
        <w:r w:rsidRPr="00B92CC9">
          <w:rPr>
            <w:rStyle w:val="Hyperlink"/>
            <w:rFonts w:asciiTheme="minorHAnsi" w:hAnsiTheme="minorHAnsi" w:cstheme="minorHAnsi"/>
            <w:color w:val="0068AC"/>
            <w:u w:val="none"/>
          </w:rPr>
          <w:t>MA organizations</w:t>
        </w:r>
      </w:hyperlink>
      <w:r w:rsidRPr="00B92CC9">
        <w:rPr>
          <w:rFonts w:asciiTheme="minorHAnsi" w:hAnsiTheme="minorHAnsi" w:cstheme="minorHAnsi"/>
          <w:color w:val="333333"/>
        </w:rPr>
        <w:t> may only pay compensation for the number of months a member is enrolled.</w:t>
      </w:r>
    </w:p>
    <w:p w14:paraId="25BDB905" w14:textId="3E9A9A63" w:rsidR="002927C3" w:rsidRDefault="002927C3">
      <w:pPr>
        <w:rPr>
          <w:rFonts w:ascii="Calibri" w:hAnsi="Calibri" w:cs="Calibri"/>
        </w:rPr>
      </w:pPr>
    </w:p>
    <w:p w14:paraId="4C219AD6" w14:textId="111CCB8E" w:rsidR="002927C3" w:rsidRDefault="002927C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Visit: </w:t>
      </w:r>
      <w:hyperlink r:id="rId17" w:history="1">
        <w:r w:rsidRPr="00B67AED">
          <w:rPr>
            <w:rStyle w:val="Hyperlink"/>
            <w:rFonts w:ascii="Calibri" w:hAnsi="Calibri" w:cs="Calibri"/>
          </w:rPr>
          <w:t>https://www.cms.gov/Medicare/Health-Plans/ManagedCareMarketing/AgentBroker</w:t>
        </w:r>
      </w:hyperlink>
      <w:r>
        <w:rPr>
          <w:rFonts w:ascii="Calibri" w:hAnsi="Calibri" w:cs="Calibri"/>
        </w:rPr>
        <w:t xml:space="preserve"> </w:t>
      </w:r>
      <w:r w:rsidR="006944EC">
        <w:rPr>
          <w:rFonts w:ascii="Calibri" w:hAnsi="Calibri" w:cs="Calibri"/>
        </w:rPr>
        <w:t xml:space="preserve"> to access CMS Agent/Broker compensation disclosures and resources.  </w:t>
      </w:r>
    </w:p>
    <w:p w14:paraId="1CDA27B8" w14:textId="783273DD" w:rsidR="00B31043" w:rsidRDefault="00B31043">
      <w:pPr>
        <w:rPr>
          <w:rFonts w:ascii="Calibri" w:hAnsi="Calibri" w:cs="Calibri"/>
        </w:rPr>
      </w:pPr>
    </w:p>
    <w:p w14:paraId="16271C7B" w14:textId="77777777" w:rsidR="00D71BB4" w:rsidRDefault="00D71BB4">
      <w:pPr>
        <w:rPr>
          <w:rFonts w:ascii="Calibri" w:hAnsi="Calibri" w:cs="Calibri"/>
          <w:b/>
          <w:bCs/>
        </w:rPr>
      </w:pPr>
    </w:p>
    <w:p w14:paraId="400E0731" w14:textId="77777777" w:rsidR="00D71BB4" w:rsidRDefault="00D71BB4">
      <w:pPr>
        <w:rPr>
          <w:rFonts w:ascii="Calibri" w:hAnsi="Calibri" w:cs="Calibri"/>
          <w:b/>
          <w:bCs/>
        </w:rPr>
      </w:pPr>
    </w:p>
    <w:p w14:paraId="4F9F34DF" w14:textId="77777777" w:rsidR="00D71BB4" w:rsidRDefault="00D71BB4">
      <w:pPr>
        <w:rPr>
          <w:rFonts w:ascii="Calibri" w:hAnsi="Calibri" w:cs="Calibri"/>
          <w:b/>
          <w:bCs/>
        </w:rPr>
      </w:pPr>
    </w:p>
    <w:p w14:paraId="327804DE" w14:textId="77777777" w:rsidR="00D71BB4" w:rsidRDefault="00D71BB4">
      <w:pPr>
        <w:rPr>
          <w:rFonts w:ascii="Calibri" w:hAnsi="Calibri" w:cs="Calibri"/>
          <w:b/>
          <w:bCs/>
        </w:rPr>
      </w:pPr>
    </w:p>
    <w:p w14:paraId="4293E410" w14:textId="29BC28DA" w:rsidR="00B31043" w:rsidRPr="00B31043" w:rsidRDefault="00B31043">
      <w:pPr>
        <w:rPr>
          <w:rFonts w:ascii="Calibri" w:hAnsi="Calibri" w:cs="Calibri"/>
          <w:b/>
          <w:bCs/>
        </w:rPr>
      </w:pPr>
      <w:r w:rsidRPr="00B31043">
        <w:rPr>
          <w:rFonts w:ascii="Calibri" w:hAnsi="Calibri" w:cs="Calibri"/>
          <w:b/>
          <w:bCs/>
        </w:rPr>
        <w:t>Commercial and Employer Sponsored Plans:</w:t>
      </w:r>
    </w:p>
    <w:p w14:paraId="24D594B3" w14:textId="4C33CAED" w:rsidR="00B31043" w:rsidRDefault="00B31043" w:rsidP="00B3104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If your company elects to purchase </w:t>
      </w:r>
      <w:r w:rsidR="00D71BB4">
        <w:rPr>
          <w:rFonts w:ascii="TimesNewRomanPSMT" w:hAnsi="TimesNewRomanPSMT"/>
        </w:rPr>
        <w:t xml:space="preserve">group </w:t>
      </w:r>
      <w:r>
        <w:rPr>
          <w:rFonts w:ascii="TimesNewRomanPSMT" w:hAnsi="TimesNewRomanPSMT"/>
        </w:rPr>
        <w:t xml:space="preserve">coverage from </w:t>
      </w:r>
      <w:r w:rsidR="00F051A9">
        <w:rPr>
          <w:rFonts w:ascii="TimesNewRomanPSMT" w:hAnsi="TimesNewRomanPSMT"/>
        </w:rPr>
        <w:t>DiVirgilio Benefit Resources</w:t>
      </w:r>
      <w:r w:rsidR="00E97E22">
        <w:rPr>
          <w:rFonts w:ascii="TimesNewRomanPSMT" w:hAnsi="TimesNewRomanPSMT"/>
        </w:rPr>
        <w:t xml:space="preserve">, the </w:t>
      </w:r>
      <w:r w:rsidR="00D71BB4">
        <w:rPr>
          <w:rFonts w:ascii="TimesNewRomanPSMT" w:hAnsi="TimesNewRomanPSMT"/>
        </w:rPr>
        <w:t xml:space="preserve">insurance carrier </w:t>
      </w:r>
      <w:r w:rsidR="00E55766">
        <w:rPr>
          <w:rFonts w:ascii="TimesNewRomanPSMT" w:hAnsi="TimesNewRomanPSMT"/>
        </w:rPr>
        <w:t>will compensate</w:t>
      </w:r>
      <w:r>
        <w:rPr>
          <w:rFonts w:ascii="TimesNewRomanPSMT" w:hAnsi="TimesNewRomanPSMT"/>
        </w:rPr>
        <w:t xml:space="preserve"> </w:t>
      </w:r>
      <w:r w:rsidR="00E55766">
        <w:rPr>
          <w:rFonts w:ascii="TimesNewRomanPSMT" w:hAnsi="TimesNewRomanPSMT"/>
        </w:rPr>
        <w:t xml:space="preserve">DiVirgilio Benefit Resources </w:t>
      </w:r>
      <w:r>
        <w:rPr>
          <w:rFonts w:ascii="TimesNewRomanPSMT" w:hAnsi="TimesNewRomanPSMT"/>
        </w:rPr>
        <w:t xml:space="preserve">base and/or bonus compensation for </w:t>
      </w:r>
      <w:r w:rsidR="00EC73A9">
        <w:rPr>
          <w:rFonts w:ascii="TimesNewRomanPSMT" w:hAnsi="TimesNewRomanPSMT"/>
        </w:rPr>
        <w:t>y</w:t>
      </w:r>
      <w:r>
        <w:rPr>
          <w:rFonts w:ascii="TimesNewRomanPSMT" w:hAnsi="TimesNewRomanPSMT"/>
        </w:rPr>
        <w:t>our business</w:t>
      </w:r>
      <w:r w:rsidR="00E55766">
        <w:rPr>
          <w:rFonts w:ascii="TimesNewRomanPSMT" w:hAnsi="TimesNewRomanPSMT"/>
        </w:rPr>
        <w:t>.</w:t>
      </w:r>
    </w:p>
    <w:p w14:paraId="151889E9" w14:textId="5687DCC9" w:rsidR="00E55766" w:rsidRDefault="00E55766" w:rsidP="00B3104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Insurance carriers file their annual rates with the Department of Financial Services to include producer compensation.</w:t>
      </w:r>
      <w:r w:rsidR="008D7E6C">
        <w:rPr>
          <w:rFonts w:ascii="TimesNewRomanPSMT" w:hAnsi="TimesNewRomanPSMT"/>
        </w:rPr>
        <w:t xml:space="preserve">  </w:t>
      </w:r>
    </w:p>
    <w:p w14:paraId="55223C26" w14:textId="7C9F8039" w:rsidR="008D7E6C" w:rsidRDefault="008D7E6C" w:rsidP="00B31043">
      <w:pPr>
        <w:pStyle w:val="NormalWeb"/>
      </w:pPr>
      <w:r>
        <w:rPr>
          <w:rFonts w:ascii="TimesNewRomanPSMT" w:hAnsi="TimesNewRomanPSMT"/>
        </w:rPr>
        <w:t xml:space="preserve">Insurance producers that are compensated by the insurance carrier may not charge you a direct fee for these services.  </w:t>
      </w:r>
    </w:p>
    <w:p w14:paraId="008D8A15" w14:textId="50F6FCD4" w:rsidR="006944EC" w:rsidRDefault="006944EC">
      <w:pPr>
        <w:rPr>
          <w:rFonts w:ascii="Calibri" w:hAnsi="Calibri" w:cs="Calibri"/>
        </w:rPr>
      </w:pPr>
    </w:p>
    <w:p w14:paraId="2E4E2982" w14:textId="633597E9" w:rsidR="006944EC" w:rsidRDefault="006944E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document with live links may be accessed via </w:t>
      </w:r>
      <w:hyperlink r:id="rId18" w:history="1">
        <w:r w:rsidRPr="00B67AED">
          <w:rPr>
            <w:rStyle w:val="Hyperlink"/>
            <w:rFonts w:ascii="Calibri" w:hAnsi="Calibri" w:cs="Calibri"/>
          </w:rPr>
          <w:t>www.dbrservice.com</w:t>
        </w:r>
      </w:hyperlink>
      <w:r>
        <w:rPr>
          <w:rFonts w:ascii="Calibri" w:hAnsi="Calibri" w:cs="Calibri"/>
        </w:rPr>
        <w:t xml:space="preserve"> under compensation disclosures. </w:t>
      </w:r>
      <w:r w:rsidR="00F85959">
        <w:rPr>
          <w:rFonts w:ascii="Calibri" w:hAnsi="Calibri" w:cs="Calibri"/>
        </w:rPr>
        <w:t xml:space="preserve">  You may also request direct compensation information from DiVirgilio Benefit Resources.</w:t>
      </w:r>
    </w:p>
    <w:p w14:paraId="1A11BE6E" w14:textId="35C3544F" w:rsidR="00F85959" w:rsidRDefault="00F85959">
      <w:pPr>
        <w:rPr>
          <w:rFonts w:ascii="Calibri" w:hAnsi="Calibri" w:cs="Calibri"/>
        </w:rPr>
      </w:pPr>
    </w:p>
    <w:p w14:paraId="21862614" w14:textId="1FE65FB1" w:rsidR="00F85959" w:rsidRDefault="00F85959">
      <w:pPr>
        <w:rPr>
          <w:rFonts w:ascii="Calibri" w:hAnsi="Calibri" w:cs="Calibri"/>
        </w:rPr>
      </w:pPr>
    </w:p>
    <w:p w14:paraId="164672F8" w14:textId="4B081D88" w:rsidR="003A36F2" w:rsidRPr="005F767B" w:rsidRDefault="00AC5349">
      <w:pPr>
        <w:rPr>
          <w:rFonts w:ascii="Calibri" w:hAnsi="Calibri" w:cs="Calibri"/>
          <w:b/>
          <w:bCs/>
        </w:rPr>
      </w:pPr>
      <w:r w:rsidRPr="005F767B">
        <w:rPr>
          <w:rFonts w:ascii="Calibri" w:hAnsi="Calibri" w:cs="Calibri"/>
          <w:b/>
          <w:bCs/>
        </w:rPr>
        <w:t>Additional</w:t>
      </w:r>
      <w:r w:rsidR="005F767B">
        <w:rPr>
          <w:rFonts w:ascii="Calibri" w:hAnsi="Calibri" w:cs="Calibri"/>
          <w:b/>
          <w:bCs/>
        </w:rPr>
        <w:t xml:space="preserve"> Non-carrier</w:t>
      </w:r>
      <w:r w:rsidRPr="005F767B">
        <w:rPr>
          <w:rFonts w:ascii="Calibri" w:hAnsi="Calibri" w:cs="Calibri"/>
          <w:b/>
          <w:bCs/>
        </w:rPr>
        <w:t xml:space="preserve"> Ancillary Products and Fees</w:t>
      </w:r>
      <w:r w:rsidR="005F767B" w:rsidRPr="005F767B">
        <w:rPr>
          <w:rFonts w:ascii="Calibri" w:hAnsi="Calibri" w:cs="Calibri"/>
          <w:b/>
          <w:bCs/>
        </w:rPr>
        <w:t>:</w:t>
      </w:r>
    </w:p>
    <w:p w14:paraId="66747F5A" w14:textId="0ABD21CA" w:rsidR="008D0364" w:rsidRDefault="003A36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purchase services outside of the </w:t>
      </w:r>
      <w:r w:rsidR="00CB0602">
        <w:rPr>
          <w:rFonts w:ascii="Calibri" w:hAnsi="Calibri" w:cs="Calibri"/>
        </w:rPr>
        <w:t xml:space="preserve">carrier and producer </w:t>
      </w:r>
      <w:r w:rsidR="00130C1E">
        <w:rPr>
          <w:rFonts w:ascii="Calibri" w:hAnsi="Calibri" w:cs="Calibri"/>
        </w:rPr>
        <w:t>scope, there may be additional administrative charges</w:t>
      </w:r>
      <w:r w:rsidR="008D0364">
        <w:rPr>
          <w:rFonts w:ascii="Calibri" w:hAnsi="Calibri" w:cs="Calibri"/>
        </w:rPr>
        <w:t xml:space="preserve"> for products such as:</w:t>
      </w:r>
    </w:p>
    <w:p w14:paraId="14C606B8" w14:textId="0BFC8D80" w:rsidR="008D0364" w:rsidRDefault="008D0364">
      <w:pPr>
        <w:rPr>
          <w:rFonts w:ascii="Calibri" w:hAnsi="Calibri" w:cs="Calibri"/>
        </w:rPr>
      </w:pPr>
    </w:p>
    <w:p w14:paraId="72CD1401" w14:textId="04C9A7F7" w:rsidR="008D0364" w:rsidRDefault="008D0364">
      <w:pPr>
        <w:rPr>
          <w:rFonts w:ascii="Calibri" w:hAnsi="Calibri" w:cs="Calibri"/>
        </w:rPr>
      </w:pPr>
      <w:r>
        <w:rPr>
          <w:rFonts w:ascii="Calibri" w:hAnsi="Calibri" w:cs="Calibri"/>
        </w:rPr>
        <w:t>Zywave HR Compliance</w:t>
      </w:r>
      <w:r w:rsidR="00DB6214">
        <w:rPr>
          <w:rFonts w:ascii="Calibri" w:hAnsi="Calibri" w:cs="Calibri"/>
        </w:rPr>
        <w:t xml:space="preserve"> Library &amp; Tools </w:t>
      </w:r>
    </w:p>
    <w:p w14:paraId="3BA3D262" w14:textId="47D4F4B6" w:rsidR="00DB6214" w:rsidRDefault="00DB6214">
      <w:pPr>
        <w:rPr>
          <w:rFonts w:ascii="Calibri" w:hAnsi="Calibri" w:cs="Calibri"/>
        </w:rPr>
      </w:pPr>
      <w:r>
        <w:rPr>
          <w:rFonts w:ascii="Calibri" w:hAnsi="Calibri" w:cs="Calibri"/>
        </w:rPr>
        <w:t>Employee Handbooks</w:t>
      </w:r>
    </w:p>
    <w:p w14:paraId="4FBCD843" w14:textId="30A25127" w:rsidR="00FA37F4" w:rsidRDefault="00FA37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Compliance documents </w:t>
      </w:r>
    </w:p>
    <w:p w14:paraId="5E101796" w14:textId="2A65CE34" w:rsidR="00FA37F4" w:rsidRDefault="00FA37F4">
      <w:pPr>
        <w:rPr>
          <w:rFonts w:ascii="Calibri" w:hAnsi="Calibri" w:cs="Calibri"/>
        </w:rPr>
      </w:pPr>
    </w:p>
    <w:p w14:paraId="1EA46C45" w14:textId="6D60A264" w:rsidR="00FA37F4" w:rsidRDefault="00DD0F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more information on these products contact DiVirgilio Benefit Resources. </w:t>
      </w:r>
    </w:p>
    <w:p w14:paraId="2F42CF1D" w14:textId="31105DE2" w:rsidR="00DD0F9B" w:rsidRDefault="00DD0F9B">
      <w:pPr>
        <w:rPr>
          <w:rFonts w:ascii="Calibri" w:hAnsi="Calibri" w:cs="Calibri"/>
        </w:rPr>
      </w:pPr>
    </w:p>
    <w:p w14:paraId="5BEE727A" w14:textId="77777777" w:rsidR="00DD0F9B" w:rsidRDefault="00DD0F9B">
      <w:pPr>
        <w:rPr>
          <w:rFonts w:ascii="Calibri" w:hAnsi="Calibri" w:cs="Calibri"/>
        </w:rPr>
      </w:pPr>
    </w:p>
    <w:p w14:paraId="1B27476E" w14:textId="77777777" w:rsidR="00DB6214" w:rsidRPr="00B92CC9" w:rsidRDefault="00DB6214">
      <w:pPr>
        <w:rPr>
          <w:rFonts w:ascii="Calibri" w:hAnsi="Calibri" w:cs="Calibri"/>
        </w:rPr>
      </w:pPr>
    </w:p>
    <w:sectPr w:rsidR="00DB6214" w:rsidRPr="00B92CC9" w:rsidSect="00292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8E"/>
    <w:rsid w:val="000D4505"/>
    <w:rsid w:val="00130C1E"/>
    <w:rsid w:val="002927C3"/>
    <w:rsid w:val="00375692"/>
    <w:rsid w:val="003A36F2"/>
    <w:rsid w:val="00483150"/>
    <w:rsid w:val="005F767B"/>
    <w:rsid w:val="006944EC"/>
    <w:rsid w:val="006A4E54"/>
    <w:rsid w:val="0087089B"/>
    <w:rsid w:val="008D0364"/>
    <w:rsid w:val="008D7E6C"/>
    <w:rsid w:val="00AC5349"/>
    <w:rsid w:val="00B31043"/>
    <w:rsid w:val="00B92CC9"/>
    <w:rsid w:val="00CB0602"/>
    <w:rsid w:val="00D71BB4"/>
    <w:rsid w:val="00DB6214"/>
    <w:rsid w:val="00DD0F9B"/>
    <w:rsid w:val="00E55766"/>
    <w:rsid w:val="00E87C37"/>
    <w:rsid w:val="00E927B2"/>
    <w:rsid w:val="00E97E22"/>
    <w:rsid w:val="00EC73A9"/>
    <w:rsid w:val="00F051A9"/>
    <w:rsid w:val="00F3388E"/>
    <w:rsid w:val="00F85959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B049"/>
  <w15:chartTrackingRefBased/>
  <w15:docId w15:val="{2BB047DB-8A32-EF4E-80EC-B60A96BC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ection-1">
    <w:name w:val="psection-1"/>
    <w:basedOn w:val="Normal"/>
    <w:rsid w:val="00F338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t03">
    <w:name w:val="et03"/>
    <w:basedOn w:val="DefaultParagraphFont"/>
    <w:rsid w:val="00F3388E"/>
  </w:style>
  <w:style w:type="character" w:customStyle="1" w:styleId="apple-converted-space">
    <w:name w:val="apple-converted-space"/>
    <w:basedOn w:val="DefaultParagraphFont"/>
    <w:rsid w:val="00F3388E"/>
  </w:style>
  <w:style w:type="character" w:styleId="Hyperlink">
    <w:name w:val="Hyperlink"/>
    <w:basedOn w:val="DefaultParagraphFont"/>
    <w:uiPriority w:val="99"/>
    <w:unhideWhenUsed/>
    <w:rsid w:val="00F3388E"/>
    <w:rPr>
      <w:color w:val="0000FF"/>
      <w:u w:val="single"/>
    </w:rPr>
  </w:style>
  <w:style w:type="paragraph" w:customStyle="1" w:styleId="psection-2">
    <w:name w:val="psection-2"/>
    <w:basedOn w:val="Normal"/>
    <w:rsid w:val="00F338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xml">
    <w:name w:val="enumxml"/>
    <w:basedOn w:val="DefaultParagraphFont"/>
    <w:rsid w:val="00F3388E"/>
  </w:style>
  <w:style w:type="paragraph" w:customStyle="1" w:styleId="psection-3">
    <w:name w:val="psection-3"/>
    <w:basedOn w:val="Normal"/>
    <w:rsid w:val="00B92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92C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7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10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c9457eba0353d4ab6c3e03b29e852b55&amp;term_occur=999&amp;term_src=Title:42:Chapter:IV:Subchapter:B:Part:422:Subpart:V:422.2274" TargetMode="External"/><Relationship Id="rId13" Type="http://schemas.openxmlformats.org/officeDocument/2006/relationships/hyperlink" Target="https://www.law.cornell.edu/definitions/index.php?width=840&amp;height=800&amp;iframe=true&amp;def_id=d66239b6cfc874cf42f9ff1eaaccf349&amp;term_occur=999&amp;term_src=Title:42:Chapter:IV:Subchapter:B:Part:422:Subpart:V:422.2274" TargetMode="External"/><Relationship Id="rId18" Type="http://schemas.openxmlformats.org/officeDocument/2006/relationships/hyperlink" Target="http://www.dbrservi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w.cornell.edu/definitions/index.php?width=840&amp;height=800&amp;iframe=true&amp;def_id=c9457eba0353d4ab6c3e03b29e852b55&amp;term_occur=999&amp;term_src=Title:42:Chapter:IV:Subchapter:B:Part:422:Subpart:V:422.2274" TargetMode="External"/><Relationship Id="rId12" Type="http://schemas.openxmlformats.org/officeDocument/2006/relationships/hyperlink" Target="https://www.law.cornell.edu/definitions/index.php?width=840&amp;height=800&amp;iframe=true&amp;def_id=d66239b6cfc874cf42f9ff1eaaccf349&amp;term_occur=999&amp;term_src=Title:42:Chapter:IV:Subchapter:B:Part:422:Subpart:V:422.2274" TargetMode="External"/><Relationship Id="rId17" Type="http://schemas.openxmlformats.org/officeDocument/2006/relationships/hyperlink" Target="https://www.cms.gov/Medicare/Health-Plans/ManagedCareMarketing/AgentBrok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.cornell.edu/definitions/index.php?width=840&amp;height=800&amp;iframe=true&amp;def_id=c9457eba0353d4ab6c3e03b29e852b55&amp;term_occur=999&amp;term_src=Title:42:Chapter:IV:Subchapter:B:Part:422:Subpart:V:422.22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w.cornell.edu/definitions/index.php?width=840&amp;height=800&amp;iframe=true&amp;def_id=dfdd48ddcdf30cc19e7b455064934bcb&amp;term_occur=999&amp;term_src=Title:42:Chapter:IV:Subchapter:B:Part:422:Subpart:V:422.2274" TargetMode="External"/><Relationship Id="rId11" Type="http://schemas.openxmlformats.org/officeDocument/2006/relationships/hyperlink" Target="https://www.law.cornell.edu/definitions/index.php?width=840&amp;height=800&amp;iframe=true&amp;def_id=c9457eba0353d4ab6c3e03b29e852b55&amp;term_occur=999&amp;term_src=Title:42:Chapter:IV:Subchapter:B:Part:422:Subpart:V:422.2274" TargetMode="External"/><Relationship Id="rId5" Type="http://schemas.openxmlformats.org/officeDocument/2006/relationships/hyperlink" Target="https://www.law.cornell.edu/cfr/text/42/422.2274" TargetMode="External"/><Relationship Id="rId15" Type="http://schemas.openxmlformats.org/officeDocument/2006/relationships/hyperlink" Target="https://www.law.cornell.edu/definitions/index.php?width=840&amp;height=800&amp;iframe=true&amp;def_id=cc67cafd81a7295c7d81b714c2f651dd&amp;term_occur=999&amp;term_src=Title:42:Chapter:IV:Subchapter:B:Part:422:Subpart:V:422.2274" TargetMode="External"/><Relationship Id="rId10" Type="http://schemas.openxmlformats.org/officeDocument/2006/relationships/hyperlink" Target="https://www.law.cornell.edu/definitions/index.php?width=840&amp;height=800&amp;iframe=true&amp;def_id=c9457eba0353d4ab6c3e03b29e852b55&amp;term_occur=999&amp;term_src=Title:42:Chapter:IV:Subchapter:B:Part:422:Subpart:V:422.227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law.cornell.edu/definitions/index.php?width=840&amp;height=800&amp;iframe=true&amp;def_id=c9457eba0353d4ab6c3e03b29e852b55&amp;term_occur=999&amp;term_src=Title:42:Chapter:IV:Subchapter:B:Part:422:Subpart:V:422.2274" TargetMode="External"/><Relationship Id="rId9" Type="http://schemas.openxmlformats.org/officeDocument/2006/relationships/hyperlink" Target="https://www.law.cornell.edu/cfr/text/42/422.2274" TargetMode="External"/><Relationship Id="rId14" Type="http://schemas.openxmlformats.org/officeDocument/2006/relationships/hyperlink" Target="https://www.law.cornell.edu/definitions/index.php?width=840&amp;height=800&amp;iframe=true&amp;def_id=d66239b6cfc874cf42f9ff1eaaccf349&amp;term_occur=999&amp;term_src=Title:42:Chapter:IV:Subchapter:B:Part:422:Subpart:V:422.2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DiVirgilio</dc:creator>
  <cp:keywords/>
  <dc:description/>
  <cp:lastModifiedBy>Rose DiVirgilio</cp:lastModifiedBy>
  <cp:revision>2</cp:revision>
  <cp:lastPrinted>2021-04-06T15:44:00Z</cp:lastPrinted>
  <dcterms:created xsi:type="dcterms:W3CDTF">2021-04-06T16:57:00Z</dcterms:created>
  <dcterms:modified xsi:type="dcterms:W3CDTF">2021-04-06T16:57:00Z</dcterms:modified>
</cp:coreProperties>
</file>