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B37" w:rsidRPr="003327EC" w:rsidRDefault="00D03B37" w:rsidP="00424ADF">
      <w:pPr>
        <w:spacing w:line="480" w:lineRule="auto"/>
        <w:jc w:val="center"/>
        <w:rPr>
          <w:rFonts w:ascii="Arial" w:hAnsi="Arial" w:cs="Arial"/>
          <w:b/>
        </w:rPr>
      </w:pPr>
      <w:r w:rsidRPr="003327EC">
        <w:rPr>
          <w:rFonts w:ascii="Arial" w:hAnsi="Arial" w:cs="Arial"/>
          <w:b/>
        </w:rPr>
        <w:t>Comparative Study</w:t>
      </w:r>
      <w:r w:rsidR="00841A1E" w:rsidRPr="003327EC">
        <w:rPr>
          <w:rFonts w:ascii="Arial" w:hAnsi="Arial" w:cs="Arial"/>
          <w:b/>
        </w:rPr>
        <w:t xml:space="preserve"> – </w:t>
      </w:r>
      <w:r w:rsidRPr="003327EC">
        <w:rPr>
          <w:rFonts w:ascii="Arial" w:hAnsi="Arial" w:cs="Arial"/>
          <w:b/>
        </w:rPr>
        <w:t>Measures of Financial Performance of Banks</w:t>
      </w:r>
      <w:r w:rsidR="00424ADF" w:rsidRPr="003327EC">
        <w:rPr>
          <w:rFonts w:ascii="Arial" w:hAnsi="Arial" w:cs="Arial"/>
          <w:b/>
        </w:rPr>
        <w:t xml:space="preserve"> </w:t>
      </w:r>
      <w:r w:rsidR="00A64504" w:rsidRPr="003327EC">
        <w:rPr>
          <w:rFonts w:ascii="Arial" w:hAnsi="Arial" w:cs="Arial"/>
          <w:b/>
        </w:rPr>
        <w:t>Between</w:t>
      </w:r>
      <w:r w:rsidR="00424ADF" w:rsidRPr="003327EC">
        <w:rPr>
          <w:rFonts w:ascii="Arial" w:hAnsi="Arial" w:cs="Arial"/>
          <w:b/>
        </w:rPr>
        <w:t xml:space="preserve"> the European Union, United States, and Canada</w:t>
      </w:r>
    </w:p>
    <w:p w:rsidR="00424ADF" w:rsidRPr="003327EC" w:rsidRDefault="00424ADF" w:rsidP="00424ADF">
      <w:pPr>
        <w:spacing w:line="480" w:lineRule="auto"/>
        <w:rPr>
          <w:rFonts w:ascii="Arial" w:hAnsi="Arial" w:cs="Arial"/>
        </w:rPr>
      </w:pPr>
    </w:p>
    <w:p w:rsidR="00123F73" w:rsidRPr="003327EC" w:rsidRDefault="006A3698" w:rsidP="00424ADF">
      <w:pPr>
        <w:spacing w:line="480" w:lineRule="auto"/>
        <w:jc w:val="both"/>
        <w:rPr>
          <w:rFonts w:ascii="Arial" w:hAnsi="Arial" w:cs="Arial"/>
          <w:b/>
        </w:rPr>
      </w:pPr>
      <w:r w:rsidRPr="003327EC">
        <w:rPr>
          <w:rFonts w:ascii="Arial" w:hAnsi="Arial" w:cs="Arial"/>
          <w:b/>
        </w:rPr>
        <w:t>INTRODUCTION</w:t>
      </w:r>
    </w:p>
    <w:p w:rsidR="00083E5C" w:rsidRPr="003327EC" w:rsidRDefault="00D03B37" w:rsidP="00424ADF">
      <w:pPr>
        <w:spacing w:line="480" w:lineRule="auto"/>
        <w:jc w:val="both"/>
      </w:pPr>
      <w:r w:rsidRPr="003327EC">
        <w:rPr>
          <w:b/>
        </w:rPr>
        <w:tab/>
      </w:r>
      <w:r w:rsidRPr="003327EC">
        <w:t xml:space="preserve">The focus of this paper will center upon a comparative study between </w:t>
      </w:r>
      <w:r w:rsidR="00827E6B" w:rsidRPr="003327EC">
        <w:t xml:space="preserve">the </w:t>
      </w:r>
      <w:r w:rsidRPr="003327EC">
        <w:t xml:space="preserve">measures of financial performance of banks in three separate jurisdictions – the European Union (EU), United States (U.S.), and Canada. At a high level, banks play a vital role in the financial system as well as the overall economy by allocating funds from savers to borrowers in an efficient manner, providing the liquidity required for families and businesses to invest in the future. Due to the importance of banks in the context of both local and global economies, measures of financial performance of banks are subject to heavy scrutiny from key stakeholders. </w:t>
      </w:r>
    </w:p>
    <w:p w:rsidR="008D0A37" w:rsidRPr="003327EC" w:rsidRDefault="008D0A37" w:rsidP="00424ADF">
      <w:pPr>
        <w:spacing w:line="480" w:lineRule="auto"/>
        <w:jc w:val="both"/>
      </w:pPr>
    </w:p>
    <w:p w:rsidR="00455CD0" w:rsidRPr="003327EC" w:rsidRDefault="00D03B37" w:rsidP="00424ADF">
      <w:pPr>
        <w:spacing w:line="480" w:lineRule="auto"/>
        <w:jc w:val="both"/>
      </w:pPr>
      <w:r w:rsidRPr="003327EC">
        <w:tab/>
        <w:t xml:space="preserve">This paper will begin </w:t>
      </w:r>
      <w:r w:rsidR="00B41004" w:rsidRPr="003327EC">
        <w:t xml:space="preserve">by providing </w:t>
      </w:r>
      <w:r w:rsidR="000F6FD5" w:rsidRPr="003327EC">
        <w:t>the</w:t>
      </w:r>
      <w:r w:rsidR="00B41004" w:rsidRPr="003327EC">
        <w:t xml:space="preserve"> context for measur</w:t>
      </w:r>
      <w:r w:rsidR="004A37C2" w:rsidRPr="003327EC">
        <w:t>ing</w:t>
      </w:r>
      <w:r w:rsidR="00B41004" w:rsidRPr="003327EC">
        <w:t xml:space="preserve"> financial performance </w:t>
      </w:r>
      <w:r w:rsidR="000F6FD5" w:rsidRPr="003327EC">
        <w:t>along with</w:t>
      </w:r>
      <w:r w:rsidR="00B41004" w:rsidRPr="003327EC">
        <w:t xml:space="preserve"> the key drivers of financial performance in the banking sector.</w:t>
      </w:r>
      <w:r w:rsidRPr="003327EC">
        <w:t xml:space="preserve"> </w:t>
      </w:r>
      <w:r w:rsidR="004A37C2" w:rsidRPr="003327EC">
        <w:t xml:space="preserve">Following this, </w:t>
      </w:r>
      <w:r w:rsidR="00083E5C" w:rsidRPr="003327EC">
        <w:t xml:space="preserve">a brief history, rationale and what constitutes the framework of Basel committee will be </w:t>
      </w:r>
      <w:r w:rsidR="004C4F52" w:rsidRPr="003327EC">
        <w:t>discussed</w:t>
      </w:r>
      <w:r w:rsidR="00083E5C" w:rsidRPr="003327EC">
        <w:t>.</w:t>
      </w:r>
      <w:r w:rsidR="004C4F52" w:rsidRPr="003327EC">
        <w:t xml:space="preserve"> </w:t>
      </w:r>
      <w:r w:rsidR="00083E5C" w:rsidRPr="003327EC">
        <w:t xml:space="preserve">This </w:t>
      </w:r>
      <w:r w:rsidR="004C4F52" w:rsidRPr="003327EC">
        <w:t>paper will then</w:t>
      </w:r>
      <w:r w:rsidR="00455CD0" w:rsidRPr="003327EC">
        <w:t xml:space="preserve"> explore a brief history of how</w:t>
      </w:r>
      <w:r w:rsidR="004C4F52" w:rsidRPr="003327EC">
        <w:t xml:space="preserve"> the financial crises started and </w:t>
      </w:r>
      <w:r w:rsidR="00455CD0" w:rsidRPr="003327EC">
        <w:t>the</w:t>
      </w:r>
      <w:r w:rsidR="00A50A8B">
        <w:t xml:space="preserve"> true </w:t>
      </w:r>
      <w:r w:rsidR="00A50A8B" w:rsidRPr="003327EC">
        <w:t>impact</w:t>
      </w:r>
      <w:r w:rsidR="00455CD0" w:rsidRPr="003327EC">
        <w:t xml:space="preserve"> of Basel III on the banking sector in the three jurisdictions. Furthermore, this paper will present the requirements that the three jurisdictions have to satisfy under the Bank for International Settlements</w:t>
      </w:r>
      <w:r w:rsidR="005B3E50" w:rsidRPr="003327EC">
        <w:t xml:space="preserve">- how the countries make the requirement laws, why compliance matters. </w:t>
      </w:r>
    </w:p>
    <w:p w:rsidR="006B56E8" w:rsidRPr="003327EC" w:rsidRDefault="006B56E8" w:rsidP="00424ADF">
      <w:pPr>
        <w:spacing w:line="480" w:lineRule="auto"/>
        <w:jc w:val="both"/>
      </w:pPr>
    </w:p>
    <w:p w:rsidR="001F1B4F" w:rsidRDefault="001F1B4F" w:rsidP="006B56E8">
      <w:pPr>
        <w:spacing w:line="480" w:lineRule="auto"/>
        <w:jc w:val="both"/>
        <w:rPr>
          <w:rFonts w:ascii="Arial" w:hAnsi="Arial" w:cs="Arial"/>
          <w:b/>
        </w:rPr>
      </w:pPr>
    </w:p>
    <w:p w:rsidR="006B56E8" w:rsidRPr="003327EC" w:rsidRDefault="006B56E8" w:rsidP="006B56E8">
      <w:pPr>
        <w:spacing w:line="480" w:lineRule="auto"/>
        <w:jc w:val="both"/>
        <w:rPr>
          <w:rFonts w:ascii="Arial" w:hAnsi="Arial" w:cs="Arial"/>
          <w:b/>
        </w:rPr>
      </w:pPr>
      <w:r w:rsidRPr="003327EC">
        <w:rPr>
          <w:rFonts w:ascii="Arial" w:hAnsi="Arial" w:cs="Arial"/>
          <w:b/>
        </w:rPr>
        <w:lastRenderedPageBreak/>
        <w:t>MEASUREMENTS OF FINANCIAL PERFORMANCE – CONTEXT AND DRIVERS</w:t>
      </w:r>
    </w:p>
    <w:p w:rsidR="006B56E8" w:rsidRPr="003327EC" w:rsidRDefault="006B56E8" w:rsidP="006B56E8">
      <w:pPr>
        <w:spacing w:line="480" w:lineRule="auto"/>
        <w:jc w:val="both"/>
      </w:pPr>
      <w:r w:rsidRPr="003327EC">
        <w:tab/>
        <w:t>The financial performance of a bank refers to its ability to generate sustained profits over the long-run, as profits represent the bank’s first line of defense against unexpected losses while allowing the bank to bolster its capital position and improve future profitability through the investment of retained earnings, in turn creating shareholder value</w:t>
      </w:r>
      <w:r w:rsidRPr="003327EC">
        <w:rPr>
          <w:rStyle w:val="FootnoteReference"/>
        </w:rPr>
        <w:footnoteReference w:id="1"/>
      </w:r>
      <w:r w:rsidRPr="003327EC">
        <w:t>. There are four main drivers of financial performance, which in turn affect the implementation of measurements of financial performance</w:t>
      </w:r>
      <w:r w:rsidRPr="003327EC">
        <w:rPr>
          <w:rStyle w:val="FootnoteReference"/>
        </w:rPr>
        <w:footnoteReference w:id="2"/>
      </w:r>
      <w:r w:rsidRPr="003327EC">
        <w:t>:</w:t>
      </w:r>
    </w:p>
    <w:p w:rsidR="006B56E8" w:rsidRPr="003327EC" w:rsidRDefault="006B56E8" w:rsidP="006B56E8">
      <w:pPr>
        <w:pStyle w:val="ListParagraph"/>
        <w:numPr>
          <w:ilvl w:val="0"/>
          <w:numId w:val="1"/>
        </w:numPr>
        <w:spacing w:line="480" w:lineRule="auto"/>
        <w:jc w:val="both"/>
      </w:pPr>
      <w:r w:rsidRPr="003327EC">
        <w:t>Earnings: The composition and volatility of a bank’s earnings</w:t>
      </w:r>
      <w:r w:rsidRPr="003327EC">
        <w:rPr>
          <w:rStyle w:val="FootnoteReference"/>
        </w:rPr>
        <w:footnoteReference w:id="3"/>
      </w:r>
      <w:r w:rsidRPr="003327EC">
        <w:t>.</w:t>
      </w:r>
    </w:p>
    <w:p w:rsidR="006B56E8" w:rsidRPr="003327EC" w:rsidRDefault="006B56E8" w:rsidP="006B56E8">
      <w:pPr>
        <w:pStyle w:val="ListParagraph"/>
        <w:numPr>
          <w:ilvl w:val="0"/>
          <w:numId w:val="1"/>
        </w:numPr>
        <w:spacing w:line="480" w:lineRule="auto"/>
        <w:jc w:val="both"/>
      </w:pPr>
      <w:r w:rsidRPr="003327EC">
        <w:t>Efficiency: The bank’s ability to generate revenue from its assets and turn a profit from sources of income</w:t>
      </w:r>
      <w:r w:rsidRPr="003327EC">
        <w:rPr>
          <w:rStyle w:val="FootnoteReference"/>
        </w:rPr>
        <w:footnoteReference w:id="4"/>
      </w:r>
      <w:r w:rsidRPr="003327EC">
        <w:t>.</w:t>
      </w:r>
    </w:p>
    <w:p w:rsidR="006B56E8" w:rsidRPr="003327EC" w:rsidRDefault="006B56E8" w:rsidP="006B56E8">
      <w:pPr>
        <w:pStyle w:val="ListParagraph"/>
        <w:numPr>
          <w:ilvl w:val="0"/>
          <w:numId w:val="1"/>
        </w:numPr>
        <w:spacing w:line="480" w:lineRule="auto"/>
        <w:jc w:val="both"/>
      </w:pPr>
      <w:r w:rsidRPr="003327EC">
        <w:t>Risk-taking: Necessary adjustments to earnings for relevant risks undertaken by the bank</w:t>
      </w:r>
      <w:r w:rsidRPr="003327EC">
        <w:rPr>
          <w:rStyle w:val="FootnoteReference"/>
        </w:rPr>
        <w:footnoteReference w:id="5"/>
      </w:r>
      <w:r w:rsidRPr="003327EC">
        <w:t>.</w:t>
      </w:r>
    </w:p>
    <w:p w:rsidR="006B56E8" w:rsidRPr="003327EC" w:rsidRDefault="006B56E8" w:rsidP="003327EC">
      <w:pPr>
        <w:pStyle w:val="ListParagraph"/>
        <w:numPr>
          <w:ilvl w:val="0"/>
          <w:numId w:val="1"/>
        </w:numPr>
        <w:spacing w:line="480" w:lineRule="auto"/>
        <w:jc w:val="both"/>
      </w:pPr>
      <w:r w:rsidRPr="003327EC">
        <w:t>Leverage: Improves results when things are going well but subjects a bank to being more prone to unexpected losses</w:t>
      </w:r>
      <w:r w:rsidRPr="003327EC">
        <w:rPr>
          <w:rStyle w:val="FootnoteReference"/>
        </w:rPr>
        <w:footnoteReference w:id="6"/>
      </w:r>
      <w:r w:rsidRPr="003327EC">
        <w:t>.</w:t>
      </w:r>
    </w:p>
    <w:p w:rsidR="003327EC" w:rsidRDefault="006B56E8" w:rsidP="001F1B4F">
      <w:pPr>
        <w:spacing w:line="480" w:lineRule="auto"/>
        <w:ind w:firstLine="720"/>
        <w:jc w:val="both"/>
      </w:pPr>
      <w:r w:rsidRPr="003327EC">
        <w:t xml:space="preserve">In this paper, measurements of financial performance as it relates to the banking sector for all three jurisdictions will consider the aforementioned context and drivers along with the comparability, stability over time, and forward-looking capability of these measurements. </w:t>
      </w:r>
    </w:p>
    <w:p w:rsidR="001F1B4F" w:rsidRDefault="001F1B4F" w:rsidP="001F1B4F">
      <w:pPr>
        <w:spacing w:line="480" w:lineRule="auto"/>
        <w:ind w:firstLine="720"/>
        <w:jc w:val="both"/>
      </w:pPr>
    </w:p>
    <w:p w:rsidR="00DC7BAA" w:rsidRDefault="003327EC" w:rsidP="003327EC">
      <w:pPr>
        <w:spacing w:line="480" w:lineRule="auto"/>
        <w:ind w:firstLine="720"/>
        <w:jc w:val="both"/>
        <w:rPr>
          <w:rFonts w:ascii="Arial" w:hAnsi="Arial" w:cs="Arial"/>
          <w:b/>
        </w:rPr>
      </w:pPr>
      <w:r w:rsidRPr="003327EC">
        <w:rPr>
          <w:rFonts w:ascii="Arial" w:hAnsi="Arial" w:cs="Arial"/>
          <w:b/>
        </w:rPr>
        <w:lastRenderedPageBreak/>
        <w:t xml:space="preserve">HISTORY, RATIONALE AND WHAT CONSTITUTES THE FRAMEWORK OF </w:t>
      </w:r>
      <w:r>
        <w:rPr>
          <w:rFonts w:ascii="Arial" w:hAnsi="Arial" w:cs="Arial"/>
          <w:b/>
        </w:rPr>
        <w:t xml:space="preserve">the </w:t>
      </w:r>
      <w:r w:rsidRPr="003327EC">
        <w:rPr>
          <w:rFonts w:ascii="Arial" w:hAnsi="Arial" w:cs="Arial"/>
          <w:b/>
        </w:rPr>
        <w:t>BASEL COMMITTEE</w:t>
      </w:r>
      <w:r>
        <w:rPr>
          <w:rFonts w:ascii="Arial" w:hAnsi="Arial" w:cs="Arial"/>
          <w:b/>
        </w:rPr>
        <w:t>.</w:t>
      </w:r>
    </w:p>
    <w:p w:rsidR="003327EC" w:rsidRPr="006501F4" w:rsidRDefault="006501F4" w:rsidP="003327EC">
      <w:pPr>
        <w:spacing w:line="480" w:lineRule="auto"/>
        <w:ind w:firstLine="720"/>
        <w:jc w:val="both"/>
        <w:rPr>
          <w:rFonts w:ascii="Arial" w:hAnsi="Arial" w:cs="Arial"/>
          <w:b/>
        </w:rPr>
      </w:pPr>
      <w:r w:rsidRPr="006501F4">
        <w:rPr>
          <w:rFonts w:ascii="Arial" w:hAnsi="Arial" w:cs="Arial"/>
          <w:b/>
        </w:rPr>
        <w:t>The Basel Committee</w:t>
      </w:r>
    </w:p>
    <w:p w:rsidR="00EB77F4" w:rsidRPr="009F6258" w:rsidRDefault="001F1B4F" w:rsidP="001869E6">
      <w:pPr>
        <w:spacing w:line="480" w:lineRule="auto"/>
        <w:ind w:firstLine="720"/>
        <w:jc w:val="both"/>
        <w:rPr>
          <w:rStyle w:val="Hyperlink"/>
          <w:rFonts w:ascii="Arial" w:hAnsi="Arial" w:cs="Arial"/>
          <w:color w:val="auto"/>
          <w:u w:val="none"/>
        </w:rPr>
      </w:pPr>
      <w:r>
        <w:rPr>
          <w:rFonts w:ascii="Arial" w:hAnsi="Arial" w:cs="Arial"/>
        </w:rPr>
        <w:t xml:space="preserve">The Basel committee came into existence in1974 after the failure of </w:t>
      </w:r>
      <w:proofErr w:type="spellStart"/>
      <w:r>
        <w:rPr>
          <w:rFonts w:ascii="Arial" w:hAnsi="Arial" w:cs="Arial"/>
        </w:rPr>
        <w:t>Bankhaus</w:t>
      </w:r>
      <w:proofErr w:type="spellEnd"/>
      <w:r>
        <w:rPr>
          <w:rFonts w:ascii="Arial" w:hAnsi="Arial" w:cs="Arial"/>
        </w:rPr>
        <w:t xml:space="preserve"> </w:t>
      </w:r>
      <w:proofErr w:type="spellStart"/>
      <w:r>
        <w:rPr>
          <w:rFonts w:ascii="Arial" w:hAnsi="Arial" w:cs="Arial"/>
        </w:rPr>
        <w:t>Herstatt</w:t>
      </w:r>
      <w:proofErr w:type="spellEnd"/>
      <w:r>
        <w:rPr>
          <w:rFonts w:ascii="Arial" w:hAnsi="Arial" w:cs="Arial"/>
        </w:rPr>
        <w:t xml:space="preserve"> in West Germany. The committee was established by the Central Bank Governors of 10 countri</w:t>
      </w:r>
      <w:r w:rsidR="00CF06DA">
        <w:rPr>
          <w:rFonts w:ascii="Arial" w:hAnsi="Arial" w:cs="Arial"/>
        </w:rPr>
        <w:t xml:space="preserve">es </w:t>
      </w:r>
      <w:r w:rsidR="007D04B3">
        <w:rPr>
          <w:rFonts w:ascii="Arial" w:hAnsi="Arial" w:cs="Arial"/>
        </w:rPr>
        <w:t xml:space="preserve">(G-10) </w:t>
      </w:r>
      <w:r w:rsidR="00CF06DA">
        <w:rPr>
          <w:rFonts w:ascii="Arial" w:hAnsi="Arial" w:cs="Arial"/>
        </w:rPr>
        <w:t xml:space="preserve">with the main goal to </w:t>
      </w:r>
      <w:r w:rsidR="007D04B3">
        <w:rPr>
          <w:rFonts w:ascii="Arial" w:hAnsi="Arial" w:cs="Arial"/>
        </w:rPr>
        <w:t>“enhance</w:t>
      </w:r>
      <w:r w:rsidR="00CF06DA">
        <w:rPr>
          <w:rFonts w:ascii="Arial" w:hAnsi="Arial" w:cs="Arial"/>
        </w:rPr>
        <w:t xml:space="preserve"> financial stability by improving the quality of banking supervision worldwide, and to serve as a forum for regular cooperation between its member countries on banking supervisory matters”. </w:t>
      </w:r>
      <w:r w:rsidR="00A50A8B">
        <w:rPr>
          <w:rFonts w:ascii="Arial" w:hAnsi="Arial" w:cs="Arial"/>
        </w:rPr>
        <w:t>In achieving its goals</w:t>
      </w:r>
      <w:r w:rsidR="00CD61EC">
        <w:rPr>
          <w:rFonts w:ascii="Arial" w:hAnsi="Arial" w:cs="Arial"/>
        </w:rPr>
        <w:t xml:space="preserve"> for supervision of international banks</w:t>
      </w:r>
      <w:r w:rsidR="00A50A8B">
        <w:rPr>
          <w:rFonts w:ascii="Arial" w:hAnsi="Arial" w:cs="Arial"/>
        </w:rPr>
        <w:t>, the committee in 1988 released the Basel Cap</w:t>
      </w:r>
      <w:r w:rsidR="00CD61EC">
        <w:rPr>
          <w:rFonts w:ascii="Arial" w:hAnsi="Arial" w:cs="Arial"/>
        </w:rPr>
        <w:t>ital Accord also known as Basel I. The</w:t>
      </w:r>
      <w:r w:rsidR="00E4021E">
        <w:rPr>
          <w:rFonts w:ascii="Arial" w:hAnsi="Arial" w:cs="Arial"/>
        </w:rPr>
        <w:t xml:space="preserve"> </w:t>
      </w:r>
      <w:r w:rsidR="00FB6CD1">
        <w:rPr>
          <w:rFonts w:ascii="Arial" w:hAnsi="Arial" w:cs="Arial"/>
        </w:rPr>
        <w:t>primary focus</w:t>
      </w:r>
      <w:r w:rsidR="00CD61EC">
        <w:rPr>
          <w:rFonts w:ascii="Arial" w:hAnsi="Arial" w:cs="Arial"/>
        </w:rPr>
        <w:t xml:space="preserve"> of Basel I </w:t>
      </w:r>
      <w:r w:rsidR="008E1880">
        <w:rPr>
          <w:rFonts w:ascii="Arial" w:hAnsi="Arial" w:cs="Arial"/>
        </w:rPr>
        <w:t xml:space="preserve">was to set out a minimum </w:t>
      </w:r>
      <w:r w:rsidR="00CD61EC">
        <w:rPr>
          <w:rFonts w:ascii="Arial" w:hAnsi="Arial" w:cs="Arial"/>
        </w:rPr>
        <w:t>capit</w:t>
      </w:r>
      <w:r w:rsidR="00FB6CD1">
        <w:rPr>
          <w:rFonts w:ascii="Arial" w:hAnsi="Arial" w:cs="Arial"/>
        </w:rPr>
        <w:t>al</w:t>
      </w:r>
      <w:r w:rsidR="00FB6CD1" w:rsidRPr="00FB6CD1">
        <w:rPr>
          <w:rFonts w:ascii="Arial" w:hAnsi="Arial" w:cs="Arial"/>
        </w:rPr>
        <w:t xml:space="preserve"> </w:t>
      </w:r>
      <w:r w:rsidR="00FB6CD1">
        <w:rPr>
          <w:rFonts w:ascii="Arial" w:hAnsi="Arial" w:cs="Arial"/>
        </w:rPr>
        <w:t xml:space="preserve">ratio </w:t>
      </w:r>
      <w:r w:rsidR="001A4984">
        <w:rPr>
          <w:rFonts w:ascii="Arial" w:hAnsi="Arial" w:cs="Arial"/>
        </w:rPr>
        <w:t>for banks</w:t>
      </w:r>
      <w:r w:rsidR="00FB6CD1">
        <w:rPr>
          <w:rFonts w:ascii="Arial" w:hAnsi="Arial" w:cs="Arial"/>
        </w:rPr>
        <w:t xml:space="preserve"> and to assist in addressing Credit </w:t>
      </w:r>
      <w:proofErr w:type="gramStart"/>
      <w:r w:rsidR="00FB6CD1">
        <w:rPr>
          <w:rFonts w:ascii="Arial" w:hAnsi="Arial" w:cs="Arial"/>
        </w:rPr>
        <w:t xml:space="preserve">Risk </w:t>
      </w:r>
      <w:r w:rsidR="00F60DB1">
        <w:rPr>
          <w:rFonts w:ascii="Arial" w:hAnsi="Arial" w:cs="Arial"/>
        </w:rPr>
        <w:t xml:space="preserve"> issues</w:t>
      </w:r>
      <w:proofErr w:type="gramEnd"/>
      <w:r w:rsidR="00F60DB1">
        <w:rPr>
          <w:rFonts w:ascii="Arial" w:hAnsi="Arial" w:cs="Arial"/>
        </w:rPr>
        <w:t xml:space="preserve"> </w:t>
      </w:r>
      <w:r w:rsidR="00FB6CD1">
        <w:rPr>
          <w:rFonts w:ascii="Arial" w:hAnsi="Arial" w:cs="Arial"/>
        </w:rPr>
        <w:t xml:space="preserve">in </w:t>
      </w:r>
      <w:r w:rsidR="00CD61EC">
        <w:rPr>
          <w:rFonts w:ascii="Arial" w:hAnsi="Arial" w:cs="Arial"/>
        </w:rPr>
        <w:t>Internatio</w:t>
      </w:r>
      <w:r w:rsidR="00FB6CD1">
        <w:rPr>
          <w:rFonts w:ascii="Arial" w:hAnsi="Arial" w:cs="Arial"/>
        </w:rPr>
        <w:t xml:space="preserve">nal Active Banks. </w:t>
      </w:r>
      <w:r w:rsidR="00D81772">
        <w:rPr>
          <w:rFonts w:ascii="Arial" w:hAnsi="Arial" w:cs="Arial"/>
        </w:rPr>
        <w:t xml:space="preserve">In spite of the advantages of Basel I, its implementation soon brought about some </w:t>
      </w:r>
      <w:r w:rsidR="00C63B8C">
        <w:rPr>
          <w:rFonts w:ascii="Arial" w:hAnsi="Arial" w:cs="Arial"/>
        </w:rPr>
        <w:t>weaknesses. These weaknesses</w:t>
      </w:r>
      <w:r w:rsidR="00D81772">
        <w:rPr>
          <w:rFonts w:ascii="Arial" w:hAnsi="Arial" w:cs="Arial"/>
        </w:rPr>
        <w:t xml:space="preserve"> </w:t>
      </w:r>
      <w:r w:rsidR="00C63B8C">
        <w:rPr>
          <w:rFonts w:ascii="Arial" w:hAnsi="Arial" w:cs="Arial"/>
        </w:rPr>
        <w:t>included</w:t>
      </w:r>
      <w:r w:rsidR="00D81772">
        <w:rPr>
          <w:rFonts w:ascii="Arial" w:hAnsi="Arial" w:cs="Arial"/>
        </w:rPr>
        <w:t xml:space="preserve"> the failure to address other forms of risks</w:t>
      </w:r>
      <w:r w:rsidR="00845757">
        <w:rPr>
          <w:rFonts w:ascii="Arial" w:hAnsi="Arial" w:cs="Arial"/>
        </w:rPr>
        <w:t xml:space="preserve"> </w:t>
      </w:r>
      <w:r w:rsidR="00E218CB">
        <w:rPr>
          <w:rFonts w:ascii="Arial" w:hAnsi="Arial" w:cs="Arial"/>
        </w:rPr>
        <w:t xml:space="preserve">such as systematic risks, operational risks, reputation risks, </w:t>
      </w:r>
      <w:r w:rsidR="00A36920">
        <w:rPr>
          <w:rFonts w:ascii="Arial" w:hAnsi="Arial" w:cs="Arial"/>
        </w:rPr>
        <w:t>and strategic</w:t>
      </w:r>
      <w:r w:rsidR="00E218CB">
        <w:rPr>
          <w:rFonts w:ascii="Arial" w:hAnsi="Arial" w:cs="Arial"/>
        </w:rPr>
        <w:t xml:space="preserve"> risk in banking. Also, the one size fits all approach in defining risks weight led the banks to treat debtors of varying cred</w:t>
      </w:r>
      <w:r w:rsidR="001E0B89">
        <w:rPr>
          <w:rFonts w:ascii="Arial" w:hAnsi="Arial" w:cs="Arial"/>
        </w:rPr>
        <w:t xml:space="preserve">it quality and </w:t>
      </w:r>
      <w:r w:rsidR="00A36920">
        <w:rPr>
          <w:rFonts w:ascii="Arial" w:hAnsi="Arial" w:cs="Arial"/>
        </w:rPr>
        <w:t>rating equally</w:t>
      </w:r>
      <w:r w:rsidR="001E0B89">
        <w:rPr>
          <w:rFonts w:ascii="Arial" w:hAnsi="Arial" w:cs="Arial"/>
        </w:rPr>
        <w:t>.</w:t>
      </w:r>
      <w:r w:rsidR="001E0B89">
        <w:rPr>
          <w:rStyle w:val="FootnoteReference"/>
          <w:rFonts w:ascii="Arial" w:hAnsi="Arial" w:cs="Arial"/>
        </w:rPr>
        <w:footnoteReference w:id="7"/>
      </w:r>
      <w:r w:rsidR="001E0B89">
        <w:rPr>
          <w:rFonts w:ascii="Arial" w:hAnsi="Arial" w:cs="Arial"/>
        </w:rPr>
        <w:t xml:space="preserve"> This then led the banks to issue more </w:t>
      </w:r>
      <w:r w:rsidR="00A36920">
        <w:rPr>
          <w:rFonts w:ascii="Arial" w:hAnsi="Arial" w:cs="Arial"/>
        </w:rPr>
        <w:t>risky and</w:t>
      </w:r>
      <w:r w:rsidR="001E0B89">
        <w:rPr>
          <w:rFonts w:ascii="Arial" w:hAnsi="Arial" w:cs="Arial"/>
        </w:rPr>
        <w:t xml:space="preserve"> high yielding loans within the same </w:t>
      </w:r>
      <w:r w:rsidR="00A36920">
        <w:rPr>
          <w:rFonts w:ascii="Arial" w:hAnsi="Arial" w:cs="Arial"/>
        </w:rPr>
        <w:t>risk</w:t>
      </w:r>
      <w:r w:rsidR="001E0B89">
        <w:rPr>
          <w:rFonts w:ascii="Arial" w:hAnsi="Arial" w:cs="Arial"/>
        </w:rPr>
        <w:t xml:space="preserve"> category</w:t>
      </w:r>
      <w:r w:rsidR="001E0B89">
        <w:rPr>
          <w:rStyle w:val="FootnoteReference"/>
          <w:rFonts w:ascii="Arial" w:hAnsi="Arial" w:cs="Arial"/>
        </w:rPr>
        <w:footnoteReference w:id="8"/>
      </w:r>
      <w:r w:rsidR="00A36920">
        <w:rPr>
          <w:rFonts w:ascii="Arial" w:hAnsi="Arial" w:cs="Arial"/>
        </w:rPr>
        <w:t>. Due</w:t>
      </w:r>
      <w:r w:rsidR="001E0B89">
        <w:rPr>
          <w:rFonts w:ascii="Arial" w:hAnsi="Arial" w:cs="Arial"/>
        </w:rPr>
        <w:t xml:space="preserve"> to the shortcomings of Basel I,</w:t>
      </w:r>
      <w:r w:rsidR="00A36920">
        <w:rPr>
          <w:rFonts w:ascii="Arial" w:hAnsi="Arial" w:cs="Arial"/>
        </w:rPr>
        <w:t xml:space="preserve"> the Basel committee</w:t>
      </w:r>
      <w:r w:rsidR="00DC4723">
        <w:rPr>
          <w:rFonts w:ascii="Arial" w:hAnsi="Arial" w:cs="Arial"/>
        </w:rPr>
        <w:t xml:space="preserve"> on banking supervision </w:t>
      </w:r>
      <w:r w:rsidR="00A36920">
        <w:rPr>
          <w:rFonts w:ascii="Arial" w:hAnsi="Arial" w:cs="Arial"/>
        </w:rPr>
        <w:t>made amendment</w:t>
      </w:r>
      <w:r w:rsidR="00F1772F">
        <w:rPr>
          <w:rFonts w:ascii="Arial" w:hAnsi="Arial" w:cs="Arial"/>
        </w:rPr>
        <w:t xml:space="preserve">s by taking into consideration some of the concerns raised by some of the </w:t>
      </w:r>
      <w:r w:rsidR="00A36920">
        <w:rPr>
          <w:rFonts w:ascii="Arial" w:hAnsi="Arial" w:cs="Arial"/>
        </w:rPr>
        <w:t xml:space="preserve">central banks around the world and key stakeholders of the banking industry. After a lot of deliberations, </w:t>
      </w:r>
      <w:r w:rsidR="003F13B4">
        <w:rPr>
          <w:rFonts w:ascii="Arial" w:hAnsi="Arial" w:cs="Arial"/>
        </w:rPr>
        <w:t>in</w:t>
      </w:r>
      <w:r w:rsidR="00A36920">
        <w:rPr>
          <w:rFonts w:ascii="Arial" w:hAnsi="Arial" w:cs="Arial"/>
        </w:rPr>
        <w:t xml:space="preserve"> 2004 a new set</w:t>
      </w:r>
      <w:r w:rsidR="003F13B4">
        <w:rPr>
          <w:rFonts w:ascii="Arial" w:hAnsi="Arial" w:cs="Arial"/>
        </w:rPr>
        <w:t xml:space="preserve"> of regulations was introduced known as Basel II.</w:t>
      </w:r>
      <w:r w:rsidR="00F1772F">
        <w:rPr>
          <w:rFonts w:ascii="Arial" w:hAnsi="Arial" w:cs="Arial"/>
        </w:rPr>
        <w:t xml:space="preserve"> Basel II comprised of three main pillars. This included</w:t>
      </w:r>
      <w:r w:rsidR="004F46E7">
        <w:rPr>
          <w:rFonts w:ascii="Arial" w:hAnsi="Arial" w:cs="Arial"/>
        </w:rPr>
        <w:t xml:space="preserve"> </w:t>
      </w:r>
      <w:r w:rsidR="004F46E7">
        <w:rPr>
          <w:rFonts w:ascii="Arial" w:hAnsi="Arial" w:cs="Arial"/>
        </w:rPr>
        <w:lastRenderedPageBreak/>
        <w:t>advancing and expanding the minimum capital requirements</w:t>
      </w:r>
      <w:r w:rsidR="00F1772F">
        <w:rPr>
          <w:rFonts w:ascii="Arial" w:hAnsi="Arial" w:cs="Arial"/>
        </w:rPr>
        <w:t xml:space="preserve"> </w:t>
      </w:r>
      <w:r w:rsidR="004F46E7">
        <w:rPr>
          <w:rFonts w:ascii="Arial" w:hAnsi="Arial" w:cs="Arial"/>
        </w:rPr>
        <w:t xml:space="preserve">set out </w:t>
      </w:r>
      <w:r w:rsidR="00184204">
        <w:rPr>
          <w:rFonts w:ascii="Arial" w:hAnsi="Arial" w:cs="Arial"/>
        </w:rPr>
        <w:t xml:space="preserve">in Basel I. The second pillar was based on internal assessment control and supervisory review on capital adequacy requirement. </w:t>
      </w:r>
      <w:r w:rsidR="001869E6">
        <w:rPr>
          <w:rFonts w:ascii="Arial" w:hAnsi="Arial" w:cs="Arial"/>
        </w:rPr>
        <w:t xml:space="preserve">This second pillar obligated the banks to set up internal </w:t>
      </w:r>
      <w:r w:rsidR="00802BCB">
        <w:rPr>
          <w:rFonts w:ascii="Arial" w:hAnsi="Arial" w:cs="Arial"/>
        </w:rPr>
        <w:t>methods</w:t>
      </w:r>
      <w:r w:rsidR="001869E6">
        <w:rPr>
          <w:rFonts w:ascii="Arial" w:hAnsi="Arial" w:cs="Arial"/>
        </w:rPr>
        <w:t xml:space="preserve"> </w:t>
      </w:r>
      <w:r w:rsidR="00802BCB">
        <w:rPr>
          <w:rFonts w:ascii="Arial" w:hAnsi="Arial" w:cs="Arial"/>
        </w:rPr>
        <w:t>t</w:t>
      </w:r>
      <w:r w:rsidR="001869E6">
        <w:rPr>
          <w:rFonts w:ascii="Arial" w:hAnsi="Arial" w:cs="Arial"/>
        </w:rPr>
        <w:t xml:space="preserve">o ensure that they are in compliance </w:t>
      </w:r>
      <w:r w:rsidR="00E36A98">
        <w:rPr>
          <w:rFonts w:ascii="Arial" w:hAnsi="Arial" w:cs="Arial"/>
        </w:rPr>
        <w:t>with the capital levels. The rationale is that internally developed systems will make the framework more risk sensitive and evaluate risk in a more precise manner.</w:t>
      </w:r>
      <w:r w:rsidR="00D36B5E">
        <w:rPr>
          <w:rStyle w:val="FootnoteReference"/>
          <w:rFonts w:ascii="Arial" w:hAnsi="Arial" w:cs="Arial"/>
        </w:rPr>
        <w:footnoteReference w:id="9"/>
      </w:r>
      <w:r w:rsidR="00D36B5E">
        <w:rPr>
          <w:rFonts w:ascii="Arial" w:hAnsi="Arial" w:cs="Arial"/>
        </w:rPr>
        <w:t xml:space="preserve"> The third </w:t>
      </w:r>
      <w:r w:rsidR="00E87190">
        <w:rPr>
          <w:rFonts w:ascii="Arial" w:hAnsi="Arial" w:cs="Arial"/>
        </w:rPr>
        <w:t xml:space="preserve">pillar centered on market discipline. Banks were required to disclose to the public its market related investment to ensure </w:t>
      </w:r>
      <w:proofErr w:type="gramStart"/>
      <w:r w:rsidR="00E87190">
        <w:rPr>
          <w:rFonts w:ascii="Arial" w:hAnsi="Arial" w:cs="Arial"/>
        </w:rPr>
        <w:t>that  the</w:t>
      </w:r>
      <w:proofErr w:type="gramEnd"/>
      <w:r w:rsidR="00E87190">
        <w:rPr>
          <w:rFonts w:ascii="Arial" w:hAnsi="Arial" w:cs="Arial"/>
        </w:rPr>
        <w:t xml:space="preserve"> market understands  the banks soundness, risk  portfolio and also its capital adequacy.</w:t>
      </w:r>
      <w:r w:rsidR="0065571B">
        <w:rPr>
          <w:rStyle w:val="FootnoteReference"/>
          <w:rFonts w:ascii="Arial" w:hAnsi="Arial" w:cs="Arial"/>
        </w:rPr>
        <w:footnoteReference w:id="10"/>
      </w:r>
    </w:p>
    <w:p w:rsidR="006501F4" w:rsidRPr="009F6258" w:rsidRDefault="006501F4" w:rsidP="003327EC">
      <w:pPr>
        <w:spacing w:line="480" w:lineRule="auto"/>
        <w:ind w:firstLine="720"/>
        <w:jc w:val="both"/>
        <w:rPr>
          <w:rStyle w:val="Hyperlink"/>
          <w:rFonts w:ascii="Arial" w:hAnsi="Arial" w:cs="Arial"/>
          <w:color w:val="auto"/>
          <w:u w:val="none"/>
        </w:rPr>
      </w:pPr>
    </w:p>
    <w:sectPr w:rsidR="006501F4" w:rsidRPr="009F625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190" w:rsidRDefault="00E87190" w:rsidP="00E24369">
      <w:r>
        <w:separator/>
      </w:r>
    </w:p>
  </w:endnote>
  <w:endnote w:type="continuationSeparator" w:id="0">
    <w:p w:rsidR="00E87190" w:rsidRDefault="00E87190" w:rsidP="00E2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sto MT">
    <w:panose1 w:val="0204060305050503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783544"/>
      <w:docPartObj>
        <w:docPartGallery w:val="Page Numbers (Bottom of Page)"/>
        <w:docPartUnique/>
      </w:docPartObj>
    </w:sdtPr>
    <w:sdtEndPr>
      <w:rPr>
        <w:noProof/>
        <w:sz w:val="22"/>
        <w:szCs w:val="22"/>
      </w:rPr>
    </w:sdtEndPr>
    <w:sdtContent>
      <w:p w:rsidR="00E87190" w:rsidRPr="00093907" w:rsidRDefault="00E87190">
        <w:pPr>
          <w:pStyle w:val="Footer"/>
          <w:jc w:val="right"/>
          <w:rPr>
            <w:sz w:val="22"/>
            <w:szCs w:val="22"/>
          </w:rPr>
        </w:pPr>
        <w:r w:rsidRPr="00093907">
          <w:rPr>
            <w:sz w:val="22"/>
            <w:szCs w:val="22"/>
          </w:rPr>
          <w:fldChar w:fldCharType="begin"/>
        </w:r>
        <w:r w:rsidRPr="00093907">
          <w:rPr>
            <w:sz w:val="22"/>
            <w:szCs w:val="22"/>
          </w:rPr>
          <w:instrText xml:space="preserve"> PAGE   \* MERGEFORMAT </w:instrText>
        </w:r>
        <w:r w:rsidRPr="00093907">
          <w:rPr>
            <w:sz w:val="22"/>
            <w:szCs w:val="22"/>
          </w:rPr>
          <w:fldChar w:fldCharType="separate"/>
        </w:r>
        <w:r w:rsidR="0065571B">
          <w:rPr>
            <w:noProof/>
            <w:sz w:val="22"/>
            <w:szCs w:val="22"/>
          </w:rPr>
          <w:t>4</w:t>
        </w:r>
        <w:r w:rsidRPr="00093907">
          <w:rPr>
            <w:noProof/>
            <w:sz w:val="22"/>
            <w:szCs w:val="22"/>
          </w:rPr>
          <w:fldChar w:fldCharType="end"/>
        </w:r>
      </w:p>
    </w:sdtContent>
  </w:sdt>
  <w:p w:rsidR="00E87190" w:rsidRDefault="00E8719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190" w:rsidRDefault="00E87190" w:rsidP="00E24369">
      <w:r>
        <w:separator/>
      </w:r>
    </w:p>
  </w:footnote>
  <w:footnote w:type="continuationSeparator" w:id="0">
    <w:p w:rsidR="00E87190" w:rsidRDefault="00E87190" w:rsidP="00E24369">
      <w:r>
        <w:continuationSeparator/>
      </w:r>
    </w:p>
  </w:footnote>
  <w:footnote w:id="1">
    <w:p w:rsidR="00E87190" w:rsidRDefault="00E87190" w:rsidP="006B56E8">
      <w:pPr>
        <w:pStyle w:val="FootnoteText"/>
      </w:pPr>
      <w:r>
        <w:rPr>
          <w:rStyle w:val="FootnoteReference"/>
        </w:rPr>
        <w:footnoteRef/>
      </w:r>
      <w:r>
        <w:t xml:space="preserve"> </w:t>
      </w:r>
      <w:r>
        <w:rPr>
          <w:color w:val="000000"/>
          <w:shd w:val="clear" w:color="auto" w:fill="FFFFFF"/>
        </w:rPr>
        <w:t>European Central Bank. (2010, September). BEYOND ROE - HOW TO MEASURE BANK PERFORMANCE. Retrieved from https://www.ecb.europa.eu/pub/pdf/other/beyondroehowtomeasurebankperformance201009en.pdf</w:t>
      </w:r>
    </w:p>
  </w:footnote>
  <w:footnote w:id="2">
    <w:p w:rsidR="00E87190" w:rsidRDefault="00E87190" w:rsidP="006B56E8">
      <w:pPr>
        <w:pStyle w:val="FootnoteText"/>
      </w:pPr>
      <w:r>
        <w:rPr>
          <w:rStyle w:val="FootnoteReference"/>
        </w:rPr>
        <w:footnoteRef/>
      </w:r>
      <w:r>
        <w:t xml:space="preserve"> </w:t>
      </w:r>
      <w:r w:rsidRPr="0076200F">
        <w:rPr>
          <w:i/>
        </w:rPr>
        <w:t>Ibid</w:t>
      </w:r>
    </w:p>
  </w:footnote>
  <w:footnote w:id="3">
    <w:p w:rsidR="00E87190" w:rsidRPr="00181863" w:rsidRDefault="00E87190" w:rsidP="006B56E8">
      <w:pPr>
        <w:pStyle w:val="FootnoteText"/>
        <w:rPr>
          <w:i/>
        </w:rPr>
      </w:pPr>
      <w:r>
        <w:rPr>
          <w:rStyle w:val="FootnoteReference"/>
        </w:rPr>
        <w:footnoteRef/>
      </w:r>
      <w:r>
        <w:t xml:space="preserve"> European Central Bank, </w:t>
      </w:r>
      <w:r>
        <w:rPr>
          <w:i/>
        </w:rPr>
        <w:t>supra</w:t>
      </w:r>
    </w:p>
  </w:footnote>
  <w:footnote w:id="4">
    <w:p w:rsidR="00E87190" w:rsidRPr="0076200F" w:rsidRDefault="00E87190" w:rsidP="006B56E8">
      <w:pPr>
        <w:pStyle w:val="FootnoteText"/>
        <w:rPr>
          <w:i/>
        </w:rPr>
      </w:pPr>
      <w:r>
        <w:rPr>
          <w:rStyle w:val="FootnoteReference"/>
        </w:rPr>
        <w:footnoteRef/>
      </w:r>
      <w:r>
        <w:t xml:space="preserve"> European Central Bank, </w:t>
      </w:r>
      <w:r>
        <w:rPr>
          <w:i/>
        </w:rPr>
        <w:t>supra</w:t>
      </w:r>
    </w:p>
  </w:footnote>
  <w:footnote w:id="5">
    <w:p w:rsidR="00E87190" w:rsidRPr="00181863" w:rsidRDefault="00E87190" w:rsidP="006B56E8">
      <w:pPr>
        <w:pStyle w:val="FootnoteText"/>
        <w:rPr>
          <w:i/>
        </w:rPr>
      </w:pPr>
      <w:r>
        <w:rPr>
          <w:rStyle w:val="FootnoteReference"/>
        </w:rPr>
        <w:footnoteRef/>
      </w:r>
      <w:r>
        <w:t xml:space="preserve"> European Central Bank, </w:t>
      </w:r>
      <w:r>
        <w:rPr>
          <w:i/>
        </w:rPr>
        <w:t>supra</w:t>
      </w:r>
    </w:p>
  </w:footnote>
  <w:footnote w:id="6">
    <w:p w:rsidR="00E87190" w:rsidRPr="00181863" w:rsidRDefault="00E87190" w:rsidP="006B56E8">
      <w:pPr>
        <w:pStyle w:val="FootnoteText"/>
        <w:rPr>
          <w:i/>
        </w:rPr>
      </w:pPr>
      <w:r>
        <w:rPr>
          <w:rStyle w:val="FootnoteReference"/>
        </w:rPr>
        <w:footnoteRef/>
      </w:r>
      <w:r>
        <w:t xml:space="preserve"> European Central Bank, </w:t>
      </w:r>
      <w:r>
        <w:rPr>
          <w:i/>
        </w:rPr>
        <w:t>supra</w:t>
      </w:r>
    </w:p>
  </w:footnote>
  <w:footnote w:id="7">
    <w:p w:rsidR="00E87190" w:rsidRPr="001E0B89" w:rsidRDefault="00E87190">
      <w:pPr>
        <w:pStyle w:val="FootnoteText"/>
        <w:rPr>
          <w:lang w:val="en-US"/>
        </w:rPr>
      </w:pPr>
      <w:r>
        <w:rPr>
          <w:rStyle w:val="FootnoteReference"/>
        </w:rPr>
        <w:footnoteRef/>
      </w:r>
      <w:r>
        <w:t xml:space="preserve"> </w:t>
      </w:r>
      <w:hyperlink r:id="rId1" w:history="1">
        <w:r w:rsidRPr="00DC7CA3">
          <w:rPr>
            <w:rStyle w:val="Hyperlink"/>
          </w:rPr>
          <w:t>http://studenttheses.cbs.dk/bitstream/handle/10417/2882/geir_oedegaard.pdf</w:t>
        </w:r>
      </w:hyperlink>
      <w:r>
        <w:t xml:space="preserve"> </w:t>
      </w:r>
      <w:proofErr w:type="spellStart"/>
      <w:r>
        <w:t>pg</w:t>
      </w:r>
      <w:proofErr w:type="spellEnd"/>
      <w:r>
        <w:t xml:space="preserve"> 32</w:t>
      </w:r>
    </w:p>
  </w:footnote>
  <w:footnote w:id="8">
    <w:p w:rsidR="00E87190" w:rsidRPr="001E0B89" w:rsidRDefault="00E87190">
      <w:pPr>
        <w:pStyle w:val="FootnoteText"/>
        <w:rPr>
          <w:lang w:val="en-US"/>
        </w:rPr>
      </w:pPr>
      <w:r>
        <w:rPr>
          <w:rStyle w:val="FootnoteReference"/>
        </w:rPr>
        <w:footnoteRef/>
      </w:r>
      <w:r>
        <w:t xml:space="preserve"> </w:t>
      </w:r>
      <w:r>
        <w:rPr>
          <w:lang w:val="en-US"/>
        </w:rPr>
        <w:t xml:space="preserve">ibid </w:t>
      </w:r>
      <w:proofErr w:type="spellStart"/>
      <w:r>
        <w:rPr>
          <w:lang w:val="en-US"/>
        </w:rPr>
        <w:t>pg</w:t>
      </w:r>
      <w:proofErr w:type="spellEnd"/>
      <w:r>
        <w:rPr>
          <w:lang w:val="en-US"/>
        </w:rPr>
        <w:t xml:space="preserve"> 32</w:t>
      </w:r>
    </w:p>
  </w:footnote>
  <w:footnote w:id="9">
    <w:p w:rsidR="00E87190" w:rsidRPr="00D36B5E" w:rsidRDefault="00E87190">
      <w:pPr>
        <w:pStyle w:val="FootnoteText"/>
        <w:rPr>
          <w:lang w:val="en-US"/>
        </w:rPr>
      </w:pPr>
      <w:r>
        <w:rPr>
          <w:rStyle w:val="FootnoteReference"/>
        </w:rPr>
        <w:footnoteRef/>
      </w:r>
      <w:r>
        <w:t xml:space="preserve"> </w:t>
      </w:r>
      <w:hyperlink r:id="rId2" w:history="1">
        <w:r w:rsidRPr="00DC7CA3">
          <w:rPr>
            <w:rStyle w:val="Hyperlink"/>
          </w:rPr>
          <w:t>http://studenttheses.cbs.dk/bitstream/handle/10417/2882/geir_oedegaard.pdf</w:t>
        </w:r>
      </w:hyperlink>
      <w:proofErr w:type="gramStart"/>
      <w:r>
        <w:t xml:space="preserve">  page</w:t>
      </w:r>
      <w:proofErr w:type="gramEnd"/>
      <w:r>
        <w:t xml:space="preserve">  38</w:t>
      </w:r>
    </w:p>
  </w:footnote>
  <w:footnote w:id="10">
    <w:p w:rsidR="0065571B" w:rsidRPr="0065571B" w:rsidRDefault="0065571B">
      <w:pPr>
        <w:pStyle w:val="FootnoteText"/>
        <w:rPr>
          <w:lang w:val="en-US"/>
        </w:rPr>
      </w:pPr>
      <w:r>
        <w:rPr>
          <w:rStyle w:val="FootnoteReference"/>
        </w:rPr>
        <w:footnoteRef/>
      </w:r>
      <w:r>
        <w:t xml:space="preserve"> </w:t>
      </w:r>
      <w:r w:rsidRPr="0065571B">
        <w:t>http://www.abj.org.jo/portals/0/BaselCommittee.pdf</w:t>
      </w:r>
      <w:bookmarkStart w:id="0" w:name="_GoBack"/>
      <w:bookmarkEnd w:id="0"/>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13649"/>
    <w:multiLevelType w:val="hybridMultilevel"/>
    <w:tmpl w:val="2C6EEC40"/>
    <w:lvl w:ilvl="0" w:tplc="FCCE259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99B"/>
    <w:rsid w:val="00000262"/>
    <w:rsid w:val="0000478B"/>
    <w:rsid w:val="0000722B"/>
    <w:rsid w:val="000140F6"/>
    <w:rsid w:val="00026C33"/>
    <w:rsid w:val="0003613C"/>
    <w:rsid w:val="000569FA"/>
    <w:rsid w:val="00061DC5"/>
    <w:rsid w:val="00065F86"/>
    <w:rsid w:val="00066F70"/>
    <w:rsid w:val="00071756"/>
    <w:rsid w:val="00073257"/>
    <w:rsid w:val="00083E5C"/>
    <w:rsid w:val="00093907"/>
    <w:rsid w:val="0009634D"/>
    <w:rsid w:val="000979E6"/>
    <w:rsid w:val="000A26D3"/>
    <w:rsid w:val="000B2017"/>
    <w:rsid w:val="000D0BBC"/>
    <w:rsid w:val="000E67EC"/>
    <w:rsid w:val="000F5E83"/>
    <w:rsid w:val="000F6FD5"/>
    <w:rsid w:val="00121E4F"/>
    <w:rsid w:val="00123F73"/>
    <w:rsid w:val="00141031"/>
    <w:rsid w:val="00165C5F"/>
    <w:rsid w:val="00181863"/>
    <w:rsid w:val="00182127"/>
    <w:rsid w:val="00184204"/>
    <w:rsid w:val="001869E6"/>
    <w:rsid w:val="00186FBE"/>
    <w:rsid w:val="00195212"/>
    <w:rsid w:val="001A034C"/>
    <w:rsid w:val="001A48F4"/>
    <w:rsid w:val="001A4984"/>
    <w:rsid w:val="001C16AA"/>
    <w:rsid w:val="001C428F"/>
    <w:rsid w:val="001D514F"/>
    <w:rsid w:val="001E0B89"/>
    <w:rsid w:val="001E329C"/>
    <w:rsid w:val="001E7AB6"/>
    <w:rsid w:val="001F1B4F"/>
    <w:rsid w:val="001F26AD"/>
    <w:rsid w:val="001F78E9"/>
    <w:rsid w:val="00200548"/>
    <w:rsid w:val="002035B2"/>
    <w:rsid w:val="002105B5"/>
    <w:rsid w:val="0022789F"/>
    <w:rsid w:val="00243537"/>
    <w:rsid w:val="00260986"/>
    <w:rsid w:val="002915D1"/>
    <w:rsid w:val="00294D9A"/>
    <w:rsid w:val="002B3CD3"/>
    <w:rsid w:val="002B4CB6"/>
    <w:rsid w:val="002B4E4E"/>
    <w:rsid w:val="002B5C3B"/>
    <w:rsid w:val="002B620C"/>
    <w:rsid w:val="002E305A"/>
    <w:rsid w:val="002E4A1B"/>
    <w:rsid w:val="002E6388"/>
    <w:rsid w:val="002E6C85"/>
    <w:rsid w:val="002F7517"/>
    <w:rsid w:val="00303453"/>
    <w:rsid w:val="00303AED"/>
    <w:rsid w:val="00320A43"/>
    <w:rsid w:val="00320CFC"/>
    <w:rsid w:val="003327EC"/>
    <w:rsid w:val="00353D4F"/>
    <w:rsid w:val="00367EF4"/>
    <w:rsid w:val="00373076"/>
    <w:rsid w:val="003732A5"/>
    <w:rsid w:val="00381964"/>
    <w:rsid w:val="00395AD6"/>
    <w:rsid w:val="003A6571"/>
    <w:rsid w:val="003C3A7A"/>
    <w:rsid w:val="003C7460"/>
    <w:rsid w:val="003D0980"/>
    <w:rsid w:val="003D711A"/>
    <w:rsid w:val="003F13B4"/>
    <w:rsid w:val="003F6C8B"/>
    <w:rsid w:val="0042459C"/>
    <w:rsid w:val="00424ADF"/>
    <w:rsid w:val="004423AF"/>
    <w:rsid w:val="00445A63"/>
    <w:rsid w:val="00455CD0"/>
    <w:rsid w:val="00466479"/>
    <w:rsid w:val="00476726"/>
    <w:rsid w:val="004818ED"/>
    <w:rsid w:val="004835A7"/>
    <w:rsid w:val="00485FF0"/>
    <w:rsid w:val="00492DD2"/>
    <w:rsid w:val="004A37C2"/>
    <w:rsid w:val="004C4F52"/>
    <w:rsid w:val="004D3053"/>
    <w:rsid w:val="004D43A4"/>
    <w:rsid w:val="004F46E7"/>
    <w:rsid w:val="004F7970"/>
    <w:rsid w:val="005009E5"/>
    <w:rsid w:val="00500F34"/>
    <w:rsid w:val="005114CF"/>
    <w:rsid w:val="00517EF2"/>
    <w:rsid w:val="00532698"/>
    <w:rsid w:val="00533EEF"/>
    <w:rsid w:val="00540706"/>
    <w:rsid w:val="00541B79"/>
    <w:rsid w:val="005461B0"/>
    <w:rsid w:val="00552D8D"/>
    <w:rsid w:val="00555D1E"/>
    <w:rsid w:val="0057658D"/>
    <w:rsid w:val="005A77BA"/>
    <w:rsid w:val="005B3E50"/>
    <w:rsid w:val="005B6233"/>
    <w:rsid w:val="005C1786"/>
    <w:rsid w:val="005E49FA"/>
    <w:rsid w:val="00607037"/>
    <w:rsid w:val="00611B09"/>
    <w:rsid w:val="006147C6"/>
    <w:rsid w:val="00616CF9"/>
    <w:rsid w:val="00622B9B"/>
    <w:rsid w:val="006409A9"/>
    <w:rsid w:val="006501F4"/>
    <w:rsid w:val="0065571B"/>
    <w:rsid w:val="0066046B"/>
    <w:rsid w:val="006762E6"/>
    <w:rsid w:val="00681145"/>
    <w:rsid w:val="00681CD9"/>
    <w:rsid w:val="00686EB5"/>
    <w:rsid w:val="006929A1"/>
    <w:rsid w:val="006A3698"/>
    <w:rsid w:val="006A4BEC"/>
    <w:rsid w:val="006B4760"/>
    <w:rsid w:val="006B56E8"/>
    <w:rsid w:val="006C054A"/>
    <w:rsid w:val="006D2607"/>
    <w:rsid w:val="006D2A55"/>
    <w:rsid w:val="006D547F"/>
    <w:rsid w:val="006D6EC2"/>
    <w:rsid w:val="006E02B0"/>
    <w:rsid w:val="006E4A33"/>
    <w:rsid w:val="0071628E"/>
    <w:rsid w:val="00736941"/>
    <w:rsid w:val="0076200F"/>
    <w:rsid w:val="00767623"/>
    <w:rsid w:val="0077716D"/>
    <w:rsid w:val="007775F7"/>
    <w:rsid w:val="007912B4"/>
    <w:rsid w:val="007A249E"/>
    <w:rsid w:val="007A2674"/>
    <w:rsid w:val="007B30C2"/>
    <w:rsid w:val="007B4112"/>
    <w:rsid w:val="007C2239"/>
    <w:rsid w:val="007D04B3"/>
    <w:rsid w:val="007D2810"/>
    <w:rsid w:val="007D6F27"/>
    <w:rsid w:val="007E02EE"/>
    <w:rsid w:val="00801350"/>
    <w:rsid w:val="00802BCB"/>
    <w:rsid w:val="0080457F"/>
    <w:rsid w:val="0080729E"/>
    <w:rsid w:val="00810252"/>
    <w:rsid w:val="00810DB4"/>
    <w:rsid w:val="00812FA3"/>
    <w:rsid w:val="00814F1F"/>
    <w:rsid w:val="00817C9B"/>
    <w:rsid w:val="00827E6B"/>
    <w:rsid w:val="00832817"/>
    <w:rsid w:val="00833C1F"/>
    <w:rsid w:val="00833CCD"/>
    <w:rsid w:val="00841A1E"/>
    <w:rsid w:val="00841E61"/>
    <w:rsid w:val="00845757"/>
    <w:rsid w:val="008554F3"/>
    <w:rsid w:val="0086170D"/>
    <w:rsid w:val="00862960"/>
    <w:rsid w:val="00866DF6"/>
    <w:rsid w:val="00872DAD"/>
    <w:rsid w:val="008771DC"/>
    <w:rsid w:val="0088048D"/>
    <w:rsid w:val="008859A9"/>
    <w:rsid w:val="00890243"/>
    <w:rsid w:val="00891218"/>
    <w:rsid w:val="008962EB"/>
    <w:rsid w:val="008A2AE4"/>
    <w:rsid w:val="008C2823"/>
    <w:rsid w:val="008C6BD1"/>
    <w:rsid w:val="008D0A37"/>
    <w:rsid w:val="008E02EE"/>
    <w:rsid w:val="008E1880"/>
    <w:rsid w:val="008F6704"/>
    <w:rsid w:val="00905334"/>
    <w:rsid w:val="0091780A"/>
    <w:rsid w:val="00934185"/>
    <w:rsid w:val="0094118E"/>
    <w:rsid w:val="00991FC1"/>
    <w:rsid w:val="009945A8"/>
    <w:rsid w:val="00994795"/>
    <w:rsid w:val="0099691A"/>
    <w:rsid w:val="0099785D"/>
    <w:rsid w:val="009D6F4B"/>
    <w:rsid w:val="009F028B"/>
    <w:rsid w:val="009F6258"/>
    <w:rsid w:val="00A12484"/>
    <w:rsid w:val="00A2178B"/>
    <w:rsid w:val="00A240E8"/>
    <w:rsid w:val="00A2620A"/>
    <w:rsid w:val="00A26BCC"/>
    <w:rsid w:val="00A308AD"/>
    <w:rsid w:val="00A3323E"/>
    <w:rsid w:val="00A36920"/>
    <w:rsid w:val="00A50A8B"/>
    <w:rsid w:val="00A547A7"/>
    <w:rsid w:val="00A64504"/>
    <w:rsid w:val="00A72928"/>
    <w:rsid w:val="00A776AE"/>
    <w:rsid w:val="00AB5483"/>
    <w:rsid w:val="00AB70ED"/>
    <w:rsid w:val="00AB75B5"/>
    <w:rsid w:val="00AD1910"/>
    <w:rsid w:val="00AD3AF3"/>
    <w:rsid w:val="00AE4E6B"/>
    <w:rsid w:val="00AF46D5"/>
    <w:rsid w:val="00AF578E"/>
    <w:rsid w:val="00B0187A"/>
    <w:rsid w:val="00B0526D"/>
    <w:rsid w:val="00B06C67"/>
    <w:rsid w:val="00B1022B"/>
    <w:rsid w:val="00B217F6"/>
    <w:rsid w:val="00B24A88"/>
    <w:rsid w:val="00B26029"/>
    <w:rsid w:val="00B33623"/>
    <w:rsid w:val="00B41004"/>
    <w:rsid w:val="00B4210E"/>
    <w:rsid w:val="00B5399B"/>
    <w:rsid w:val="00B55C5D"/>
    <w:rsid w:val="00B65501"/>
    <w:rsid w:val="00B773FF"/>
    <w:rsid w:val="00B80029"/>
    <w:rsid w:val="00B86687"/>
    <w:rsid w:val="00B86DC9"/>
    <w:rsid w:val="00B907AF"/>
    <w:rsid w:val="00BD5D41"/>
    <w:rsid w:val="00BE2FBC"/>
    <w:rsid w:val="00BF40B8"/>
    <w:rsid w:val="00C052E9"/>
    <w:rsid w:val="00C11BDC"/>
    <w:rsid w:val="00C41B8B"/>
    <w:rsid w:val="00C5405B"/>
    <w:rsid w:val="00C57FA5"/>
    <w:rsid w:val="00C63B8C"/>
    <w:rsid w:val="00C93CE9"/>
    <w:rsid w:val="00CA5A48"/>
    <w:rsid w:val="00CA6E1C"/>
    <w:rsid w:val="00CB2615"/>
    <w:rsid w:val="00CC312C"/>
    <w:rsid w:val="00CD61EC"/>
    <w:rsid w:val="00CE115E"/>
    <w:rsid w:val="00CF06DA"/>
    <w:rsid w:val="00D01689"/>
    <w:rsid w:val="00D039EA"/>
    <w:rsid w:val="00D03B37"/>
    <w:rsid w:val="00D0504B"/>
    <w:rsid w:val="00D05FFA"/>
    <w:rsid w:val="00D17EFA"/>
    <w:rsid w:val="00D21AD4"/>
    <w:rsid w:val="00D36B5E"/>
    <w:rsid w:val="00D43108"/>
    <w:rsid w:val="00D47B4D"/>
    <w:rsid w:val="00D615B8"/>
    <w:rsid w:val="00D62AC7"/>
    <w:rsid w:val="00D71CE8"/>
    <w:rsid w:val="00D81772"/>
    <w:rsid w:val="00D8335E"/>
    <w:rsid w:val="00D84E37"/>
    <w:rsid w:val="00D95934"/>
    <w:rsid w:val="00D97869"/>
    <w:rsid w:val="00DB2F46"/>
    <w:rsid w:val="00DC4723"/>
    <w:rsid w:val="00DC7BAA"/>
    <w:rsid w:val="00DE3894"/>
    <w:rsid w:val="00DE4B8B"/>
    <w:rsid w:val="00DF67BC"/>
    <w:rsid w:val="00E218CB"/>
    <w:rsid w:val="00E24369"/>
    <w:rsid w:val="00E277C0"/>
    <w:rsid w:val="00E36A98"/>
    <w:rsid w:val="00E4021E"/>
    <w:rsid w:val="00E45BF3"/>
    <w:rsid w:val="00E51CA9"/>
    <w:rsid w:val="00E67D8C"/>
    <w:rsid w:val="00E86825"/>
    <w:rsid w:val="00E87190"/>
    <w:rsid w:val="00E909C8"/>
    <w:rsid w:val="00EA4C62"/>
    <w:rsid w:val="00EB77F4"/>
    <w:rsid w:val="00EC0182"/>
    <w:rsid w:val="00EC6268"/>
    <w:rsid w:val="00EC65F2"/>
    <w:rsid w:val="00ED0CFB"/>
    <w:rsid w:val="00EE56FB"/>
    <w:rsid w:val="00F163AE"/>
    <w:rsid w:val="00F1772F"/>
    <w:rsid w:val="00F21BA0"/>
    <w:rsid w:val="00F259A6"/>
    <w:rsid w:val="00F36980"/>
    <w:rsid w:val="00F37708"/>
    <w:rsid w:val="00F40D9C"/>
    <w:rsid w:val="00F46798"/>
    <w:rsid w:val="00F60DB1"/>
    <w:rsid w:val="00F81FBF"/>
    <w:rsid w:val="00F9041E"/>
    <w:rsid w:val="00FA44EC"/>
    <w:rsid w:val="00FB6CD1"/>
    <w:rsid w:val="00FC553E"/>
    <w:rsid w:val="00FD4BD2"/>
    <w:rsid w:val="00FD78FF"/>
    <w:rsid w:val="00FF034E"/>
    <w:rsid w:val="00FF0C6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sto MT" w:eastAsiaTheme="minorHAnsi" w:hAnsi="Calisto MT"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4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24369"/>
    <w:rPr>
      <w:sz w:val="20"/>
      <w:szCs w:val="20"/>
    </w:rPr>
  </w:style>
  <w:style w:type="character" w:customStyle="1" w:styleId="FootnoteTextChar">
    <w:name w:val="Footnote Text Char"/>
    <w:basedOn w:val="DefaultParagraphFont"/>
    <w:link w:val="FootnoteText"/>
    <w:uiPriority w:val="99"/>
    <w:rsid w:val="00E24369"/>
    <w:rPr>
      <w:sz w:val="20"/>
      <w:szCs w:val="20"/>
    </w:rPr>
  </w:style>
  <w:style w:type="character" w:styleId="FootnoteReference">
    <w:name w:val="footnote reference"/>
    <w:basedOn w:val="DefaultParagraphFont"/>
    <w:uiPriority w:val="99"/>
    <w:unhideWhenUsed/>
    <w:rsid w:val="00E24369"/>
    <w:rPr>
      <w:vertAlign w:val="superscript"/>
    </w:rPr>
  </w:style>
  <w:style w:type="character" w:styleId="Hyperlink">
    <w:name w:val="Hyperlink"/>
    <w:basedOn w:val="DefaultParagraphFont"/>
    <w:uiPriority w:val="99"/>
    <w:unhideWhenUsed/>
    <w:rsid w:val="00DC7BAA"/>
    <w:rPr>
      <w:color w:val="0563C1" w:themeColor="hyperlink"/>
      <w:u w:val="single"/>
    </w:rPr>
  </w:style>
  <w:style w:type="character" w:customStyle="1" w:styleId="UnresolvedMention">
    <w:name w:val="Unresolved Mention"/>
    <w:basedOn w:val="DefaultParagraphFont"/>
    <w:uiPriority w:val="99"/>
    <w:semiHidden/>
    <w:unhideWhenUsed/>
    <w:rsid w:val="00DC7BAA"/>
    <w:rPr>
      <w:color w:val="808080"/>
      <w:shd w:val="clear" w:color="auto" w:fill="E6E6E6"/>
    </w:rPr>
  </w:style>
  <w:style w:type="paragraph" w:styleId="ListParagraph">
    <w:name w:val="List Paragraph"/>
    <w:basedOn w:val="Normal"/>
    <w:uiPriority w:val="34"/>
    <w:qFormat/>
    <w:rsid w:val="0076200F"/>
    <w:pPr>
      <w:ind w:left="720"/>
      <w:contextualSpacing/>
    </w:pPr>
  </w:style>
  <w:style w:type="paragraph" w:styleId="Header">
    <w:name w:val="header"/>
    <w:basedOn w:val="Normal"/>
    <w:link w:val="HeaderChar"/>
    <w:uiPriority w:val="99"/>
    <w:unhideWhenUsed/>
    <w:rsid w:val="00093907"/>
    <w:pPr>
      <w:tabs>
        <w:tab w:val="center" w:pos="4680"/>
        <w:tab w:val="right" w:pos="9360"/>
      </w:tabs>
    </w:pPr>
  </w:style>
  <w:style w:type="character" w:customStyle="1" w:styleId="HeaderChar">
    <w:name w:val="Header Char"/>
    <w:basedOn w:val="DefaultParagraphFont"/>
    <w:link w:val="Header"/>
    <w:uiPriority w:val="99"/>
    <w:rsid w:val="00093907"/>
  </w:style>
  <w:style w:type="paragraph" w:styleId="Footer">
    <w:name w:val="footer"/>
    <w:basedOn w:val="Normal"/>
    <w:link w:val="FooterChar"/>
    <w:uiPriority w:val="99"/>
    <w:unhideWhenUsed/>
    <w:rsid w:val="00093907"/>
    <w:pPr>
      <w:tabs>
        <w:tab w:val="center" w:pos="4680"/>
        <w:tab w:val="right" w:pos="9360"/>
      </w:tabs>
    </w:pPr>
  </w:style>
  <w:style w:type="character" w:customStyle="1" w:styleId="FooterChar">
    <w:name w:val="Footer Char"/>
    <w:basedOn w:val="DefaultParagraphFont"/>
    <w:link w:val="Footer"/>
    <w:uiPriority w:val="99"/>
    <w:rsid w:val="00093907"/>
  </w:style>
  <w:style w:type="character" w:styleId="FollowedHyperlink">
    <w:name w:val="FollowedHyperlink"/>
    <w:basedOn w:val="DefaultParagraphFont"/>
    <w:uiPriority w:val="99"/>
    <w:semiHidden/>
    <w:unhideWhenUsed/>
    <w:rsid w:val="003732A5"/>
    <w:rPr>
      <w:color w:val="954F72" w:themeColor="followedHyperlink"/>
      <w:u w:val="single"/>
    </w:rPr>
  </w:style>
  <w:style w:type="paragraph" w:styleId="EndnoteText">
    <w:name w:val="endnote text"/>
    <w:basedOn w:val="Normal"/>
    <w:link w:val="EndnoteTextChar"/>
    <w:uiPriority w:val="99"/>
    <w:unhideWhenUsed/>
    <w:rsid w:val="001E0B89"/>
  </w:style>
  <w:style w:type="character" w:customStyle="1" w:styleId="EndnoteTextChar">
    <w:name w:val="Endnote Text Char"/>
    <w:basedOn w:val="DefaultParagraphFont"/>
    <w:link w:val="EndnoteText"/>
    <w:uiPriority w:val="99"/>
    <w:rsid w:val="001E0B89"/>
  </w:style>
  <w:style w:type="character" w:styleId="EndnoteReference">
    <w:name w:val="endnote reference"/>
    <w:basedOn w:val="DefaultParagraphFont"/>
    <w:uiPriority w:val="99"/>
    <w:unhideWhenUsed/>
    <w:rsid w:val="001E0B8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sto MT" w:eastAsiaTheme="minorHAnsi" w:hAnsi="Calisto MT" w:cstheme="minorBidi"/>
        <w:sz w:val="24"/>
        <w:szCs w:val="24"/>
        <w:lang w:val="en-C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4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E24369"/>
    <w:rPr>
      <w:sz w:val="20"/>
      <w:szCs w:val="20"/>
    </w:rPr>
  </w:style>
  <w:style w:type="character" w:customStyle="1" w:styleId="FootnoteTextChar">
    <w:name w:val="Footnote Text Char"/>
    <w:basedOn w:val="DefaultParagraphFont"/>
    <w:link w:val="FootnoteText"/>
    <w:uiPriority w:val="99"/>
    <w:rsid w:val="00E24369"/>
    <w:rPr>
      <w:sz w:val="20"/>
      <w:szCs w:val="20"/>
    </w:rPr>
  </w:style>
  <w:style w:type="character" w:styleId="FootnoteReference">
    <w:name w:val="footnote reference"/>
    <w:basedOn w:val="DefaultParagraphFont"/>
    <w:uiPriority w:val="99"/>
    <w:unhideWhenUsed/>
    <w:rsid w:val="00E24369"/>
    <w:rPr>
      <w:vertAlign w:val="superscript"/>
    </w:rPr>
  </w:style>
  <w:style w:type="character" w:styleId="Hyperlink">
    <w:name w:val="Hyperlink"/>
    <w:basedOn w:val="DefaultParagraphFont"/>
    <w:uiPriority w:val="99"/>
    <w:unhideWhenUsed/>
    <w:rsid w:val="00DC7BAA"/>
    <w:rPr>
      <w:color w:val="0563C1" w:themeColor="hyperlink"/>
      <w:u w:val="single"/>
    </w:rPr>
  </w:style>
  <w:style w:type="character" w:customStyle="1" w:styleId="UnresolvedMention">
    <w:name w:val="Unresolved Mention"/>
    <w:basedOn w:val="DefaultParagraphFont"/>
    <w:uiPriority w:val="99"/>
    <w:semiHidden/>
    <w:unhideWhenUsed/>
    <w:rsid w:val="00DC7BAA"/>
    <w:rPr>
      <w:color w:val="808080"/>
      <w:shd w:val="clear" w:color="auto" w:fill="E6E6E6"/>
    </w:rPr>
  </w:style>
  <w:style w:type="paragraph" w:styleId="ListParagraph">
    <w:name w:val="List Paragraph"/>
    <w:basedOn w:val="Normal"/>
    <w:uiPriority w:val="34"/>
    <w:qFormat/>
    <w:rsid w:val="0076200F"/>
    <w:pPr>
      <w:ind w:left="720"/>
      <w:contextualSpacing/>
    </w:pPr>
  </w:style>
  <w:style w:type="paragraph" w:styleId="Header">
    <w:name w:val="header"/>
    <w:basedOn w:val="Normal"/>
    <w:link w:val="HeaderChar"/>
    <w:uiPriority w:val="99"/>
    <w:unhideWhenUsed/>
    <w:rsid w:val="00093907"/>
    <w:pPr>
      <w:tabs>
        <w:tab w:val="center" w:pos="4680"/>
        <w:tab w:val="right" w:pos="9360"/>
      </w:tabs>
    </w:pPr>
  </w:style>
  <w:style w:type="character" w:customStyle="1" w:styleId="HeaderChar">
    <w:name w:val="Header Char"/>
    <w:basedOn w:val="DefaultParagraphFont"/>
    <w:link w:val="Header"/>
    <w:uiPriority w:val="99"/>
    <w:rsid w:val="00093907"/>
  </w:style>
  <w:style w:type="paragraph" w:styleId="Footer">
    <w:name w:val="footer"/>
    <w:basedOn w:val="Normal"/>
    <w:link w:val="FooterChar"/>
    <w:uiPriority w:val="99"/>
    <w:unhideWhenUsed/>
    <w:rsid w:val="00093907"/>
    <w:pPr>
      <w:tabs>
        <w:tab w:val="center" w:pos="4680"/>
        <w:tab w:val="right" w:pos="9360"/>
      </w:tabs>
    </w:pPr>
  </w:style>
  <w:style w:type="character" w:customStyle="1" w:styleId="FooterChar">
    <w:name w:val="Footer Char"/>
    <w:basedOn w:val="DefaultParagraphFont"/>
    <w:link w:val="Footer"/>
    <w:uiPriority w:val="99"/>
    <w:rsid w:val="00093907"/>
  </w:style>
  <w:style w:type="character" w:styleId="FollowedHyperlink">
    <w:name w:val="FollowedHyperlink"/>
    <w:basedOn w:val="DefaultParagraphFont"/>
    <w:uiPriority w:val="99"/>
    <w:semiHidden/>
    <w:unhideWhenUsed/>
    <w:rsid w:val="003732A5"/>
    <w:rPr>
      <w:color w:val="954F72" w:themeColor="followedHyperlink"/>
      <w:u w:val="single"/>
    </w:rPr>
  </w:style>
  <w:style w:type="paragraph" w:styleId="EndnoteText">
    <w:name w:val="endnote text"/>
    <w:basedOn w:val="Normal"/>
    <w:link w:val="EndnoteTextChar"/>
    <w:uiPriority w:val="99"/>
    <w:unhideWhenUsed/>
    <w:rsid w:val="001E0B89"/>
  </w:style>
  <w:style w:type="character" w:customStyle="1" w:styleId="EndnoteTextChar">
    <w:name w:val="Endnote Text Char"/>
    <w:basedOn w:val="DefaultParagraphFont"/>
    <w:link w:val="EndnoteText"/>
    <w:uiPriority w:val="99"/>
    <w:rsid w:val="001E0B89"/>
  </w:style>
  <w:style w:type="character" w:styleId="EndnoteReference">
    <w:name w:val="endnote reference"/>
    <w:basedOn w:val="DefaultParagraphFont"/>
    <w:uiPriority w:val="99"/>
    <w:unhideWhenUsed/>
    <w:rsid w:val="001E0B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97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tudenttheses.cbs.dk/bitstream/handle/10417/2882/geir_oedegaard.pdf" TargetMode="External"/><Relationship Id="rId2" Type="http://schemas.openxmlformats.org/officeDocument/2006/relationships/hyperlink" Target="http://studenttheses.cbs.dk/bitstream/handle/10417/2882/geir_oedegaar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9E031DA-9162-E14D-B79E-050540FFC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751</Words>
  <Characters>4285</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Feng</dc:creator>
  <cp:keywords/>
  <dc:description/>
  <cp:lastModifiedBy>Nancy Barshall Bredu</cp:lastModifiedBy>
  <cp:revision>2</cp:revision>
  <dcterms:created xsi:type="dcterms:W3CDTF">2018-01-11T03:59:00Z</dcterms:created>
  <dcterms:modified xsi:type="dcterms:W3CDTF">2018-01-11T03:59:00Z</dcterms:modified>
</cp:coreProperties>
</file>