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F1366" w14:textId="77777777" w:rsidR="00B545D7" w:rsidRPr="00A170DF" w:rsidRDefault="009736A2">
      <w:pPr>
        <w:spacing w:after="80"/>
        <w:jc w:val="center"/>
        <w:rPr>
          <w:rFonts w:ascii="Century Gothic" w:hAnsi="Century Gothic"/>
        </w:rPr>
      </w:pPr>
      <w:r w:rsidRPr="00A170DF">
        <w:rPr>
          <w:rFonts w:ascii="Century Gothic" w:hAnsi="Century Gothic"/>
          <w:b/>
          <w:color w:val="315B45"/>
          <w:sz w:val="44"/>
        </w:rPr>
        <w:t>DATA PROTECTION, PRIVACY</w:t>
      </w:r>
      <w:r w:rsidRPr="00A170DF">
        <w:rPr>
          <w:rFonts w:ascii="Century Gothic" w:hAnsi="Century Gothic"/>
          <w:b/>
          <w:color w:val="315B45"/>
          <w:sz w:val="44"/>
        </w:rPr>
        <w:br/>
        <w:t>AND INFORMATION GOVERNANCE POLICY</w:t>
      </w:r>
    </w:p>
    <w:p w14:paraId="70181C66" w14:textId="77777777" w:rsidR="00B545D7" w:rsidRPr="00A170DF" w:rsidRDefault="009736A2">
      <w:pPr>
        <w:spacing w:after="280"/>
        <w:jc w:val="center"/>
        <w:rPr>
          <w:rFonts w:ascii="Century Gothic" w:hAnsi="Century Gothic"/>
        </w:rPr>
      </w:pPr>
      <w:r w:rsidRPr="00A170DF">
        <w:rPr>
          <w:rFonts w:ascii="Century Gothic" w:hAnsi="Century Gothic"/>
          <w:i/>
          <w:color w:val="5E6661"/>
          <w:sz w:val="24"/>
        </w:rPr>
        <w:t>2026–2027</w:t>
      </w:r>
    </w:p>
    <w:p w14:paraId="680667EB" w14:textId="77777777" w:rsidR="00B545D7" w:rsidRPr="00A170DF" w:rsidRDefault="009736A2">
      <w:pPr>
        <w:pStyle w:val="Callout"/>
        <w:pBdr>
          <w:left w:val="single" w:sz="18" w:space="8" w:color="315B45"/>
        </w:pBdr>
        <w:shd w:val="clear" w:color="auto" w:fill="DDEBDD"/>
        <w:rPr>
          <w:rFonts w:ascii="Century Gothic" w:hAnsi="Century Gothic"/>
        </w:rPr>
      </w:pPr>
      <w:r w:rsidRPr="00A170DF">
        <w:rPr>
          <w:rFonts w:ascii="Century Gothic" w:hAnsi="Century Gothic"/>
          <w:b/>
          <w:color w:val="315B45"/>
          <w:sz w:val="20"/>
        </w:rPr>
        <w:t xml:space="preserve">Our commitment  </w:t>
      </w:r>
      <w:r w:rsidRPr="00A170DF">
        <w:rPr>
          <w:rFonts w:ascii="Century Gothic" w:hAnsi="Century Gothic"/>
          <w:color w:val="202622"/>
          <w:sz w:val="20"/>
        </w:rPr>
        <w:t>TWiG uses personal information lawfully, fairly, transparently and only where necessary. We protect privacy while sharing relevant information promptly when this is needed to safeguard a child or another person.</w:t>
      </w:r>
    </w:p>
    <w:tbl>
      <w:tblPr>
        <w:tblStyle w:val="TableGrid"/>
        <w:tblW w:w="9240" w:type="dxa"/>
        <w:tblInd w:w="120" w:type="dxa"/>
        <w:tblLayout w:type="fixed"/>
        <w:tblLook w:val="04A0" w:firstRow="1" w:lastRow="0" w:firstColumn="1" w:lastColumn="0" w:noHBand="0" w:noVBand="1"/>
      </w:tblPr>
      <w:tblGrid>
        <w:gridCol w:w="2200"/>
        <w:gridCol w:w="7040"/>
      </w:tblGrid>
      <w:tr w:rsidR="00B545D7" w:rsidRPr="00A170DF" w14:paraId="4A85BBB0" w14:textId="77777777">
        <w:trPr>
          <w:cantSplit/>
          <w:tblHeader/>
        </w:trPr>
        <w:tc>
          <w:tcPr>
            <w:tcW w:w="2200" w:type="dxa"/>
            <w:shd w:val="clear" w:color="auto" w:fill="F3F6F4"/>
            <w:tcMar>
              <w:top w:w="90" w:type="dxa"/>
              <w:left w:w="120" w:type="dxa"/>
              <w:bottom w:w="90" w:type="dxa"/>
              <w:right w:w="120" w:type="dxa"/>
            </w:tcMar>
          </w:tcPr>
          <w:p w14:paraId="58CD8DBE" w14:textId="77777777" w:rsidR="00B545D7" w:rsidRPr="00A170DF" w:rsidRDefault="009736A2">
            <w:pPr>
              <w:rPr>
                <w:rFonts w:ascii="Century Gothic" w:hAnsi="Century Gothic"/>
              </w:rPr>
            </w:pPr>
            <w:r w:rsidRPr="00A170DF">
              <w:rPr>
                <w:rFonts w:ascii="Century Gothic" w:hAnsi="Century Gothic"/>
                <w:b/>
                <w:color w:val="315B45"/>
                <w:sz w:val="18"/>
              </w:rPr>
              <w:t>Policy owner</w:t>
            </w:r>
          </w:p>
        </w:tc>
        <w:tc>
          <w:tcPr>
            <w:tcW w:w="7040" w:type="dxa"/>
            <w:tcMar>
              <w:top w:w="90" w:type="dxa"/>
              <w:left w:w="120" w:type="dxa"/>
              <w:bottom w:w="90" w:type="dxa"/>
              <w:right w:w="120" w:type="dxa"/>
            </w:tcMar>
          </w:tcPr>
          <w:p w14:paraId="60C39706" w14:textId="77777777" w:rsidR="00B545D7" w:rsidRPr="00A170DF" w:rsidRDefault="009736A2">
            <w:pPr>
              <w:rPr>
                <w:rFonts w:ascii="Century Gothic" w:hAnsi="Century Gothic"/>
              </w:rPr>
            </w:pPr>
            <w:r w:rsidRPr="00A170DF">
              <w:rPr>
                <w:rFonts w:ascii="Century Gothic" w:hAnsi="Century Gothic"/>
                <w:sz w:val="18"/>
              </w:rPr>
              <w:t>Managing Partners</w:t>
            </w:r>
          </w:p>
        </w:tc>
      </w:tr>
      <w:tr w:rsidR="00B545D7" w:rsidRPr="00A170DF" w14:paraId="4AFCC31B" w14:textId="77777777">
        <w:trPr>
          <w:cantSplit/>
        </w:trPr>
        <w:tc>
          <w:tcPr>
            <w:tcW w:w="2200" w:type="dxa"/>
            <w:shd w:val="clear" w:color="auto" w:fill="F3F6F4"/>
            <w:tcMar>
              <w:top w:w="90" w:type="dxa"/>
              <w:left w:w="120" w:type="dxa"/>
              <w:bottom w:w="90" w:type="dxa"/>
              <w:right w:w="120" w:type="dxa"/>
            </w:tcMar>
          </w:tcPr>
          <w:p w14:paraId="077E281B" w14:textId="77777777" w:rsidR="00B545D7" w:rsidRPr="00A170DF" w:rsidRDefault="009736A2">
            <w:pPr>
              <w:rPr>
                <w:rFonts w:ascii="Century Gothic" w:hAnsi="Century Gothic"/>
              </w:rPr>
            </w:pPr>
            <w:r w:rsidRPr="00A170DF">
              <w:rPr>
                <w:rFonts w:ascii="Century Gothic" w:hAnsi="Century Gothic"/>
                <w:b/>
                <w:color w:val="315B45"/>
                <w:sz w:val="18"/>
              </w:rPr>
              <w:t>Data Protection Leads</w:t>
            </w:r>
          </w:p>
        </w:tc>
        <w:tc>
          <w:tcPr>
            <w:tcW w:w="7040" w:type="dxa"/>
            <w:tcMar>
              <w:top w:w="90" w:type="dxa"/>
              <w:left w:w="120" w:type="dxa"/>
              <w:bottom w:w="90" w:type="dxa"/>
              <w:right w:w="120" w:type="dxa"/>
            </w:tcMar>
          </w:tcPr>
          <w:p w14:paraId="0DD54D22" w14:textId="77777777" w:rsidR="00B545D7" w:rsidRPr="00A170DF" w:rsidRDefault="009736A2">
            <w:pPr>
              <w:rPr>
                <w:rFonts w:ascii="Century Gothic" w:hAnsi="Century Gothic"/>
              </w:rPr>
            </w:pPr>
            <w:r w:rsidRPr="00A170DF">
              <w:rPr>
                <w:rFonts w:ascii="Century Gothic" w:hAnsi="Century Gothic"/>
                <w:sz w:val="18"/>
              </w:rPr>
              <w:t>Catherine Regi and Thomas Wild</w:t>
            </w:r>
          </w:p>
        </w:tc>
      </w:tr>
      <w:tr w:rsidR="00B545D7" w:rsidRPr="00A170DF" w14:paraId="25C37F14" w14:textId="77777777">
        <w:trPr>
          <w:cantSplit/>
        </w:trPr>
        <w:tc>
          <w:tcPr>
            <w:tcW w:w="2200" w:type="dxa"/>
            <w:shd w:val="clear" w:color="auto" w:fill="F3F6F4"/>
            <w:tcMar>
              <w:top w:w="90" w:type="dxa"/>
              <w:left w:w="120" w:type="dxa"/>
              <w:bottom w:w="90" w:type="dxa"/>
              <w:right w:w="120" w:type="dxa"/>
            </w:tcMar>
          </w:tcPr>
          <w:p w14:paraId="5DD5ADA9" w14:textId="77777777" w:rsidR="00B545D7" w:rsidRPr="00A170DF" w:rsidRDefault="009736A2">
            <w:pPr>
              <w:rPr>
                <w:rFonts w:ascii="Century Gothic" w:hAnsi="Century Gothic"/>
              </w:rPr>
            </w:pPr>
            <w:r w:rsidRPr="00A170DF">
              <w:rPr>
                <w:rFonts w:ascii="Century Gothic" w:hAnsi="Century Gothic"/>
                <w:b/>
                <w:color w:val="315B45"/>
                <w:sz w:val="18"/>
              </w:rPr>
              <w:t>ICO registration</w:t>
            </w:r>
          </w:p>
        </w:tc>
        <w:tc>
          <w:tcPr>
            <w:tcW w:w="7040" w:type="dxa"/>
            <w:tcMar>
              <w:top w:w="90" w:type="dxa"/>
              <w:left w:w="120" w:type="dxa"/>
              <w:bottom w:w="90" w:type="dxa"/>
              <w:right w:w="120" w:type="dxa"/>
            </w:tcMar>
          </w:tcPr>
          <w:p w14:paraId="697417D7" w14:textId="77777777" w:rsidR="00B545D7" w:rsidRPr="00A170DF" w:rsidRDefault="009736A2">
            <w:pPr>
              <w:rPr>
                <w:rFonts w:ascii="Century Gothic" w:hAnsi="Century Gothic"/>
              </w:rPr>
            </w:pPr>
            <w:r w:rsidRPr="00A170DF">
              <w:rPr>
                <w:rFonts w:ascii="Century Gothic" w:hAnsi="Century Gothic"/>
                <w:sz w:val="18"/>
              </w:rPr>
              <w:t>C1181694</w:t>
            </w:r>
          </w:p>
        </w:tc>
      </w:tr>
      <w:tr w:rsidR="00B545D7" w:rsidRPr="00A170DF" w14:paraId="01B53D66" w14:textId="77777777">
        <w:trPr>
          <w:cantSplit/>
        </w:trPr>
        <w:tc>
          <w:tcPr>
            <w:tcW w:w="2200" w:type="dxa"/>
            <w:shd w:val="clear" w:color="auto" w:fill="F3F6F4"/>
            <w:tcMar>
              <w:top w:w="90" w:type="dxa"/>
              <w:left w:w="120" w:type="dxa"/>
              <w:bottom w:w="90" w:type="dxa"/>
              <w:right w:w="120" w:type="dxa"/>
            </w:tcMar>
          </w:tcPr>
          <w:p w14:paraId="57EEF24A" w14:textId="77777777" w:rsidR="00B545D7" w:rsidRPr="00A170DF" w:rsidRDefault="009736A2">
            <w:pPr>
              <w:rPr>
                <w:rFonts w:ascii="Century Gothic" w:hAnsi="Century Gothic"/>
              </w:rPr>
            </w:pPr>
            <w:r w:rsidRPr="00A170DF">
              <w:rPr>
                <w:rFonts w:ascii="Century Gothic" w:hAnsi="Century Gothic"/>
                <w:b/>
                <w:color w:val="315B45"/>
                <w:sz w:val="18"/>
              </w:rPr>
              <w:t>Approved</w:t>
            </w:r>
          </w:p>
        </w:tc>
        <w:tc>
          <w:tcPr>
            <w:tcW w:w="7040" w:type="dxa"/>
            <w:tcMar>
              <w:top w:w="90" w:type="dxa"/>
              <w:left w:w="120" w:type="dxa"/>
              <w:bottom w:w="90" w:type="dxa"/>
              <w:right w:w="120" w:type="dxa"/>
            </w:tcMar>
          </w:tcPr>
          <w:p w14:paraId="04D1DA6D" w14:textId="77777777" w:rsidR="00B545D7" w:rsidRPr="00A170DF" w:rsidRDefault="009736A2">
            <w:pPr>
              <w:rPr>
                <w:rFonts w:ascii="Century Gothic" w:hAnsi="Century Gothic"/>
              </w:rPr>
            </w:pPr>
            <w:r w:rsidRPr="00A170DF">
              <w:rPr>
                <w:rFonts w:ascii="Century Gothic" w:hAnsi="Century Gothic"/>
                <w:sz w:val="18"/>
              </w:rPr>
              <w:t>25 August 2026</w:t>
            </w:r>
          </w:p>
        </w:tc>
      </w:tr>
      <w:tr w:rsidR="00B545D7" w:rsidRPr="00A170DF" w14:paraId="6FC50842" w14:textId="77777777">
        <w:trPr>
          <w:cantSplit/>
        </w:trPr>
        <w:tc>
          <w:tcPr>
            <w:tcW w:w="2200" w:type="dxa"/>
            <w:shd w:val="clear" w:color="auto" w:fill="F3F6F4"/>
            <w:tcMar>
              <w:top w:w="90" w:type="dxa"/>
              <w:left w:w="120" w:type="dxa"/>
              <w:bottom w:w="90" w:type="dxa"/>
              <w:right w:w="120" w:type="dxa"/>
            </w:tcMar>
          </w:tcPr>
          <w:p w14:paraId="21013591" w14:textId="77777777" w:rsidR="00B545D7" w:rsidRPr="00A170DF" w:rsidRDefault="009736A2">
            <w:pPr>
              <w:rPr>
                <w:rFonts w:ascii="Century Gothic" w:hAnsi="Century Gothic"/>
              </w:rPr>
            </w:pPr>
            <w:r w:rsidRPr="00A170DF">
              <w:rPr>
                <w:rFonts w:ascii="Century Gothic" w:hAnsi="Century Gothic"/>
                <w:b/>
                <w:color w:val="315B45"/>
                <w:sz w:val="18"/>
              </w:rPr>
              <w:t>Review date</w:t>
            </w:r>
          </w:p>
        </w:tc>
        <w:tc>
          <w:tcPr>
            <w:tcW w:w="7040" w:type="dxa"/>
            <w:tcMar>
              <w:top w:w="90" w:type="dxa"/>
              <w:left w:w="120" w:type="dxa"/>
              <w:bottom w:w="90" w:type="dxa"/>
              <w:right w:w="120" w:type="dxa"/>
            </w:tcMar>
          </w:tcPr>
          <w:p w14:paraId="4670C868" w14:textId="77777777" w:rsidR="00B545D7" w:rsidRPr="00A170DF" w:rsidRDefault="009736A2">
            <w:pPr>
              <w:rPr>
                <w:rFonts w:ascii="Century Gothic" w:hAnsi="Century Gothic"/>
              </w:rPr>
            </w:pPr>
            <w:r w:rsidRPr="00A170DF">
              <w:rPr>
                <w:rFonts w:ascii="Century Gothic" w:hAnsi="Century Gothic"/>
                <w:sz w:val="18"/>
              </w:rPr>
              <w:t>August 2027, or sooner following a legal, regulatory, contractual, technological or significant practice change</w:t>
            </w:r>
          </w:p>
        </w:tc>
      </w:tr>
      <w:tr w:rsidR="00B545D7" w:rsidRPr="00A170DF" w14:paraId="476E9015" w14:textId="77777777">
        <w:trPr>
          <w:cantSplit/>
        </w:trPr>
        <w:tc>
          <w:tcPr>
            <w:tcW w:w="2200" w:type="dxa"/>
            <w:shd w:val="clear" w:color="auto" w:fill="F3F6F4"/>
            <w:tcMar>
              <w:top w:w="90" w:type="dxa"/>
              <w:left w:w="120" w:type="dxa"/>
              <w:bottom w:w="90" w:type="dxa"/>
              <w:right w:w="120" w:type="dxa"/>
            </w:tcMar>
          </w:tcPr>
          <w:p w14:paraId="74DABAF1" w14:textId="77777777" w:rsidR="00B545D7" w:rsidRPr="00A170DF" w:rsidRDefault="009736A2">
            <w:pPr>
              <w:rPr>
                <w:rFonts w:ascii="Century Gothic" w:hAnsi="Century Gothic"/>
              </w:rPr>
            </w:pPr>
            <w:r w:rsidRPr="00A170DF">
              <w:rPr>
                <w:rFonts w:ascii="Century Gothic" w:hAnsi="Century Gothic"/>
                <w:b/>
                <w:color w:val="315B45"/>
                <w:sz w:val="18"/>
              </w:rPr>
              <w:t>Applies to</w:t>
            </w:r>
          </w:p>
        </w:tc>
        <w:tc>
          <w:tcPr>
            <w:tcW w:w="7040" w:type="dxa"/>
            <w:tcMar>
              <w:top w:w="90" w:type="dxa"/>
              <w:left w:w="120" w:type="dxa"/>
              <w:bottom w:w="90" w:type="dxa"/>
              <w:right w:w="120" w:type="dxa"/>
            </w:tcMar>
          </w:tcPr>
          <w:p w14:paraId="0642B035" w14:textId="77777777" w:rsidR="00B545D7" w:rsidRPr="00A170DF" w:rsidRDefault="009736A2">
            <w:pPr>
              <w:rPr>
                <w:rFonts w:ascii="Century Gothic" w:hAnsi="Century Gothic"/>
              </w:rPr>
            </w:pPr>
            <w:r w:rsidRPr="00A170DF">
              <w:rPr>
                <w:rFonts w:ascii="Century Gothic" w:hAnsi="Century Gothic"/>
                <w:sz w:val="18"/>
              </w:rPr>
              <w:t>Managing Partners, employees, self-employed Associates, volunteers, contractors, learners, families, visitors and all personal information processed by TWiG</w:t>
            </w:r>
          </w:p>
        </w:tc>
      </w:tr>
      <w:tr w:rsidR="00B545D7" w:rsidRPr="00A170DF" w14:paraId="2D2DCEC2" w14:textId="77777777">
        <w:trPr>
          <w:cantSplit/>
        </w:trPr>
        <w:tc>
          <w:tcPr>
            <w:tcW w:w="2200" w:type="dxa"/>
            <w:shd w:val="clear" w:color="auto" w:fill="F3F6F4"/>
            <w:tcMar>
              <w:top w:w="90" w:type="dxa"/>
              <w:left w:w="120" w:type="dxa"/>
              <w:bottom w:w="90" w:type="dxa"/>
              <w:right w:w="120" w:type="dxa"/>
            </w:tcMar>
          </w:tcPr>
          <w:p w14:paraId="779A639F" w14:textId="77777777" w:rsidR="00B545D7" w:rsidRPr="00A170DF" w:rsidRDefault="009736A2">
            <w:pPr>
              <w:rPr>
                <w:rFonts w:ascii="Century Gothic" w:hAnsi="Century Gothic"/>
              </w:rPr>
            </w:pPr>
            <w:r w:rsidRPr="00A170DF">
              <w:rPr>
                <w:rFonts w:ascii="Century Gothic" w:hAnsi="Century Gothic"/>
                <w:b/>
                <w:color w:val="315B45"/>
                <w:sz w:val="18"/>
              </w:rPr>
              <w:t>Related documents</w:t>
            </w:r>
          </w:p>
        </w:tc>
        <w:tc>
          <w:tcPr>
            <w:tcW w:w="7040" w:type="dxa"/>
            <w:tcMar>
              <w:top w:w="90" w:type="dxa"/>
              <w:left w:w="120" w:type="dxa"/>
              <w:bottom w:w="90" w:type="dxa"/>
              <w:right w:w="120" w:type="dxa"/>
            </w:tcMar>
          </w:tcPr>
          <w:p w14:paraId="78ECBD79" w14:textId="77777777" w:rsidR="00B545D7" w:rsidRPr="00A170DF" w:rsidRDefault="009736A2">
            <w:pPr>
              <w:rPr>
                <w:rFonts w:ascii="Century Gothic" w:hAnsi="Century Gothic"/>
              </w:rPr>
            </w:pPr>
            <w:r w:rsidRPr="00A170DF">
              <w:rPr>
                <w:rFonts w:ascii="Century Gothic" w:hAnsi="Century Gothic"/>
                <w:sz w:val="18"/>
              </w:rPr>
              <w:t>Safeguarding and Child Protection; Records Retention Schedule; Photography and Media Consent; Staff Code of Conduct; Safer Recruitment; Complaints; IT/Online Safety; commissioner SLA and information-sharing arrangements</w:t>
            </w:r>
          </w:p>
        </w:tc>
      </w:tr>
    </w:tbl>
    <w:p w14:paraId="5161AF6F" w14:textId="77777777" w:rsidR="00B545D7" w:rsidRPr="00A170DF" w:rsidRDefault="009736A2">
      <w:pPr>
        <w:pStyle w:val="Heading1"/>
        <w:rPr>
          <w:rFonts w:ascii="Century Gothic" w:hAnsi="Century Gothic"/>
        </w:rPr>
      </w:pPr>
      <w:r w:rsidRPr="00A170DF">
        <w:rPr>
          <w:rFonts w:ascii="Century Gothic" w:hAnsi="Century Gothic"/>
        </w:rPr>
        <w:t>1. Purpose and legal framework</w:t>
      </w:r>
    </w:p>
    <w:p w14:paraId="2B940FB0" w14:textId="77777777" w:rsidR="00B545D7" w:rsidRPr="00A170DF" w:rsidRDefault="009736A2">
      <w:pPr>
        <w:rPr>
          <w:rFonts w:ascii="Century Gothic" w:hAnsi="Century Gothic"/>
        </w:rPr>
      </w:pPr>
      <w:r w:rsidRPr="00A170DF">
        <w:rPr>
          <w:rFonts w:ascii="Century Gothic" w:hAnsi="Century Gothic"/>
        </w:rPr>
        <w:t>This policy combines TWiG’s previous Data Protection and Privacy Policy and GDPR Statement. It explains how The Wilderness Grove Forest School (TWiG) collects, uses, stores, shares, retains and disposes of personal information in paper, digital, image, audio and video form.</w:t>
      </w:r>
    </w:p>
    <w:p w14:paraId="6A2AAF06" w14:textId="77777777" w:rsidR="00B545D7" w:rsidRPr="00A170DF" w:rsidRDefault="009736A2">
      <w:pPr>
        <w:rPr>
          <w:rFonts w:ascii="Century Gothic" w:hAnsi="Century Gothic"/>
        </w:rPr>
      </w:pPr>
      <w:r w:rsidRPr="00A170DF">
        <w:rPr>
          <w:rFonts w:ascii="Century Gothic" w:hAnsi="Century Gothic"/>
        </w:rPr>
        <w:t>TWiG complies with the UK General Data Protection Regulation (UK GDPR), the Data Protection Act 2018, the Data (Use and Access) Act 2025 (DUAA), the Privacy and Electronic Communications Regulations where applicable, and current Information Commissioner’s Office (ICO) guidance. Safeguarding information is handled alongside current statutory and local safeguarding guidance, including the government’s information-sharing advice for practitioners.</w:t>
      </w:r>
    </w:p>
    <w:p w14:paraId="02895C17" w14:textId="77777777" w:rsidR="00B545D7" w:rsidRPr="00A170DF" w:rsidRDefault="009736A2">
      <w:pPr>
        <w:pStyle w:val="Callout"/>
        <w:pBdr>
          <w:left w:val="single" w:sz="18" w:space="8" w:color="315B45"/>
        </w:pBdr>
        <w:shd w:val="clear" w:color="auto" w:fill="DDEBDD"/>
        <w:rPr>
          <w:rFonts w:ascii="Century Gothic" w:hAnsi="Century Gothic"/>
        </w:rPr>
      </w:pPr>
      <w:r w:rsidRPr="00A170DF">
        <w:rPr>
          <w:rFonts w:ascii="Century Gothic" w:hAnsi="Century Gothic"/>
          <w:b/>
          <w:color w:val="315B45"/>
          <w:sz w:val="20"/>
        </w:rPr>
        <w:t xml:space="preserve">Status of TWiG  </w:t>
      </w:r>
      <w:r w:rsidRPr="00A170DF">
        <w:rPr>
          <w:rFonts w:ascii="Century Gothic" w:hAnsi="Century Gothic"/>
          <w:color w:val="202622"/>
          <w:sz w:val="20"/>
        </w:rPr>
        <w:t>TWiG is a non-school alternative provision and Forest School provider. It is not a registered school. Education-record rules that apply only to maintained schools are not presented in this policy as TWiG duties; contractual, safeguarding and data-protection duties still apply.</w:t>
      </w:r>
    </w:p>
    <w:p w14:paraId="6A9E88D6" w14:textId="77777777" w:rsidR="00B545D7" w:rsidRPr="00A170DF" w:rsidRDefault="009736A2">
      <w:pPr>
        <w:pStyle w:val="Heading1"/>
        <w:rPr>
          <w:rFonts w:ascii="Century Gothic" w:hAnsi="Century Gothic"/>
        </w:rPr>
      </w:pPr>
      <w:r w:rsidRPr="00A170DF">
        <w:rPr>
          <w:rFonts w:ascii="Century Gothic" w:hAnsi="Century Gothic"/>
        </w:rPr>
        <w:lastRenderedPageBreak/>
        <w:t>2. Roles and accountability</w:t>
      </w:r>
    </w:p>
    <w:p w14:paraId="5EF47992"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Managing Partners: </w:t>
      </w:r>
      <w:r w:rsidRPr="00A170DF">
        <w:rPr>
          <w:rFonts w:ascii="Century Gothic" w:hAnsi="Century Gothic"/>
          <w:sz w:val="20"/>
        </w:rPr>
        <w:t>have overall accountability, approve systems and providers, maintain oversight of risks, complaints and breaches, and ensure staff receive training.</w:t>
      </w:r>
    </w:p>
    <w:p w14:paraId="63E8C23C"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Data Protection Leads: </w:t>
      </w:r>
      <w:r w:rsidRPr="00A170DF">
        <w:rPr>
          <w:rFonts w:ascii="Century Gothic" w:hAnsi="Century Gothic"/>
          <w:sz w:val="20"/>
        </w:rPr>
        <w:t>provide day-to-day advice, coordinate rights requests, privacy information, data-breach assessment, records of processing, retention reviews and ICO contact. This title does not imply that TWiG is legally required to appoint a statutory Data Protection Officer.</w:t>
      </w:r>
    </w:p>
    <w:p w14:paraId="73705CB9"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All staff, Associates and volunteers: </w:t>
      </w:r>
      <w:r w:rsidRPr="00A170DF">
        <w:rPr>
          <w:rFonts w:ascii="Century Gothic" w:hAnsi="Century Gothic"/>
          <w:sz w:val="20"/>
        </w:rPr>
        <w:t>follow this policy, access only information needed for their role, keep information confidential and report any concern, loss, error or breach immediately.</w:t>
      </w:r>
    </w:p>
    <w:p w14:paraId="38A218BF"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System owners and administrators: </w:t>
      </w:r>
      <w:r w:rsidRPr="00A170DF">
        <w:rPr>
          <w:rFonts w:ascii="Century Gothic" w:hAnsi="Century Gothic"/>
          <w:sz w:val="20"/>
        </w:rPr>
        <w:t>apply access controls, manage accounts, check contracts and retention settings, and support secure deletion and recovery.</w:t>
      </w:r>
    </w:p>
    <w:p w14:paraId="3D9C34D3"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Commissioners and partner organisations: </w:t>
      </w:r>
      <w:r w:rsidRPr="00A170DF">
        <w:rPr>
          <w:rFonts w:ascii="Century Gothic" w:hAnsi="Century Gothic"/>
          <w:sz w:val="20"/>
        </w:rPr>
        <w:t>share information under an appropriate lawful basis and agreed secure arrangements. Each party’s role as controller, joint controller or processor is determined by who decides the purposes and means of processing—not by a label alone.</w:t>
      </w:r>
    </w:p>
    <w:p w14:paraId="2CA34989" w14:textId="77777777" w:rsidR="00B545D7" w:rsidRPr="00A170DF" w:rsidRDefault="009736A2">
      <w:pPr>
        <w:rPr>
          <w:rFonts w:ascii="Century Gothic" w:hAnsi="Century Gothic"/>
        </w:rPr>
      </w:pPr>
      <w:r w:rsidRPr="00A170DF">
        <w:rPr>
          <w:rFonts w:ascii="Century Gothic" w:hAnsi="Century Gothic"/>
        </w:rPr>
        <w:t>TWiG maintains proportionate records of processing, lawful-basis decisions, processor contracts, data-sharing arrangements, training, incidents, rights requests and retention decisions. The ICO fee and registration position is reviewed at least annually.</w:t>
      </w:r>
    </w:p>
    <w:p w14:paraId="0F48E02B" w14:textId="77777777" w:rsidR="00B545D7" w:rsidRPr="00A170DF" w:rsidRDefault="009736A2">
      <w:pPr>
        <w:pStyle w:val="Heading1"/>
        <w:rPr>
          <w:rFonts w:ascii="Century Gothic" w:hAnsi="Century Gothic"/>
        </w:rPr>
      </w:pPr>
      <w:r w:rsidRPr="00A170DF">
        <w:rPr>
          <w:rFonts w:ascii="Century Gothic" w:hAnsi="Century Gothic"/>
        </w:rPr>
        <w:t>3. Key terms</w:t>
      </w:r>
    </w:p>
    <w:p w14:paraId="79CC8B76"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Personal data: </w:t>
      </w:r>
      <w:r w:rsidRPr="00A170DF">
        <w:rPr>
          <w:rFonts w:ascii="Century Gothic" w:hAnsi="Century Gothic"/>
          <w:sz w:val="20"/>
        </w:rPr>
        <w:t>information relating to an identified or identifiable living person, including names, identifiers, contact details, online identifiers, opinions and photographs.</w:t>
      </w:r>
    </w:p>
    <w:p w14:paraId="370F36C3"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Special category data: </w:t>
      </w:r>
      <w:r w:rsidRPr="00A170DF">
        <w:rPr>
          <w:rFonts w:ascii="Century Gothic" w:hAnsi="Century Gothic"/>
          <w:sz w:val="20"/>
        </w:rPr>
        <w:t>information about racial or ethnic origin, political opinions, religious or philosophical beliefs, trade-union membership, genetics, biometrics used for identification, health, sex life or sexual orientation.</w:t>
      </w:r>
    </w:p>
    <w:p w14:paraId="5DB4AB48"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Criminal offence data: </w:t>
      </w:r>
      <w:r w:rsidRPr="00A170DF">
        <w:rPr>
          <w:rFonts w:ascii="Century Gothic" w:hAnsi="Century Gothic"/>
          <w:sz w:val="20"/>
        </w:rPr>
        <w:t>information about allegations, proceedings or convictions. It is not special category data but has separate legal safeguards.</w:t>
      </w:r>
    </w:p>
    <w:p w14:paraId="771BDE31"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Processing: </w:t>
      </w:r>
      <w:r w:rsidRPr="00A170DF">
        <w:rPr>
          <w:rFonts w:ascii="Century Gothic" w:hAnsi="Century Gothic"/>
          <w:sz w:val="20"/>
        </w:rPr>
        <w:t>anything done with personal data, including collecting, recording, viewing, sharing, altering, storing, transferring and deleting.</w:t>
      </w:r>
    </w:p>
    <w:p w14:paraId="0327F35E"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Data subject: </w:t>
      </w:r>
      <w:r w:rsidRPr="00A170DF">
        <w:rPr>
          <w:rFonts w:ascii="Century Gothic" w:hAnsi="Century Gothic"/>
          <w:sz w:val="20"/>
        </w:rPr>
        <w:t>the person to whom the information relates.</w:t>
      </w:r>
    </w:p>
    <w:p w14:paraId="2EB0107A"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Personal data breach: </w:t>
      </w:r>
      <w:r w:rsidRPr="00A170DF">
        <w:rPr>
          <w:rFonts w:ascii="Century Gothic" w:hAnsi="Century Gothic"/>
          <w:sz w:val="20"/>
        </w:rPr>
        <w:t>a security incident causing accidental or unlawful destruction, loss, alteration, unauthorised disclosure of, or access to personal data.</w:t>
      </w:r>
    </w:p>
    <w:p w14:paraId="3374DC0F" w14:textId="77777777" w:rsidR="00B545D7" w:rsidRPr="00A170DF" w:rsidRDefault="009736A2">
      <w:pPr>
        <w:pStyle w:val="Heading1"/>
        <w:rPr>
          <w:rFonts w:ascii="Century Gothic" w:hAnsi="Century Gothic"/>
        </w:rPr>
      </w:pPr>
      <w:r w:rsidRPr="00A170DF">
        <w:rPr>
          <w:rFonts w:ascii="Century Gothic" w:hAnsi="Century Gothic"/>
        </w:rPr>
        <w:t>4. Data protection principles</w:t>
      </w:r>
    </w:p>
    <w:p w14:paraId="252AFDB9" w14:textId="77777777" w:rsidR="00B545D7" w:rsidRPr="00A170DF" w:rsidRDefault="009736A2">
      <w:pPr>
        <w:rPr>
          <w:rFonts w:ascii="Century Gothic" w:hAnsi="Century Gothic"/>
        </w:rPr>
      </w:pPr>
      <w:r w:rsidRPr="00A170DF">
        <w:rPr>
          <w:rFonts w:ascii="Century Gothic" w:hAnsi="Century Gothic"/>
        </w:rPr>
        <w:t>TWiG applies the seven UK GDPR principles to every use of personal information:</w:t>
      </w:r>
    </w:p>
    <w:p w14:paraId="7D54669D"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Lawfulness, fairness and transparency: </w:t>
      </w:r>
      <w:r w:rsidRPr="00A170DF">
        <w:rPr>
          <w:rFonts w:ascii="Century Gothic" w:hAnsi="Century Gothic"/>
          <w:sz w:val="20"/>
        </w:rPr>
        <w:t>identify and record a lawful basis, use information in ways people would reasonably understand, and provide clear privacy information.</w:t>
      </w:r>
    </w:p>
    <w:p w14:paraId="29F18F05"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Purpose limitation: </w:t>
      </w:r>
      <w:r w:rsidRPr="00A170DF">
        <w:rPr>
          <w:rFonts w:ascii="Century Gothic" w:hAnsi="Century Gothic"/>
          <w:sz w:val="20"/>
        </w:rPr>
        <w:t>collect information for specified legitimate purposes and assess any new use before proceeding.</w:t>
      </w:r>
    </w:p>
    <w:p w14:paraId="33088191"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Data minimisation: </w:t>
      </w:r>
      <w:r w:rsidRPr="00A170DF">
        <w:rPr>
          <w:rFonts w:ascii="Century Gothic" w:hAnsi="Century Gothic"/>
          <w:sz w:val="20"/>
        </w:rPr>
        <w:t>collect, view and share only what is relevant and necessary.</w:t>
      </w:r>
    </w:p>
    <w:p w14:paraId="685F6DD7"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Accuracy: </w:t>
      </w:r>
      <w:r w:rsidRPr="00A170DF">
        <w:rPr>
          <w:rFonts w:ascii="Century Gothic" w:hAnsi="Century Gothic"/>
          <w:sz w:val="20"/>
        </w:rPr>
        <w:t>take reasonable steps to keep information correct and record professional opinion as opinion.</w:t>
      </w:r>
    </w:p>
    <w:p w14:paraId="3005CCF7"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Storage limitation: </w:t>
      </w:r>
      <w:r w:rsidRPr="00A170DF">
        <w:rPr>
          <w:rFonts w:ascii="Century Gothic" w:hAnsi="Century Gothic"/>
          <w:sz w:val="20"/>
        </w:rPr>
        <w:t>retain identifiable information only for as long as there is a justified purpose.</w:t>
      </w:r>
    </w:p>
    <w:p w14:paraId="6994DCDF" w14:textId="77777777" w:rsidR="00B545D7" w:rsidRPr="00A170DF" w:rsidRDefault="009736A2">
      <w:pPr>
        <w:pStyle w:val="ListBullet"/>
        <w:keepLines/>
        <w:rPr>
          <w:rFonts w:ascii="Century Gothic" w:hAnsi="Century Gothic"/>
        </w:rPr>
      </w:pPr>
      <w:r w:rsidRPr="00A170DF">
        <w:rPr>
          <w:rFonts w:ascii="Century Gothic" w:hAnsi="Century Gothic"/>
          <w:b/>
          <w:sz w:val="20"/>
        </w:rPr>
        <w:lastRenderedPageBreak/>
        <w:t xml:space="preserve">Integrity and confidentiality: </w:t>
      </w:r>
      <w:r w:rsidRPr="00A170DF">
        <w:rPr>
          <w:rFonts w:ascii="Century Gothic" w:hAnsi="Century Gothic"/>
          <w:sz w:val="20"/>
        </w:rPr>
        <w:t>use proportionate organisational and technical security.</w:t>
      </w:r>
    </w:p>
    <w:p w14:paraId="0EEA393F" w14:textId="77777777" w:rsidR="00B545D7" w:rsidRPr="00A170DF" w:rsidRDefault="009736A2">
      <w:pPr>
        <w:pStyle w:val="ListBullet"/>
        <w:keepLines/>
        <w:rPr>
          <w:rFonts w:ascii="Century Gothic" w:hAnsi="Century Gothic"/>
        </w:rPr>
      </w:pPr>
      <w:r w:rsidRPr="00A170DF">
        <w:rPr>
          <w:rFonts w:ascii="Century Gothic" w:hAnsi="Century Gothic"/>
          <w:b/>
          <w:sz w:val="20"/>
        </w:rPr>
        <w:t xml:space="preserve">Accountability: </w:t>
      </w:r>
      <w:r w:rsidRPr="00A170DF">
        <w:rPr>
          <w:rFonts w:ascii="Century Gothic" w:hAnsi="Century Gothic"/>
          <w:sz w:val="20"/>
        </w:rPr>
        <w:t>be able to demonstrate compliance through decisions, records, training, contracts and review.</w:t>
      </w:r>
    </w:p>
    <w:p w14:paraId="4AA2DE62" w14:textId="77777777" w:rsidR="00B545D7" w:rsidRPr="00A170DF" w:rsidRDefault="009736A2">
      <w:pPr>
        <w:pStyle w:val="Heading1"/>
        <w:rPr>
          <w:rFonts w:ascii="Century Gothic" w:hAnsi="Century Gothic"/>
        </w:rPr>
      </w:pPr>
      <w:r w:rsidRPr="00A170DF">
        <w:rPr>
          <w:rFonts w:ascii="Century Gothic" w:hAnsi="Century Gothic"/>
        </w:rPr>
        <w:t>5. What we process and why</w:t>
      </w:r>
    </w:p>
    <w:p w14:paraId="653A2DCA" w14:textId="77777777" w:rsidR="00B545D7" w:rsidRPr="00A170DF" w:rsidRDefault="009736A2">
      <w:pPr>
        <w:pStyle w:val="Heading2"/>
        <w:rPr>
          <w:rFonts w:ascii="Century Gothic" w:hAnsi="Century Gothic"/>
        </w:rPr>
      </w:pPr>
      <w:r w:rsidRPr="00A170DF">
        <w:rPr>
          <w:rFonts w:ascii="Century Gothic" w:hAnsi="Century Gothic"/>
        </w:rPr>
        <w:t>Children, young people and families</w:t>
      </w:r>
    </w:p>
    <w:p w14:paraId="03FB9692" w14:textId="77777777" w:rsidR="00B545D7" w:rsidRPr="00A170DF" w:rsidRDefault="009736A2">
      <w:pPr>
        <w:rPr>
          <w:rFonts w:ascii="Century Gothic" w:hAnsi="Century Gothic"/>
        </w:rPr>
      </w:pPr>
      <w:r w:rsidRPr="00A170DF">
        <w:rPr>
          <w:rFonts w:ascii="Century Gothic" w:hAnsi="Century Gothic"/>
        </w:rPr>
        <w:t>TWiG may process identity and contact details; emergency contacts; referral and commissioner information; attendance; learning, engagement and progress records; EHCP and SEND information; health, allergy, medication and accessibility information; risk assessments; safeguarding and welfare records; accidents and incidents; family and professional communications; complaints; and authorised photographs or recordings.</w:t>
      </w:r>
    </w:p>
    <w:p w14:paraId="65CC2000" w14:textId="77777777" w:rsidR="00B545D7" w:rsidRPr="00A170DF" w:rsidRDefault="009736A2">
      <w:pPr>
        <w:pStyle w:val="Heading2"/>
        <w:rPr>
          <w:rFonts w:ascii="Century Gothic" w:hAnsi="Century Gothic"/>
        </w:rPr>
      </w:pPr>
      <w:r w:rsidRPr="00A170DF">
        <w:rPr>
          <w:rFonts w:ascii="Century Gothic" w:hAnsi="Century Gothic"/>
        </w:rPr>
        <w:t>Staff, Associates, volunteers and applicants</w:t>
      </w:r>
    </w:p>
    <w:p w14:paraId="62F48C58" w14:textId="77777777" w:rsidR="00B545D7" w:rsidRPr="00A170DF" w:rsidRDefault="009736A2">
      <w:pPr>
        <w:rPr>
          <w:rFonts w:ascii="Century Gothic" w:hAnsi="Century Gothic"/>
        </w:rPr>
      </w:pPr>
      <w:r w:rsidRPr="00A170DF">
        <w:rPr>
          <w:rFonts w:ascii="Century Gothic" w:hAnsi="Century Gothic"/>
        </w:rPr>
        <w:t>TWiG may process contact, application, employment or engagement, qualification, reference, right-to-work, safer-recruitment, DBS status and recruitment decision records; training, supervision, performance, attendance, health, emergency-contact, payment, tax and insurance information; and safeguarding or disciplinary information where necessary. DBS certificates are not routinely copied unless there is a specific lawful and documented reason.</w:t>
      </w:r>
    </w:p>
    <w:p w14:paraId="5AB8FED5" w14:textId="77777777" w:rsidR="00B545D7" w:rsidRPr="00A170DF" w:rsidRDefault="009736A2">
      <w:pPr>
        <w:pStyle w:val="Heading2"/>
        <w:rPr>
          <w:rFonts w:ascii="Century Gothic" w:hAnsi="Century Gothic"/>
        </w:rPr>
      </w:pPr>
      <w:r w:rsidRPr="00A170DF">
        <w:rPr>
          <w:rFonts w:ascii="Century Gothic" w:hAnsi="Century Gothic"/>
        </w:rPr>
        <w:t>Visitors, suppliers and other contacts</w:t>
      </w:r>
    </w:p>
    <w:p w14:paraId="06151CAE" w14:textId="77777777" w:rsidR="00B545D7" w:rsidRPr="00A170DF" w:rsidRDefault="009736A2">
      <w:pPr>
        <w:rPr>
          <w:rFonts w:ascii="Century Gothic" w:hAnsi="Century Gothic"/>
        </w:rPr>
      </w:pPr>
      <w:r w:rsidRPr="00A170DF">
        <w:rPr>
          <w:rFonts w:ascii="Century Gothic" w:hAnsi="Century Gothic"/>
        </w:rPr>
        <w:t>TWiG may process contact, visit, access, safeguarding, health and safety, contract, payment and correspondence information necessary to manage the site, services and relationships.</w:t>
      </w:r>
    </w:p>
    <w:p w14:paraId="72F9F6E1" w14:textId="77777777" w:rsidR="00B545D7" w:rsidRPr="00A170DF" w:rsidRDefault="009736A2">
      <w:pPr>
        <w:pStyle w:val="Heading2"/>
        <w:rPr>
          <w:rFonts w:ascii="Century Gothic" w:hAnsi="Century Gothic"/>
        </w:rPr>
      </w:pPr>
      <w:r w:rsidRPr="00A170DF">
        <w:rPr>
          <w:rFonts w:ascii="Century Gothic" w:hAnsi="Century Gothic"/>
        </w:rPr>
        <w:t>Purposes</w:t>
      </w:r>
    </w:p>
    <w:p w14:paraId="7A81145D" w14:textId="77777777" w:rsidR="00B545D7" w:rsidRPr="00A170DF" w:rsidRDefault="009736A2">
      <w:pPr>
        <w:pStyle w:val="ListBullet"/>
        <w:keepLines/>
        <w:rPr>
          <w:rFonts w:ascii="Century Gothic" w:hAnsi="Century Gothic"/>
        </w:rPr>
      </w:pPr>
      <w:r w:rsidRPr="00A170DF">
        <w:rPr>
          <w:rFonts w:ascii="Century Gothic" w:hAnsi="Century Gothic"/>
          <w:sz w:val="20"/>
        </w:rPr>
        <w:t>deliver safe, appropriate and individualised provision; manage admissions, attendance, learning, reviews and commissioner reporting; safeguard children and adults; respond to medical needs and emergencies; meet contractual, employment, tax, insurance and regulatory duties; manage people, services, premises, finance, complaints and legal claims; communicate with families and professionals; improve quality and evidence accountability; and use photographs or publicity only within the stated purpose and permiss</w:t>
      </w:r>
      <w:r w:rsidRPr="00A170DF">
        <w:rPr>
          <w:rFonts w:ascii="Century Gothic" w:hAnsi="Century Gothic"/>
          <w:sz w:val="20"/>
        </w:rPr>
        <w:t>ions.</w:t>
      </w:r>
    </w:p>
    <w:p w14:paraId="44F73317" w14:textId="77777777" w:rsidR="00B545D7" w:rsidRPr="00A170DF" w:rsidRDefault="009736A2">
      <w:pPr>
        <w:pStyle w:val="Heading1"/>
        <w:rPr>
          <w:rFonts w:ascii="Century Gothic" w:hAnsi="Century Gothic"/>
        </w:rPr>
      </w:pPr>
      <w:r w:rsidRPr="00A170DF">
        <w:rPr>
          <w:rFonts w:ascii="Century Gothic" w:hAnsi="Century Gothic"/>
        </w:rPr>
        <w:t>6. Lawful bases</w:t>
      </w:r>
    </w:p>
    <w:p w14:paraId="5A6FC435" w14:textId="77777777" w:rsidR="00B545D7" w:rsidRPr="00A170DF" w:rsidRDefault="009736A2">
      <w:pPr>
        <w:rPr>
          <w:rFonts w:ascii="Century Gothic" w:hAnsi="Century Gothic"/>
        </w:rPr>
      </w:pPr>
      <w:r w:rsidRPr="00A170DF">
        <w:rPr>
          <w:rFonts w:ascii="Century Gothic" w:hAnsi="Century Gothic"/>
        </w:rPr>
        <w:t>A lawful basis under Article 6 UK GDPR is identified before processing. TWiG commonly relies on contract or steps before a contract; legal obligation; vital interests in an emergency; legitimate interests following a documented necessity and balancing assessment; and consent for genuinely optional uses. Public task is used only where TWiG itself has a function in the public interest laid down by law; delivering a service for a public authority does not automatically make public task available.</w:t>
      </w:r>
    </w:p>
    <w:p w14:paraId="0CC710B4" w14:textId="77777777" w:rsidR="00B545D7" w:rsidRPr="00A170DF" w:rsidRDefault="009736A2">
      <w:pPr>
        <w:rPr>
          <w:rFonts w:ascii="Century Gothic" w:hAnsi="Century Gothic"/>
        </w:rPr>
      </w:pPr>
      <w:r w:rsidRPr="00A170DF">
        <w:rPr>
          <w:rFonts w:ascii="Century Gothic" w:hAnsi="Century Gothic"/>
        </w:rPr>
        <w:t>Where special category data is processed, TWiG also identifies an Article 9 condition and any required Data Protection Act 2018 condition and policy document. Relevant conditions may include safeguarding children or individuals at risk, employment and social-protection obligations, health or social care, legal claims, substantial public interest, or explicit consent. Criminal offence data is processed only where Article 10 and Data Protection Act 2018 requirements are met.</w:t>
      </w:r>
    </w:p>
    <w:p w14:paraId="4BD88F00" w14:textId="77777777" w:rsidR="00B545D7" w:rsidRPr="00A170DF" w:rsidRDefault="009736A2">
      <w:pPr>
        <w:pStyle w:val="Callout"/>
        <w:pBdr>
          <w:left w:val="single" w:sz="18" w:space="8" w:color="315B45"/>
        </w:pBdr>
        <w:shd w:val="clear" w:color="auto" w:fill="DDEBDD"/>
        <w:rPr>
          <w:rFonts w:ascii="Century Gothic" w:hAnsi="Century Gothic"/>
        </w:rPr>
      </w:pPr>
      <w:r w:rsidRPr="00A170DF">
        <w:rPr>
          <w:rFonts w:ascii="Century Gothic" w:hAnsi="Century Gothic"/>
          <w:b/>
          <w:color w:val="315B45"/>
          <w:sz w:val="20"/>
        </w:rPr>
        <w:lastRenderedPageBreak/>
        <w:t xml:space="preserve">Consent is not the default  </w:t>
      </w:r>
      <w:r w:rsidRPr="00A170DF">
        <w:rPr>
          <w:rFonts w:ascii="Century Gothic" w:hAnsi="Century Gothic"/>
          <w:color w:val="202622"/>
          <w:sz w:val="20"/>
        </w:rPr>
        <w:t>Consent is used only where there is a genuine choice and it can be withdrawn without detriment. Core placement, attendance, safeguarding, health and contractual processing usually relies on another lawful basis. Withdrawal does not make earlier lawful processing unlawful.</w:t>
      </w:r>
    </w:p>
    <w:p w14:paraId="4DF2C306" w14:textId="77777777" w:rsidR="00B545D7" w:rsidRPr="00A170DF" w:rsidRDefault="009736A2">
      <w:pPr>
        <w:pStyle w:val="Heading1"/>
        <w:rPr>
          <w:rFonts w:ascii="Century Gothic" w:hAnsi="Century Gothic"/>
        </w:rPr>
      </w:pPr>
      <w:r w:rsidRPr="00A170DF">
        <w:rPr>
          <w:rFonts w:ascii="Century Gothic" w:hAnsi="Century Gothic"/>
        </w:rPr>
        <w:t>7. Transparency and children’s information rights</w:t>
      </w:r>
    </w:p>
    <w:p w14:paraId="753096B7" w14:textId="77777777" w:rsidR="00B545D7" w:rsidRPr="00A170DF" w:rsidRDefault="009736A2">
      <w:pPr>
        <w:rPr>
          <w:rFonts w:ascii="Century Gothic" w:hAnsi="Century Gothic"/>
        </w:rPr>
      </w:pPr>
      <w:r w:rsidRPr="00A170DF">
        <w:rPr>
          <w:rFonts w:ascii="Century Gothic" w:hAnsi="Century Gothic"/>
        </w:rPr>
        <w:t>TWiG provides concise, accessible privacy information when information is collected and, where information comes from a commissioner or another source, within the period required by law unless an exemption applies. Notices explain the controller, purposes, categories, lawful bases, recipients, retention approach, international transfers, rights, complaints and any significant automated decision-making.</w:t>
      </w:r>
    </w:p>
    <w:p w14:paraId="6412ED01" w14:textId="77777777" w:rsidR="00B545D7" w:rsidRPr="00A170DF" w:rsidRDefault="009736A2">
      <w:pPr>
        <w:rPr>
          <w:rFonts w:ascii="Century Gothic" w:hAnsi="Century Gothic"/>
        </w:rPr>
      </w:pPr>
      <w:r w:rsidRPr="00A170DF">
        <w:rPr>
          <w:rFonts w:ascii="Century Gothic" w:hAnsi="Century Gothic"/>
        </w:rPr>
        <w:t>Children have their own information rights. Information and explanations are adapted to age, development, communication and understanding. A parent or person with parental responsibility may exercise a child’s rights where this is appropriate, but TWiG considers the child’s competence, wishes, confidentiality, welfare and the rights of others. Identity and authority are verified proportionately before disclosure.</w:t>
      </w:r>
    </w:p>
    <w:p w14:paraId="451B2963" w14:textId="77777777" w:rsidR="00B545D7" w:rsidRPr="00A170DF" w:rsidRDefault="009736A2">
      <w:pPr>
        <w:pStyle w:val="Heading1"/>
        <w:rPr>
          <w:rFonts w:ascii="Century Gothic" w:hAnsi="Century Gothic"/>
        </w:rPr>
      </w:pPr>
      <w:r w:rsidRPr="00A170DF">
        <w:rPr>
          <w:rFonts w:ascii="Century Gothic" w:hAnsi="Century Gothic"/>
        </w:rPr>
        <w:t>8. Information sharing and safeguarding</w:t>
      </w:r>
    </w:p>
    <w:p w14:paraId="3E0F95A1" w14:textId="77777777" w:rsidR="00B545D7" w:rsidRPr="00A170DF" w:rsidRDefault="009736A2">
      <w:pPr>
        <w:pStyle w:val="Callout"/>
        <w:pBdr>
          <w:left w:val="single" w:sz="18" w:space="8" w:color="315B45"/>
        </w:pBdr>
        <w:shd w:val="clear" w:color="auto" w:fill="DDEBDD"/>
        <w:rPr>
          <w:rFonts w:ascii="Century Gothic" w:hAnsi="Century Gothic"/>
        </w:rPr>
      </w:pPr>
      <w:r w:rsidRPr="00A170DF">
        <w:rPr>
          <w:rFonts w:ascii="Century Gothic" w:hAnsi="Century Gothic"/>
          <w:b/>
          <w:color w:val="315B45"/>
          <w:sz w:val="20"/>
        </w:rPr>
        <w:t xml:space="preserve">Safeguarding comes first  </w:t>
      </w:r>
      <w:r w:rsidRPr="00A170DF">
        <w:rPr>
          <w:rFonts w:ascii="Century Gothic" w:hAnsi="Century Gothic"/>
          <w:color w:val="202622"/>
          <w:sz w:val="20"/>
        </w:rPr>
        <w:t>Data protection law is not a barrier to necessary, proportionate information sharing that protects a child or another person. Consent is not required where another lawful basis applies, and seeking consent may be unsafe or inappropriate.</w:t>
      </w:r>
    </w:p>
    <w:p w14:paraId="76EC1315" w14:textId="77777777" w:rsidR="00B545D7" w:rsidRPr="00A170DF" w:rsidRDefault="009736A2">
      <w:pPr>
        <w:rPr>
          <w:rFonts w:ascii="Century Gothic" w:hAnsi="Century Gothic"/>
        </w:rPr>
      </w:pPr>
      <w:r w:rsidRPr="00A170DF">
        <w:rPr>
          <w:rFonts w:ascii="Century Gothic" w:hAnsi="Century Gothic"/>
        </w:rPr>
        <w:t>TWiG may share relevant information with commissioners, schools, local authorities, children’s social care, police, health professionals, emergency services, LADO, regulators, insurers, legal advisers or another provider where lawful and necessary. Staff must not promise absolute confidentiality.</w:t>
      </w:r>
    </w:p>
    <w:p w14:paraId="59A50569" w14:textId="77777777" w:rsidR="00B545D7" w:rsidRPr="00A170DF" w:rsidRDefault="009736A2">
      <w:pPr>
        <w:pStyle w:val="Heading2"/>
        <w:rPr>
          <w:rFonts w:ascii="Century Gothic" w:hAnsi="Century Gothic"/>
        </w:rPr>
      </w:pPr>
      <w:r w:rsidRPr="00A170DF">
        <w:rPr>
          <w:rFonts w:ascii="Century Gothic" w:hAnsi="Century Gothic"/>
        </w:rPr>
        <w:t>Seven-point sharing check</w:t>
      </w:r>
    </w:p>
    <w:p w14:paraId="2ACD85DB" w14:textId="77777777" w:rsidR="00B545D7" w:rsidRPr="00A170DF" w:rsidRDefault="009736A2">
      <w:pPr>
        <w:pStyle w:val="ListBullet"/>
        <w:keepLines/>
        <w:rPr>
          <w:rFonts w:ascii="Century Gothic" w:hAnsi="Century Gothic"/>
        </w:rPr>
      </w:pPr>
      <w:r w:rsidRPr="00A170DF">
        <w:rPr>
          <w:rFonts w:ascii="Century Gothic" w:hAnsi="Century Gothic"/>
          <w:sz w:val="20"/>
        </w:rPr>
        <w:t>Clarify the purpose and urgency, including any immediate safety risk.</w:t>
      </w:r>
    </w:p>
    <w:p w14:paraId="2994EDF0" w14:textId="77777777" w:rsidR="00B545D7" w:rsidRPr="00A170DF" w:rsidRDefault="009736A2">
      <w:pPr>
        <w:pStyle w:val="ListBullet"/>
        <w:keepLines/>
        <w:rPr>
          <w:rFonts w:ascii="Century Gothic" w:hAnsi="Century Gothic"/>
        </w:rPr>
      </w:pPr>
      <w:r w:rsidRPr="00A170DF">
        <w:rPr>
          <w:rFonts w:ascii="Century Gothic" w:hAnsi="Century Gothic"/>
          <w:sz w:val="20"/>
        </w:rPr>
        <w:t>Check identity, role and authority of the recipient.</w:t>
      </w:r>
    </w:p>
    <w:p w14:paraId="5178DFB0" w14:textId="77777777" w:rsidR="00B545D7" w:rsidRPr="00A170DF" w:rsidRDefault="009736A2">
      <w:pPr>
        <w:pStyle w:val="ListBullet"/>
        <w:keepLines/>
        <w:rPr>
          <w:rFonts w:ascii="Century Gothic" w:hAnsi="Century Gothic"/>
        </w:rPr>
      </w:pPr>
      <w:r w:rsidRPr="00A170DF">
        <w:rPr>
          <w:rFonts w:ascii="Century Gothic" w:hAnsi="Century Gothic"/>
          <w:sz w:val="20"/>
        </w:rPr>
        <w:t>Identify the lawful basis and, if relevant, special-category or criminal-data condition.</w:t>
      </w:r>
    </w:p>
    <w:p w14:paraId="252A3210" w14:textId="77777777" w:rsidR="00B545D7" w:rsidRPr="00A170DF" w:rsidRDefault="009736A2">
      <w:pPr>
        <w:pStyle w:val="ListBullet"/>
        <w:keepLines/>
        <w:rPr>
          <w:rFonts w:ascii="Century Gothic" w:hAnsi="Century Gothic"/>
        </w:rPr>
      </w:pPr>
      <w:r w:rsidRPr="00A170DF">
        <w:rPr>
          <w:rFonts w:ascii="Century Gothic" w:hAnsi="Century Gothic"/>
          <w:sz w:val="20"/>
        </w:rPr>
        <w:t>Share the minimum information needed, accurately and securely.</w:t>
      </w:r>
    </w:p>
    <w:p w14:paraId="5ECF6275" w14:textId="77777777" w:rsidR="00B545D7" w:rsidRPr="00A170DF" w:rsidRDefault="009736A2">
      <w:pPr>
        <w:pStyle w:val="ListBullet"/>
        <w:keepLines/>
        <w:rPr>
          <w:rFonts w:ascii="Century Gothic" w:hAnsi="Century Gothic"/>
        </w:rPr>
      </w:pPr>
      <w:r w:rsidRPr="00A170DF">
        <w:rPr>
          <w:rFonts w:ascii="Century Gothic" w:hAnsi="Century Gothic"/>
          <w:sz w:val="20"/>
        </w:rPr>
        <w:t>Consider the child’s and family’s views unless doing so would increase risk, prejudice an investigation or be impracticable.</w:t>
      </w:r>
    </w:p>
    <w:p w14:paraId="550109C1" w14:textId="77777777" w:rsidR="00B545D7" w:rsidRPr="00A170DF" w:rsidRDefault="009736A2">
      <w:pPr>
        <w:pStyle w:val="ListBullet"/>
        <w:keepLines/>
        <w:rPr>
          <w:rFonts w:ascii="Century Gothic" w:hAnsi="Century Gothic"/>
        </w:rPr>
      </w:pPr>
      <w:r w:rsidRPr="00A170DF">
        <w:rPr>
          <w:rFonts w:ascii="Century Gothic" w:hAnsi="Century Gothic"/>
          <w:sz w:val="20"/>
        </w:rPr>
        <w:t>Record what was shared, with whom, when, why, the decision-maker and any advice received.</w:t>
      </w:r>
    </w:p>
    <w:p w14:paraId="23E0167E" w14:textId="77777777" w:rsidR="00B545D7" w:rsidRPr="00A170DF" w:rsidRDefault="009736A2">
      <w:pPr>
        <w:pStyle w:val="ListBullet"/>
        <w:keepLines/>
        <w:rPr>
          <w:rFonts w:ascii="Century Gothic" w:hAnsi="Century Gothic"/>
        </w:rPr>
      </w:pPr>
      <w:r w:rsidRPr="00A170DF">
        <w:rPr>
          <w:rFonts w:ascii="Century Gothic" w:hAnsi="Century Gothic"/>
          <w:sz w:val="20"/>
        </w:rPr>
        <w:t>Review follow-up action and correct any material inaccuracy promptly.</w:t>
      </w:r>
    </w:p>
    <w:p w14:paraId="66CBB065" w14:textId="77777777" w:rsidR="00B545D7" w:rsidRPr="00A170DF" w:rsidRDefault="009736A2">
      <w:pPr>
        <w:rPr>
          <w:rFonts w:ascii="Century Gothic" w:hAnsi="Century Gothic"/>
        </w:rPr>
      </w:pPr>
      <w:r w:rsidRPr="00A170DF">
        <w:rPr>
          <w:rFonts w:ascii="Century Gothic" w:hAnsi="Century Gothic"/>
        </w:rPr>
        <w:t>Safeguarding files for individual children are created when a concern is identified. Paper files are kept in a locked filing cabinet behind a locked office door; digital records are access-restricted. Access is limited to DSLs and others with a genuine need to know. Safeguarding records are kept separate from routine learning records and transferred or shared securely in line with the commissioner agreement and safeguarding need.</w:t>
      </w:r>
    </w:p>
    <w:p w14:paraId="2F3AFD9E" w14:textId="77777777" w:rsidR="00B545D7" w:rsidRPr="00A170DF" w:rsidRDefault="009736A2">
      <w:pPr>
        <w:pStyle w:val="Heading1"/>
        <w:rPr>
          <w:rFonts w:ascii="Century Gothic" w:hAnsi="Century Gothic"/>
        </w:rPr>
      </w:pPr>
      <w:r w:rsidRPr="00A170DF">
        <w:rPr>
          <w:rFonts w:ascii="Century Gothic" w:hAnsi="Century Gothic"/>
        </w:rPr>
        <w:lastRenderedPageBreak/>
        <w:t>9. Recording, access and security</w:t>
      </w:r>
    </w:p>
    <w:p w14:paraId="05205199" w14:textId="77777777" w:rsidR="00B545D7" w:rsidRPr="00A170DF" w:rsidRDefault="009736A2">
      <w:pPr>
        <w:pStyle w:val="ListBullet"/>
        <w:keepLines/>
        <w:rPr>
          <w:rFonts w:ascii="Century Gothic" w:hAnsi="Century Gothic"/>
        </w:rPr>
      </w:pPr>
      <w:r w:rsidRPr="00A170DF">
        <w:rPr>
          <w:rFonts w:ascii="Century Gothic" w:hAnsi="Century Gothic"/>
          <w:sz w:val="20"/>
        </w:rPr>
        <w:t>Use approved forms, systems and accounts, including TWiG’s configured Famly environment where authorised. Record facts, sources, decisions and professional opinion clearly.</w:t>
      </w:r>
    </w:p>
    <w:p w14:paraId="43E6FABA" w14:textId="77777777" w:rsidR="00B545D7" w:rsidRPr="00A170DF" w:rsidRDefault="009736A2">
      <w:pPr>
        <w:pStyle w:val="ListBullet"/>
        <w:keepLines/>
        <w:rPr>
          <w:rFonts w:ascii="Century Gothic" w:hAnsi="Century Gothic"/>
        </w:rPr>
      </w:pPr>
      <w:r w:rsidRPr="00A170DF">
        <w:rPr>
          <w:rFonts w:ascii="Century Gothic" w:hAnsi="Century Gothic"/>
          <w:sz w:val="20"/>
        </w:rPr>
        <w:t>Apply least-privilege access, unique user accounts, strong passwords, multi-factor authentication where available, automatic locking, current security updates and appropriate encryption.</w:t>
      </w:r>
    </w:p>
    <w:p w14:paraId="0F2D887E" w14:textId="77777777" w:rsidR="00B545D7" w:rsidRPr="00A170DF" w:rsidRDefault="009736A2">
      <w:pPr>
        <w:pStyle w:val="ListBullet"/>
        <w:keepLines/>
        <w:rPr>
          <w:rFonts w:ascii="Century Gothic" w:hAnsi="Century Gothic"/>
        </w:rPr>
      </w:pPr>
      <w:r w:rsidRPr="00A170DF">
        <w:rPr>
          <w:rFonts w:ascii="Century Gothic" w:hAnsi="Century Gothic"/>
          <w:sz w:val="20"/>
        </w:rPr>
        <w:t>Keep paper records out of sight during use and return them promptly to secure storage. Do not leave learner paperwork unattended.</w:t>
      </w:r>
    </w:p>
    <w:p w14:paraId="60D9F1DC" w14:textId="77777777" w:rsidR="00B545D7" w:rsidRPr="00A170DF" w:rsidRDefault="009736A2">
      <w:pPr>
        <w:pStyle w:val="ListBullet"/>
        <w:keepLines/>
        <w:rPr>
          <w:rFonts w:ascii="Century Gothic" w:hAnsi="Century Gothic"/>
        </w:rPr>
      </w:pPr>
      <w:r w:rsidRPr="00A170DF">
        <w:rPr>
          <w:rFonts w:ascii="Century Gothic" w:hAnsi="Century Gothic"/>
          <w:sz w:val="20"/>
        </w:rPr>
        <w:t>Check recipients and attachments before sending. Use approved secure transfer for sensitive information; use BCC where group email is appropriate.</w:t>
      </w:r>
    </w:p>
    <w:p w14:paraId="24206595" w14:textId="77777777" w:rsidR="00B545D7" w:rsidRPr="00A170DF" w:rsidRDefault="009736A2">
      <w:pPr>
        <w:pStyle w:val="ListBullet"/>
        <w:keepLines/>
        <w:rPr>
          <w:rFonts w:ascii="Century Gothic" w:hAnsi="Century Gothic"/>
        </w:rPr>
      </w:pPr>
      <w:r w:rsidRPr="00A170DF">
        <w:rPr>
          <w:rFonts w:ascii="Century Gothic" w:hAnsi="Century Gothic"/>
          <w:sz w:val="20"/>
        </w:rPr>
        <w:t>Do not share sensitive information through personal email, social media, unapproved messaging services or public generative-AI tools.</w:t>
      </w:r>
    </w:p>
    <w:p w14:paraId="09E5C4BF" w14:textId="77777777" w:rsidR="00B545D7" w:rsidRPr="00A170DF" w:rsidRDefault="009736A2">
      <w:pPr>
        <w:pStyle w:val="ListBullet"/>
        <w:keepLines/>
        <w:rPr>
          <w:rFonts w:ascii="Century Gothic" w:hAnsi="Century Gothic"/>
        </w:rPr>
      </w:pPr>
      <w:r w:rsidRPr="00A170DF">
        <w:rPr>
          <w:rFonts w:ascii="Century Gothic" w:hAnsi="Century Gothic"/>
          <w:sz w:val="20"/>
        </w:rPr>
        <w:t>Store personal data on approved systems, not on unencrypted USB devices or local drives. Personal devices may be used only where expressly authorised and protected under TWiG controls.</w:t>
      </w:r>
    </w:p>
    <w:p w14:paraId="4EB98F07" w14:textId="77777777" w:rsidR="00B545D7" w:rsidRPr="00A170DF" w:rsidRDefault="009736A2">
      <w:pPr>
        <w:pStyle w:val="ListBullet"/>
        <w:keepLines/>
        <w:rPr>
          <w:rFonts w:ascii="Century Gothic" w:hAnsi="Century Gothic"/>
        </w:rPr>
      </w:pPr>
      <w:r w:rsidRPr="00A170DF">
        <w:rPr>
          <w:rFonts w:ascii="Century Gothic" w:hAnsi="Century Gothic"/>
          <w:sz w:val="20"/>
        </w:rPr>
        <w:t>Discuss personal information only where conversations cannot be overheard and only with people who need to know.</w:t>
      </w:r>
    </w:p>
    <w:p w14:paraId="3FB0EFDC" w14:textId="77777777" w:rsidR="00B545D7" w:rsidRPr="00A170DF" w:rsidRDefault="009736A2">
      <w:pPr>
        <w:pStyle w:val="ListBullet"/>
        <w:keepLines/>
        <w:rPr>
          <w:rFonts w:ascii="Century Gothic" w:hAnsi="Century Gothic"/>
        </w:rPr>
      </w:pPr>
      <w:r w:rsidRPr="00A170DF">
        <w:rPr>
          <w:rFonts w:ascii="Century Gothic" w:hAnsi="Century Gothic"/>
          <w:sz w:val="20"/>
        </w:rPr>
        <w:t>Securely shred paper and securely delete digital information when authorised. Normal deletion is not assumed to remove every backup copy immediately; backup retention and restoration are controlled.</w:t>
      </w:r>
    </w:p>
    <w:p w14:paraId="01EEAF7B" w14:textId="77777777" w:rsidR="00B545D7" w:rsidRPr="00A170DF" w:rsidRDefault="009736A2">
      <w:pPr>
        <w:pStyle w:val="ListBullet"/>
        <w:keepLines/>
        <w:rPr>
          <w:rFonts w:ascii="Century Gothic" w:hAnsi="Century Gothic"/>
        </w:rPr>
      </w:pPr>
      <w:r w:rsidRPr="00A170DF">
        <w:rPr>
          <w:rFonts w:ascii="Century Gothic" w:hAnsi="Century Gothic"/>
          <w:sz w:val="20"/>
        </w:rPr>
        <w:t>Report phishing, misdirected email, lost devices, unauthorised access, accidental disclosure or insecure disposal immediately.</w:t>
      </w:r>
    </w:p>
    <w:p w14:paraId="3CCEAC05" w14:textId="77777777" w:rsidR="00B545D7" w:rsidRPr="00A170DF" w:rsidRDefault="009736A2">
      <w:pPr>
        <w:pStyle w:val="Heading1"/>
        <w:rPr>
          <w:rFonts w:ascii="Century Gothic" w:hAnsi="Century Gothic"/>
        </w:rPr>
      </w:pPr>
      <w:r w:rsidRPr="00A170DF">
        <w:rPr>
          <w:rFonts w:ascii="Century Gothic" w:hAnsi="Century Gothic"/>
        </w:rPr>
        <w:t>10. Photographs, video and audio</w:t>
      </w:r>
    </w:p>
    <w:p w14:paraId="5FAA0758" w14:textId="77777777" w:rsidR="00B545D7" w:rsidRPr="00A170DF" w:rsidRDefault="009736A2">
      <w:pPr>
        <w:rPr>
          <w:rFonts w:ascii="Century Gothic" w:hAnsi="Century Gothic"/>
        </w:rPr>
      </w:pPr>
      <w:r w:rsidRPr="00A170DF">
        <w:rPr>
          <w:rFonts w:ascii="Century Gothic" w:hAnsi="Century Gothic"/>
        </w:rPr>
        <w:t>TWiG distinguishes between images needed for internal provision records and images used for publication, website, social media, training or promotion. Optional external use requires specific, informed permission and respects the child’s current wishes. Refusal or withdrawal does not affect access to provision.</w:t>
      </w:r>
    </w:p>
    <w:p w14:paraId="18E8AF69" w14:textId="77777777" w:rsidR="00B545D7" w:rsidRPr="00A170DF" w:rsidRDefault="009736A2">
      <w:pPr>
        <w:pStyle w:val="ListBullet"/>
        <w:keepLines/>
        <w:rPr>
          <w:rFonts w:ascii="Century Gothic" w:hAnsi="Century Gothic"/>
        </w:rPr>
      </w:pPr>
      <w:r w:rsidRPr="00A170DF">
        <w:rPr>
          <w:rFonts w:ascii="Century Gothic" w:hAnsi="Century Gothic"/>
          <w:sz w:val="20"/>
        </w:rPr>
        <w:t>Use a TWiG-authorised device or approved capture method. Personal-phone capture is not permitted unless a Managing Partner has given specific, documented authorisation for an exceptional operational reason and secure same-day transfer and deletion are verified.</w:t>
      </w:r>
    </w:p>
    <w:p w14:paraId="319E0CF6" w14:textId="77777777" w:rsidR="00B545D7" w:rsidRPr="00A170DF" w:rsidRDefault="009736A2">
      <w:pPr>
        <w:pStyle w:val="ListBullet"/>
        <w:keepLines/>
        <w:rPr>
          <w:rFonts w:ascii="Century Gothic" w:hAnsi="Century Gothic"/>
        </w:rPr>
      </w:pPr>
      <w:r w:rsidRPr="00A170DF">
        <w:rPr>
          <w:rFonts w:ascii="Century Gothic" w:hAnsi="Century Gothic"/>
          <w:sz w:val="20"/>
        </w:rPr>
        <w:t>Upload only to the approved restricted system and apply the minimum necessary access. Do not transfer images by personal WhatsApp, personal cloud backup or personal email.</w:t>
      </w:r>
    </w:p>
    <w:p w14:paraId="17640D97" w14:textId="77777777" w:rsidR="00B545D7" w:rsidRPr="00A170DF" w:rsidRDefault="009736A2">
      <w:pPr>
        <w:pStyle w:val="ListBullet"/>
        <w:keepLines/>
        <w:rPr>
          <w:rFonts w:ascii="Century Gothic" w:hAnsi="Century Gothic"/>
        </w:rPr>
      </w:pPr>
      <w:r w:rsidRPr="00A170DF">
        <w:rPr>
          <w:rFonts w:ascii="Century Gothic" w:hAnsi="Century Gothic"/>
          <w:sz w:val="20"/>
        </w:rPr>
        <w:t>Do not publish names with images unless this is specifically justified, explained and authorised.</w:t>
      </w:r>
    </w:p>
    <w:p w14:paraId="746A139F" w14:textId="77777777" w:rsidR="00B545D7" w:rsidRPr="00A170DF" w:rsidRDefault="009736A2">
      <w:pPr>
        <w:pStyle w:val="ListBullet"/>
        <w:keepLines/>
        <w:rPr>
          <w:rFonts w:ascii="Century Gothic" w:hAnsi="Century Gothic"/>
        </w:rPr>
      </w:pPr>
      <w:r w:rsidRPr="00A170DF">
        <w:rPr>
          <w:rFonts w:ascii="Century Gothic" w:hAnsi="Century Gothic"/>
          <w:sz w:val="20"/>
        </w:rPr>
        <w:t>Remove an image from future use when permission is withdrawn where reasonably possible; explain that already printed material or third-party re-sharing may not be fully recoverable.</w:t>
      </w:r>
    </w:p>
    <w:p w14:paraId="247FBCB0" w14:textId="77777777" w:rsidR="00B545D7" w:rsidRPr="00A170DF" w:rsidRDefault="009736A2">
      <w:pPr>
        <w:pStyle w:val="ListBullet"/>
        <w:keepLines/>
        <w:rPr>
          <w:rFonts w:ascii="Century Gothic" w:hAnsi="Century Gothic"/>
        </w:rPr>
      </w:pPr>
      <w:r w:rsidRPr="00A170DF">
        <w:rPr>
          <w:rFonts w:ascii="Century Gothic" w:hAnsi="Century Gothic"/>
          <w:sz w:val="20"/>
        </w:rPr>
        <w:t>Treat an image linked to health, safeguarding or other sensitive context with the additional protection that context requires.</w:t>
      </w:r>
    </w:p>
    <w:p w14:paraId="53768494" w14:textId="77777777" w:rsidR="00B545D7" w:rsidRPr="00A170DF" w:rsidRDefault="009736A2">
      <w:pPr>
        <w:pStyle w:val="Heading1"/>
        <w:rPr>
          <w:rFonts w:ascii="Century Gothic" w:hAnsi="Century Gothic"/>
        </w:rPr>
      </w:pPr>
      <w:r w:rsidRPr="00A170DF">
        <w:rPr>
          <w:rFonts w:ascii="Century Gothic" w:hAnsi="Century Gothic"/>
        </w:rPr>
        <w:t>11. Systems, processors and transfers</w:t>
      </w:r>
    </w:p>
    <w:p w14:paraId="04C8F70A" w14:textId="77777777" w:rsidR="00B545D7" w:rsidRPr="00A170DF" w:rsidRDefault="009736A2">
      <w:pPr>
        <w:rPr>
          <w:rFonts w:ascii="Century Gothic" w:hAnsi="Century Gothic"/>
        </w:rPr>
      </w:pPr>
      <w:r w:rsidRPr="00A170DF">
        <w:rPr>
          <w:rFonts w:ascii="Century Gothic" w:hAnsi="Century Gothic"/>
        </w:rPr>
        <w:t xml:space="preserve">Before appointing a provider that handles personal data, TWiG completes proportionate due diligence and puts an Article 28-compliant processor contract in place where required. Checks include security, </w:t>
      </w:r>
      <w:r w:rsidRPr="00A170DF">
        <w:rPr>
          <w:rFonts w:ascii="Century Gothic" w:hAnsi="Century Gothic"/>
        </w:rPr>
        <w:lastRenderedPageBreak/>
        <w:t>confidentiality, sub-processors, breach support, deletion or return, audit evidence, service resilience and data location. Access and contracts are reviewed periodically and when services change.</w:t>
      </w:r>
    </w:p>
    <w:p w14:paraId="2CB9E2DF" w14:textId="77777777" w:rsidR="00B545D7" w:rsidRPr="00A170DF" w:rsidRDefault="009736A2">
      <w:pPr>
        <w:rPr>
          <w:rFonts w:ascii="Century Gothic" w:hAnsi="Century Gothic"/>
        </w:rPr>
      </w:pPr>
      <w:r w:rsidRPr="00A170DF">
        <w:rPr>
          <w:rFonts w:ascii="Century Gothic" w:hAnsi="Century Gothic"/>
        </w:rPr>
        <w:t>Personal data is transferred outside the UK only where a lawful transfer mechanism and supplementary safeguards are in place and privacy information is updated. A UK adequacy regulation, UK International Data Transfer Agreement/Addendum or another permitted safeguard is documented as appropriate.</w:t>
      </w:r>
    </w:p>
    <w:p w14:paraId="72414D3D" w14:textId="77777777" w:rsidR="00B545D7" w:rsidRPr="00A170DF" w:rsidRDefault="009736A2">
      <w:pPr>
        <w:pStyle w:val="Heading2"/>
        <w:rPr>
          <w:rFonts w:ascii="Century Gothic" w:hAnsi="Century Gothic"/>
        </w:rPr>
      </w:pPr>
      <w:r w:rsidRPr="00A170DF">
        <w:rPr>
          <w:rFonts w:ascii="Century Gothic" w:hAnsi="Century Gothic"/>
        </w:rPr>
        <w:t>Data protection by design</w:t>
      </w:r>
    </w:p>
    <w:p w14:paraId="4E3D2142" w14:textId="77777777" w:rsidR="00B545D7" w:rsidRPr="00A170DF" w:rsidRDefault="009736A2">
      <w:pPr>
        <w:rPr>
          <w:rFonts w:ascii="Century Gothic" w:hAnsi="Century Gothic"/>
        </w:rPr>
      </w:pPr>
      <w:r w:rsidRPr="00A170DF">
        <w:rPr>
          <w:rFonts w:ascii="Century Gothic" w:hAnsi="Century Gothic"/>
        </w:rPr>
        <w:t>New systems, significant changes and new uses of information are assessed before implementation. A Data Protection Impact Assessment (DPIA) is completed where processing is likely to present high risk, including certain systematic monitoring, large-scale sensitive processing, innovative technology or significant automated decisions. TWiG does not make solely automated decisions producing legal or similarly significant effects about learners or staff. Any approved AI-assisted use must minimise data, have a l</w:t>
      </w:r>
      <w:r w:rsidRPr="00A170DF">
        <w:rPr>
          <w:rFonts w:ascii="Century Gothic" w:hAnsi="Century Gothic"/>
        </w:rPr>
        <w:t>awful basis, appropriate contract and security, a DPIA where required, and meaningful human review.</w:t>
      </w:r>
    </w:p>
    <w:p w14:paraId="1A31C3CF" w14:textId="77777777" w:rsidR="00B545D7" w:rsidRPr="00A170DF" w:rsidRDefault="009736A2">
      <w:pPr>
        <w:pStyle w:val="Heading1"/>
        <w:rPr>
          <w:rFonts w:ascii="Century Gothic" w:hAnsi="Century Gothic"/>
        </w:rPr>
      </w:pPr>
      <w:r w:rsidRPr="00A170DF">
        <w:rPr>
          <w:rFonts w:ascii="Century Gothic" w:hAnsi="Century Gothic"/>
        </w:rPr>
        <w:t>12. Retention and disposal</w:t>
      </w:r>
    </w:p>
    <w:p w14:paraId="0231A615" w14:textId="77777777" w:rsidR="00B545D7" w:rsidRPr="00A170DF" w:rsidRDefault="009736A2">
      <w:pPr>
        <w:rPr>
          <w:rFonts w:ascii="Century Gothic" w:hAnsi="Century Gothic"/>
        </w:rPr>
      </w:pPr>
      <w:r w:rsidRPr="00A170DF">
        <w:rPr>
          <w:rFonts w:ascii="Century Gothic" w:hAnsi="Century Gothic"/>
        </w:rPr>
        <w:t>TWiG follows a documented retention schedule based on the purpose, safeguarding guidance, commissioner or contractual requirements, statutory duties, insurance and limitation periods. Records are not kept permanently by default. At closure or review, information is securely deleted, destroyed, anonymised or transferred to the appropriate controller, with only a justified copy retained.</w:t>
      </w:r>
    </w:p>
    <w:tbl>
      <w:tblPr>
        <w:tblStyle w:val="TableGrid"/>
        <w:tblW w:w="9240" w:type="dxa"/>
        <w:tblInd w:w="120" w:type="dxa"/>
        <w:tblLayout w:type="fixed"/>
        <w:tblLook w:val="04A0" w:firstRow="1" w:lastRow="0" w:firstColumn="1" w:lastColumn="0" w:noHBand="0" w:noVBand="1"/>
      </w:tblPr>
      <w:tblGrid>
        <w:gridCol w:w="2600"/>
        <w:gridCol w:w="3300"/>
        <w:gridCol w:w="3340"/>
      </w:tblGrid>
      <w:tr w:rsidR="00B545D7" w:rsidRPr="00A170DF" w14:paraId="21073991" w14:textId="77777777">
        <w:trPr>
          <w:cantSplit/>
          <w:tblHeader/>
        </w:trPr>
        <w:tc>
          <w:tcPr>
            <w:tcW w:w="2600" w:type="dxa"/>
            <w:shd w:val="clear" w:color="auto" w:fill="315B45"/>
            <w:tcMar>
              <w:top w:w="90" w:type="dxa"/>
              <w:left w:w="120" w:type="dxa"/>
              <w:bottom w:w="90" w:type="dxa"/>
              <w:right w:w="120" w:type="dxa"/>
            </w:tcMar>
          </w:tcPr>
          <w:p w14:paraId="45BD2ADA" w14:textId="77777777" w:rsidR="00B545D7" w:rsidRPr="00A170DF" w:rsidRDefault="009736A2">
            <w:pPr>
              <w:rPr>
                <w:rFonts w:ascii="Century Gothic" w:hAnsi="Century Gothic"/>
              </w:rPr>
            </w:pPr>
            <w:r w:rsidRPr="00A170DF">
              <w:rPr>
                <w:rFonts w:ascii="Century Gothic" w:hAnsi="Century Gothic"/>
                <w:b/>
                <w:color w:val="FFFFFF"/>
                <w:sz w:val="17"/>
              </w:rPr>
              <w:t>Record group</w:t>
            </w:r>
          </w:p>
        </w:tc>
        <w:tc>
          <w:tcPr>
            <w:tcW w:w="3300" w:type="dxa"/>
            <w:shd w:val="clear" w:color="auto" w:fill="315B45"/>
            <w:tcMar>
              <w:top w:w="90" w:type="dxa"/>
              <w:left w:w="120" w:type="dxa"/>
              <w:bottom w:w="90" w:type="dxa"/>
              <w:right w:w="120" w:type="dxa"/>
            </w:tcMar>
          </w:tcPr>
          <w:p w14:paraId="0521C205" w14:textId="77777777" w:rsidR="00B545D7" w:rsidRPr="00A170DF" w:rsidRDefault="009736A2">
            <w:pPr>
              <w:rPr>
                <w:rFonts w:ascii="Century Gothic" w:hAnsi="Century Gothic"/>
              </w:rPr>
            </w:pPr>
            <w:r w:rsidRPr="00A170DF">
              <w:rPr>
                <w:rFonts w:ascii="Century Gothic" w:hAnsi="Century Gothic"/>
                <w:b/>
                <w:color w:val="FFFFFF"/>
                <w:sz w:val="17"/>
              </w:rPr>
              <w:t>Retention trigger</w:t>
            </w:r>
          </w:p>
        </w:tc>
        <w:tc>
          <w:tcPr>
            <w:tcW w:w="3340" w:type="dxa"/>
            <w:shd w:val="clear" w:color="auto" w:fill="315B45"/>
            <w:tcMar>
              <w:top w:w="90" w:type="dxa"/>
              <w:left w:w="120" w:type="dxa"/>
              <w:bottom w:w="90" w:type="dxa"/>
              <w:right w:w="120" w:type="dxa"/>
            </w:tcMar>
          </w:tcPr>
          <w:p w14:paraId="7B1CF59B" w14:textId="77777777" w:rsidR="00B545D7" w:rsidRPr="00A170DF" w:rsidRDefault="009736A2">
            <w:pPr>
              <w:rPr>
                <w:rFonts w:ascii="Century Gothic" w:hAnsi="Century Gothic"/>
              </w:rPr>
            </w:pPr>
            <w:r w:rsidRPr="00A170DF">
              <w:rPr>
                <w:rFonts w:ascii="Century Gothic" w:hAnsi="Century Gothic"/>
                <w:b/>
                <w:color w:val="FFFFFF"/>
                <w:sz w:val="17"/>
              </w:rPr>
              <w:t>Control</w:t>
            </w:r>
          </w:p>
        </w:tc>
      </w:tr>
      <w:tr w:rsidR="00B545D7" w:rsidRPr="00A170DF" w14:paraId="51040A41" w14:textId="77777777">
        <w:tc>
          <w:tcPr>
            <w:tcW w:w="2600" w:type="dxa"/>
          </w:tcPr>
          <w:p w14:paraId="2D3825B3" w14:textId="77777777" w:rsidR="00B545D7" w:rsidRPr="00A170DF" w:rsidRDefault="009736A2">
            <w:pPr>
              <w:rPr>
                <w:rFonts w:ascii="Century Gothic" w:hAnsi="Century Gothic"/>
              </w:rPr>
            </w:pPr>
            <w:r w:rsidRPr="00A170DF">
              <w:rPr>
                <w:rFonts w:ascii="Century Gothic" w:hAnsi="Century Gothic"/>
                <w:sz w:val="17"/>
              </w:rPr>
              <w:t>Learner placement, attendance, progress and incidents</w:t>
            </w:r>
          </w:p>
        </w:tc>
        <w:tc>
          <w:tcPr>
            <w:tcW w:w="3300" w:type="dxa"/>
          </w:tcPr>
          <w:p w14:paraId="5E0B1C71" w14:textId="77777777" w:rsidR="00B545D7" w:rsidRPr="00A170DF" w:rsidRDefault="009736A2">
            <w:pPr>
              <w:rPr>
                <w:rFonts w:ascii="Century Gothic" w:hAnsi="Century Gothic"/>
              </w:rPr>
            </w:pPr>
            <w:r w:rsidRPr="00A170DF">
              <w:rPr>
                <w:rFonts w:ascii="Century Gothic" w:hAnsi="Century Gothic"/>
                <w:sz w:val="17"/>
              </w:rPr>
              <w:t>End of placement, then the period in the approved schedule and commissioner agreement</w:t>
            </w:r>
          </w:p>
        </w:tc>
        <w:tc>
          <w:tcPr>
            <w:tcW w:w="3340" w:type="dxa"/>
          </w:tcPr>
          <w:p w14:paraId="6B4F01C6" w14:textId="77777777" w:rsidR="00B545D7" w:rsidRPr="00A170DF" w:rsidRDefault="009736A2">
            <w:pPr>
              <w:rPr>
                <w:rFonts w:ascii="Century Gothic" w:hAnsi="Century Gothic"/>
              </w:rPr>
            </w:pPr>
            <w:r w:rsidRPr="00A170DF">
              <w:rPr>
                <w:rFonts w:ascii="Century Gothic" w:hAnsi="Century Gothic"/>
                <w:sz w:val="17"/>
              </w:rPr>
              <w:t>Closure review; transfer where required; restrict access</w:t>
            </w:r>
          </w:p>
        </w:tc>
      </w:tr>
      <w:tr w:rsidR="00B545D7" w:rsidRPr="00A170DF" w14:paraId="3391B066" w14:textId="77777777">
        <w:tc>
          <w:tcPr>
            <w:tcW w:w="2600" w:type="dxa"/>
          </w:tcPr>
          <w:p w14:paraId="230A4D3C" w14:textId="77777777" w:rsidR="00B545D7" w:rsidRPr="00A170DF" w:rsidRDefault="009736A2">
            <w:pPr>
              <w:rPr>
                <w:rFonts w:ascii="Century Gothic" w:hAnsi="Century Gothic"/>
              </w:rPr>
            </w:pPr>
            <w:r w:rsidRPr="00A170DF">
              <w:rPr>
                <w:rFonts w:ascii="Century Gothic" w:hAnsi="Century Gothic"/>
                <w:sz w:val="17"/>
              </w:rPr>
              <w:t>Safeguarding and child-protection</w:t>
            </w:r>
          </w:p>
        </w:tc>
        <w:tc>
          <w:tcPr>
            <w:tcW w:w="3300" w:type="dxa"/>
          </w:tcPr>
          <w:p w14:paraId="5D41C6AB" w14:textId="77777777" w:rsidR="00B545D7" w:rsidRPr="00A170DF" w:rsidRDefault="009736A2">
            <w:pPr>
              <w:rPr>
                <w:rFonts w:ascii="Century Gothic" w:hAnsi="Century Gothic"/>
              </w:rPr>
            </w:pPr>
            <w:r w:rsidRPr="00A170DF">
              <w:rPr>
                <w:rFonts w:ascii="Century Gothic" w:hAnsi="Century Gothic"/>
                <w:sz w:val="17"/>
              </w:rPr>
              <w:t>Transfer/closure and current safeguarding retention requirements</w:t>
            </w:r>
          </w:p>
        </w:tc>
        <w:tc>
          <w:tcPr>
            <w:tcW w:w="3340" w:type="dxa"/>
          </w:tcPr>
          <w:p w14:paraId="3F6F8016" w14:textId="77777777" w:rsidR="00B545D7" w:rsidRPr="00A170DF" w:rsidRDefault="009736A2">
            <w:pPr>
              <w:rPr>
                <w:rFonts w:ascii="Century Gothic" w:hAnsi="Century Gothic"/>
              </w:rPr>
            </w:pPr>
            <w:r w:rsidRPr="00A170DF">
              <w:rPr>
                <w:rFonts w:ascii="Century Gothic" w:hAnsi="Century Gothic"/>
                <w:sz w:val="17"/>
              </w:rPr>
              <w:t>DSL decision; secure transfer; record rationale for any retained copy</w:t>
            </w:r>
          </w:p>
        </w:tc>
      </w:tr>
      <w:tr w:rsidR="00B545D7" w:rsidRPr="00A170DF" w14:paraId="17B1C371" w14:textId="77777777">
        <w:tc>
          <w:tcPr>
            <w:tcW w:w="2600" w:type="dxa"/>
          </w:tcPr>
          <w:p w14:paraId="7728FBD0" w14:textId="77777777" w:rsidR="00B545D7" w:rsidRPr="00A170DF" w:rsidRDefault="009736A2">
            <w:pPr>
              <w:rPr>
                <w:rFonts w:ascii="Century Gothic" w:hAnsi="Century Gothic"/>
              </w:rPr>
            </w:pPr>
            <w:r w:rsidRPr="00A170DF">
              <w:rPr>
                <w:rFonts w:ascii="Century Gothic" w:hAnsi="Century Gothic"/>
                <w:sz w:val="17"/>
              </w:rPr>
              <w:t>Health, medication and accidents</w:t>
            </w:r>
          </w:p>
        </w:tc>
        <w:tc>
          <w:tcPr>
            <w:tcW w:w="3300" w:type="dxa"/>
          </w:tcPr>
          <w:p w14:paraId="7A5154B1" w14:textId="77777777" w:rsidR="00B545D7" w:rsidRPr="00A170DF" w:rsidRDefault="009736A2">
            <w:pPr>
              <w:rPr>
                <w:rFonts w:ascii="Century Gothic" w:hAnsi="Century Gothic"/>
              </w:rPr>
            </w:pPr>
            <w:r w:rsidRPr="00A170DF">
              <w:rPr>
                <w:rFonts w:ascii="Century Gothic" w:hAnsi="Century Gothic"/>
                <w:sz w:val="17"/>
              </w:rPr>
              <w:t>End of relevance plus statutory, insurance and limitation requirements</w:t>
            </w:r>
          </w:p>
        </w:tc>
        <w:tc>
          <w:tcPr>
            <w:tcW w:w="3340" w:type="dxa"/>
          </w:tcPr>
          <w:p w14:paraId="1D2B0D81" w14:textId="77777777" w:rsidR="00B545D7" w:rsidRPr="00A170DF" w:rsidRDefault="009736A2">
            <w:pPr>
              <w:rPr>
                <w:rFonts w:ascii="Century Gothic" w:hAnsi="Century Gothic"/>
              </w:rPr>
            </w:pPr>
            <w:r w:rsidRPr="00A170DF">
              <w:rPr>
                <w:rFonts w:ascii="Century Gothic" w:hAnsi="Century Gothic"/>
                <w:sz w:val="17"/>
              </w:rPr>
              <w:t>Review at closure and after any claim or investigation</w:t>
            </w:r>
          </w:p>
        </w:tc>
      </w:tr>
      <w:tr w:rsidR="00B545D7" w:rsidRPr="00A170DF" w14:paraId="3534B60F" w14:textId="77777777">
        <w:tc>
          <w:tcPr>
            <w:tcW w:w="2600" w:type="dxa"/>
          </w:tcPr>
          <w:p w14:paraId="19A374A9" w14:textId="77777777" w:rsidR="00B545D7" w:rsidRPr="00A170DF" w:rsidRDefault="009736A2">
            <w:pPr>
              <w:rPr>
                <w:rFonts w:ascii="Century Gothic" w:hAnsi="Century Gothic"/>
              </w:rPr>
            </w:pPr>
            <w:r w:rsidRPr="00A170DF">
              <w:rPr>
                <w:rFonts w:ascii="Century Gothic" w:hAnsi="Century Gothic"/>
                <w:sz w:val="17"/>
              </w:rPr>
              <w:t>Workforce and safer recruitment</w:t>
            </w:r>
          </w:p>
        </w:tc>
        <w:tc>
          <w:tcPr>
            <w:tcW w:w="3300" w:type="dxa"/>
          </w:tcPr>
          <w:p w14:paraId="2EBF2A1F" w14:textId="77777777" w:rsidR="00B545D7" w:rsidRPr="00A170DF" w:rsidRDefault="009736A2">
            <w:pPr>
              <w:rPr>
                <w:rFonts w:ascii="Century Gothic" w:hAnsi="Century Gothic"/>
              </w:rPr>
            </w:pPr>
            <w:r w:rsidRPr="00A170DF">
              <w:rPr>
                <w:rFonts w:ascii="Century Gothic" w:hAnsi="Century Gothic"/>
                <w:sz w:val="17"/>
              </w:rPr>
              <w:t>End of recruitment or engagement plus statutory, safeguarding and limitation requirements</w:t>
            </w:r>
          </w:p>
        </w:tc>
        <w:tc>
          <w:tcPr>
            <w:tcW w:w="3340" w:type="dxa"/>
          </w:tcPr>
          <w:p w14:paraId="76BFBFF9" w14:textId="77777777" w:rsidR="00B545D7" w:rsidRPr="00A170DF" w:rsidRDefault="009736A2">
            <w:pPr>
              <w:rPr>
                <w:rFonts w:ascii="Century Gothic" w:hAnsi="Century Gothic"/>
              </w:rPr>
            </w:pPr>
            <w:r w:rsidRPr="00A170DF">
              <w:rPr>
                <w:rFonts w:ascii="Century Gothic" w:hAnsi="Century Gothic"/>
                <w:sz w:val="17"/>
              </w:rPr>
              <w:t>Separate restricted records; DBS handling rules</w:t>
            </w:r>
          </w:p>
        </w:tc>
      </w:tr>
      <w:tr w:rsidR="00B545D7" w:rsidRPr="00A170DF" w14:paraId="3DAB36AE" w14:textId="77777777">
        <w:tc>
          <w:tcPr>
            <w:tcW w:w="2600" w:type="dxa"/>
          </w:tcPr>
          <w:p w14:paraId="42392801" w14:textId="77777777" w:rsidR="00B545D7" w:rsidRPr="00A170DF" w:rsidRDefault="009736A2">
            <w:pPr>
              <w:rPr>
                <w:rFonts w:ascii="Century Gothic" w:hAnsi="Century Gothic"/>
              </w:rPr>
            </w:pPr>
            <w:r w:rsidRPr="00A170DF">
              <w:rPr>
                <w:rFonts w:ascii="Century Gothic" w:hAnsi="Century Gothic"/>
                <w:sz w:val="17"/>
              </w:rPr>
              <w:t>Finance, contracts and tax</w:t>
            </w:r>
          </w:p>
        </w:tc>
        <w:tc>
          <w:tcPr>
            <w:tcW w:w="3300" w:type="dxa"/>
          </w:tcPr>
          <w:p w14:paraId="25C07DF0" w14:textId="77777777" w:rsidR="00B545D7" w:rsidRPr="00A170DF" w:rsidRDefault="009736A2">
            <w:pPr>
              <w:rPr>
                <w:rFonts w:ascii="Century Gothic" w:hAnsi="Century Gothic"/>
              </w:rPr>
            </w:pPr>
            <w:r w:rsidRPr="00A170DF">
              <w:rPr>
                <w:rFonts w:ascii="Century Gothic" w:hAnsi="Century Gothic"/>
                <w:sz w:val="17"/>
              </w:rPr>
              <w:t>End of financial year or contract plus statutory period</w:t>
            </w:r>
          </w:p>
        </w:tc>
        <w:tc>
          <w:tcPr>
            <w:tcW w:w="3340" w:type="dxa"/>
          </w:tcPr>
          <w:p w14:paraId="64AC3647" w14:textId="77777777" w:rsidR="00B545D7" w:rsidRPr="00A170DF" w:rsidRDefault="009736A2">
            <w:pPr>
              <w:rPr>
                <w:rFonts w:ascii="Century Gothic" w:hAnsi="Century Gothic"/>
              </w:rPr>
            </w:pPr>
            <w:r w:rsidRPr="00A170DF">
              <w:rPr>
                <w:rFonts w:ascii="Century Gothic" w:hAnsi="Century Gothic"/>
                <w:sz w:val="17"/>
              </w:rPr>
              <w:t>Restricted access; legal hold where needed</w:t>
            </w:r>
          </w:p>
        </w:tc>
      </w:tr>
      <w:tr w:rsidR="00B545D7" w:rsidRPr="00A170DF" w14:paraId="1F397FE8" w14:textId="77777777">
        <w:tc>
          <w:tcPr>
            <w:tcW w:w="2600" w:type="dxa"/>
          </w:tcPr>
          <w:p w14:paraId="6C5D98D6" w14:textId="77777777" w:rsidR="00B545D7" w:rsidRPr="00A170DF" w:rsidRDefault="009736A2">
            <w:pPr>
              <w:rPr>
                <w:rFonts w:ascii="Century Gothic" w:hAnsi="Century Gothic"/>
              </w:rPr>
            </w:pPr>
            <w:r w:rsidRPr="00A170DF">
              <w:rPr>
                <w:rFonts w:ascii="Century Gothic" w:hAnsi="Century Gothic"/>
                <w:sz w:val="17"/>
              </w:rPr>
              <w:t>Images and consent evidence</w:t>
            </w:r>
          </w:p>
        </w:tc>
        <w:tc>
          <w:tcPr>
            <w:tcW w:w="3300" w:type="dxa"/>
          </w:tcPr>
          <w:p w14:paraId="5DBD2B99" w14:textId="77777777" w:rsidR="00B545D7" w:rsidRPr="00A170DF" w:rsidRDefault="009736A2">
            <w:pPr>
              <w:rPr>
                <w:rFonts w:ascii="Century Gothic" w:hAnsi="Century Gothic"/>
              </w:rPr>
            </w:pPr>
            <w:r w:rsidRPr="00A170DF">
              <w:rPr>
                <w:rFonts w:ascii="Century Gothic" w:hAnsi="Century Gothic"/>
                <w:sz w:val="17"/>
              </w:rPr>
              <w:t>End of approved purpose or withdrawal, subject to audit/legal need</w:t>
            </w:r>
          </w:p>
        </w:tc>
        <w:tc>
          <w:tcPr>
            <w:tcW w:w="3340" w:type="dxa"/>
          </w:tcPr>
          <w:p w14:paraId="3D3E6F1D" w14:textId="77777777" w:rsidR="00B545D7" w:rsidRPr="00A170DF" w:rsidRDefault="009736A2">
            <w:pPr>
              <w:rPr>
                <w:rFonts w:ascii="Century Gothic" w:hAnsi="Century Gothic"/>
              </w:rPr>
            </w:pPr>
            <w:r w:rsidRPr="00A170DF">
              <w:rPr>
                <w:rFonts w:ascii="Century Gothic" w:hAnsi="Century Gothic"/>
                <w:sz w:val="17"/>
              </w:rPr>
              <w:t>Remove from future use; secure deletion</w:t>
            </w:r>
          </w:p>
        </w:tc>
      </w:tr>
      <w:tr w:rsidR="00B545D7" w:rsidRPr="00A170DF" w14:paraId="3B166823" w14:textId="77777777">
        <w:tc>
          <w:tcPr>
            <w:tcW w:w="2600" w:type="dxa"/>
          </w:tcPr>
          <w:p w14:paraId="7BECAEFC" w14:textId="77777777" w:rsidR="00B545D7" w:rsidRPr="00A170DF" w:rsidRDefault="009736A2">
            <w:pPr>
              <w:rPr>
                <w:rFonts w:ascii="Century Gothic" w:hAnsi="Century Gothic"/>
              </w:rPr>
            </w:pPr>
            <w:r w:rsidRPr="00A170DF">
              <w:rPr>
                <w:rFonts w:ascii="Century Gothic" w:hAnsi="Century Gothic"/>
                <w:sz w:val="17"/>
              </w:rPr>
              <w:t>Visitors, enquiries and waiting lists</w:t>
            </w:r>
          </w:p>
        </w:tc>
        <w:tc>
          <w:tcPr>
            <w:tcW w:w="3300" w:type="dxa"/>
          </w:tcPr>
          <w:p w14:paraId="4201F33B" w14:textId="77777777" w:rsidR="00B545D7" w:rsidRPr="00A170DF" w:rsidRDefault="009736A2">
            <w:pPr>
              <w:rPr>
                <w:rFonts w:ascii="Century Gothic" w:hAnsi="Century Gothic"/>
              </w:rPr>
            </w:pPr>
            <w:r w:rsidRPr="00A170DF">
              <w:rPr>
                <w:rFonts w:ascii="Century Gothic" w:hAnsi="Century Gothic"/>
                <w:sz w:val="17"/>
              </w:rPr>
              <w:t>End of operational need</w:t>
            </w:r>
          </w:p>
        </w:tc>
        <w:tc>
          <w:tcPr>
            <w:tcW w:w="3340" w:type="dxa"/>
          </w:tcPr>
          <w:p w14:paraId="5FDCF7AC" w14:textId="77777777" w:rsidR="00B545D7" w:rsidRPr="00A170DF" w:rsidRDefault="009736A2">
            <w:pPr>
              <w:rPr>
                <w:rFonts w:ascii="Century Gothic" w:hAnsi="Century Gothic"/>
              </w:rPr>
            </w:pPr>
            <w:r w:rsidRPr="00A170DF">
              <w:rPr>
                <w:rFonts w:ascii="Century Gothic" w:hAnsi="Century Gothic"/>
                <w:sz w:val="17"/>
              </w:rPr>
              <w:t>Periodic deletion or anonymisation</w:t>
            </w:r>
          </w:p>
        </w:tc>
      </w:tr>
    </w:tbl>
    <w:p w14:paraId="65A5DAB5" w14:textId="77777777" w:rsidR="00B545D7" w:rsidRPr="00A170DF" w:rsidRDefault="009736A2">
      <w:pPr>
        <w:rPr>
          <w:rFonts w:ascii="Century Gothic" w:hAnsi="Century Gothic"/>
        </w:rPr>
      </w:pPr>
      <w:r w:rsidRPr="00A170DF">
        <w:rPr>
          <w:rFonts w:ascii="Century Gothic" w:hAnsi="Century Gothic"/>
        </w:rPr>
        <w:t>A legal hold, safeguarding need, complaint, investigation or anticipated claim may suspend routine deletion. The reason, scope, access and review date are recorded.</w:t>
      </w:r>
    </w:p>
    <w:p w14:paraId="26C44359" w14:textId="77777777" w:rsidR="00B545D7" w:rsidRPr="00A170DF" w:rsidRDefault="009736A2">
      <w:pPr>
        <w:pStyle w:val="Heading1"/>
        <w:rPr>
          <w:rFonts w:ascii="Century Gothic" w:hAnsi="Century Gothic"/>
        </w:rPr>
      </w:pPr>
      <w:r w:rsidRPr="00A170DF">
        <w:rPr>
          <w:rFonts w:ascii="Century Gothic" w:hAnsi="Century Gothic"/>
        </w:rPr>
        <w:lastRenderedPageBreak/>
        <w:t>13. Individual rights and requests</w:t>
      </w:r>
    </w:p>
    <w:p w14:paraId="52586EE5" w14:textId="77777777" w:rsidR="00B545D7" w:rsidRPr="00A170DF" w:rsidRDefault="009736A2">
      <w:pPr>
        <w:rPr>
          <w:rFonts w:ascii="Century Gothic" w:hAnsi="Century Gothic"/>
        </w:rPr>
      </w:pPr>
      <w:r w:rsidRPr="00A170DF">
        <w:rPr>
          <w:rFonts w:ascii="Century Gothic" w:hAnsi="Century Gothic"/>
        </w:rPr>
        <w:t>People may have rights to be informed, access their information, correct inaccurate information, request erasure, restrict processing, object, receive certain data in a portable format, and receive safeguards around automated decisions. Rights are not absolute and depend on the lawful basis, circumstances, exemptions and the rights of others.</w:t>
      </w:r>
    </w:p>
    <w:p w14:paraId="25A31E8F" w14:textId="77777777" w:rsidR="00B545D7" w:rsidRPr="00A170DF" w:rsidRDefault="009736A2">
      <w:pPr>
        <w:pStyle w:val="Heading2"/>
        <w:rPr>
          <w:rFonts w:ascii="Century Gothic" w:hAnsi="Century Gothic"/>
        </w:rPr>
      </w:pPr>
      <w:r w:rsidRPr="00A170DF">
        <w:rPr>
          <w:rFonts w:ascii="Century Gothic" w:hAnsi="Century Gothic"/>
        </w:rPr>
        <w:t>Subject access requests</w:t>
      </w:r>
    </w:p>
    <w:p w14:paraId="7DD825D8" w14:textId="77777777" w:rsidR="00B545D7" w:rsidRPr="00A170DF" w:rsidRDefault="009736A2">
      <w:pPr>
        <w:pStyle w:val="ListBullet"/>
        <w:keepLines/>
        <w:rPr>
          <w:rFonts w:ascii="Century Gothic" w:hAnsi="Century Gothic"/>
        </w:rPr>
      </w:pPr>
      <w:r w:rsidRPr="00A170DF">
        <w:rPr>
          <w:rFonts w:ascii="Century Gothic" w:hAnsi="Century Gothic"/>
          <w:sz w:val="20"/>
        </w:rPr>
        <w:t>A request may be verbal or written and does not need to mention “subject access”. Anyone receiving one must send it immediately to a Data Protection Lead.</w:t>
      </w:r>
    </w:p>
    <w:p w14:paraId="6830BDC3" w14:textId="77777777" w:rsidR="00B545D7" w:rsidRPr="00A170DF" w:rsidRDefault="009736A2">
      <w:pPr>
        <w:pStyle w:val="ListBullet"/>
        <w:keepLines/>
        <w:rPr>
          <w:rFonts w:ascii="Century Gothic" w:hAnsi="Century Gothic"/>
        </w:rPr>
      </w:pPr>
      <w:r w:rsidRPr="00A170DF">
        <w:rPr>
          <w:rFonts w:ascii="Century Gothic" w:hAnsi="Century Gothic"/>
          <w:sz w:val="20"/>
        </w:rPr>
        <w:t>TWiG acknowledges the request, records the date, clarifies scope only where reasonably needed, and asks only for proportionate identity or authority evidence.</w:t>
      </w:r>
    </w:p>
    <w:p w14:paraId="30ECCA11" w14:textId="77777777" w:rsidR="00B545D7" w:rsidRPr="00A170DF" w:rsidRDefault="009736A2">
      <w:pPr>
        <w:pStyle w:val="ListBullet"/>
        <w:keepLines/>
        <w:rPr>
          <w:rFonts w:ascii="Century Gothic" w:hAnsi="Century Gothic"/>
        </w:rPr>
      </w:pPr>
      <w:r w:rsidRPr="00A170DF">
        <w:rPr>
          <w:rFonts w:ascii="Century Gothic" w:hAnsi="Century Gothic"/>
          <w:sz w:val="20"/>
        </w:rPr>
        <w:t>TWiG conducts reasonable and proportionate searches and responds without undue delay, normally within one month from the point the statutory time limit starts. Where the law permits an extension because of complexity or number, the requester is told within the initial period and given reasons.</w:t>
      </w:r>
    </w:p>
    <w:p w14:paraId="0710BB0E" w14:textId="77777777" w:rsidR="00B545D7" w:rsidRPr="00A170DF" w:rsidRDefault="009736A2">
      <w:pPr>
        <w:pStyle w:val="ListBullet"/>
        <w:keepLines/>
        <w:rPr>
          <w:rFonts w:ascii="Century Gothic" w:hAnsi="Century Gothic"/>
        </w:rPr>
      </w:pPr>
      <w:r w:rsidRPr="00A170DF">
        <w:rPr>
          <w:rFonts w:ascii="Century Gothic" w:hAnsi="Century Gothic"/>
          <w:sz w:val="20"/>
        </w:rPr>
        <w:t>Information is reviewed for third-party data, safeguarding risk, legal privilege and other applicable exemptions. Redactions and reasons are documented.</w:t>
      </w:r>
    </w:p>
    <w:p w14:paraId="27E4C980" w14:textId="77777777" w:rsidR="00B545D7" w:rsidRPr="00A170DF" w:rsidRDefault="009736A2">
      <w:pPr>
        <w:pStyle w:val="ListBullet"/>
        <w:keepLines/>
        <w:rPr>
          <w:rFonts w:ascii="Century Gothic" w:hAnsi="Century Gothic"/>
        </w:rPr>
      </w:pPr>
      <w:r w:rsidRPr="00A170DF">
        <w:rPr>
          <w:rFonts w:ascii="Century Gothic" w:hAnsi="Century Gothic"/>
          <w:sz w:val="20"/>
        </w:rPr>
        <w:t>Responses are clear, accessible and securely delivered. TWiG normally charges no fee, except where the law permits one for a manifestly unfounded or excessive request or additional copies.</w:t>
      </w:r>
    </w:p>
    <w:p w14:paraId="0F12FCEF" w14:textId="77777777" w:rsidR="00B545D7" w:rsidRPr="00A170DF" w:rsidRDefault="009736A2">
      <w:pPr>
        <w:pStyle w:val="ListBullet"/>
        <w:keepLines/>
        <w:rPr>
          <w:rFonts w:ascii="Century Gothic" w:hAnsi="Century Gothic"/>
        </w:rPr>
      </w:pPr>
      <w:r w:rsidRPr="00A170DF">
        <w:rPr>
          <w:rFonts w:ascii="Century Gothic" w:hAnsi="Century Gothic"/>
          <w:sz w:val="20"/>
        </w:rPr>
        <w:t>A refusal or partial refusal explains the reason and the right to complain to TWiG and the ICO.</w:t>
      </w:r>
    </w:p>
    <w:p w14:paraId="667E1099" w14:textId="77777777" w:rsidR="00B545D7" w:rsidRPr="00A170DF" w:rsidRDefault="009736A2">
      <w:pPr>
        <w:pStyle w:val="Heading1"/>
        <w:rPr>
          <w:rFonts w:ascii="Century Gothic" w:hAnsi="Century Gothic"/>
        </w:rPr>
      </w:pPr>
      <w:r w:rsidRPr="00A170DF">
        <w:rPr>
          <w:rFonts w:ascii="Century Gothic" w:hAnsi="Century Gothic"/>
        </w:rPr>
        <w:t>14. Personal data breaches</w:t>
      </w:r>
    </w:p>
    <w:p w14:paraId="0D4FAB21" w14:textId="77777777" w:rsidR="00B545D7" w:rsidRPr="00A170DF" w:rsidRDefault="009736A2">
      <w:pPr>
        <w:pStyle w:val="Callout"/>
        <w:pBdr>
          <w:left w:val="single" w:sz="18" w:space="8" w:color="315B45"/>
        </w:pBdr>
        <w:shd w:val="clear" w:color="auto" w:fill="DDEBDD"/>
        <w:rPr>
          <w:rFonts w:ascii="Century Gothic" w:hAnsi="Century Gothic"/>
        </w:rPr>
      </w:pPr>
      <w:r w:rsidRPr="00A170DF">
        <w:rPr>
          <w:rFonts w:ascii="Century Gothic" w:hAnsi="Century Gothic"/>
          <w:b/>
          <w:color w:val="315B45"/>
          <w:sz w:val="20"/>
        </w:rPr>
        <w:t xml:space="preserve">Report immediately  </w:t>
      </w:r>
      <w:r w:rsidRPr="00A170DF">
        <w:rPr>
          <w:rFonts w:ascii="Century Gothic" w:hAnsi="Century Gothic"/>
          <w:color w:val="202622"/>
          <w:sz w:val="20"/>
        </w:rPr>
        <w:t>Do not investigate alone or wait until the end of the day. Contact Catherine Regi or Thomas Wild immediately. Preserve evidence, do not conceal the incident, and follow instructions to contain harm.</w:t>
      </w:r>
    </w:p>
    <w:p w14:paraId="4464D9E5" w14:textId="77777777" w:rsidR="00B545D7" w:rsidRPr="00A170DF" w:rsidRDefault="009736A2">
      <w:pPr>
        <w:pStyle w:val="ListBullet"/>
        <w:keepLines/>
        <w:rPr>
          <w:rFonts w:ascii="Century Gothic" w:hAnsi="Century Gothic"/>
        </w:rPr>
      </w:pPr>
      <w:r w:rsidRPr="00A170DF">
        <w:rPr>
          <w:rFonts w:ascii="Century Gothic" w:hAnsi="Century Gothic"/>
          <w:sz w:val="20"/>
        </w:rPr>
        <w:t>Contain the incident safely: recall an email if possible, ask an unintended recipient not to open and to delete, disable compromised access, recover papers or isolate an affected device without destroying evidence.</w:t>
      </w:r>
    </w:p>
    <w:p w14:paraId="6C07F5EA" w14:textId="77777777" w:rsidR="00B545D7" w:rsidRPr="00A170DF" w:rsidRDefault="009736A2">
      <w:pPr>
        <w:pStyle w:val="ListBullet"/>
        <w:keepLines/>
        <w:rPr>
          <w:rFonts w:ascii="Century Gothic" w:hAnsi="Century Gothic"/>
        </w:rPr>
      </w:pPr>
      <w:r w:rsidRPr="00A170DF">
        <w:rPr>
          <w:rFonts w:ascii="Century Gothic" w:hAnsi="Century Gothic"/>
          <w:sz w:val="20"/>
        </w:rPr>
        <w:t>Record what happened, when it was discovered, information and people affected, likely consequences and action taken. Maintain a breach log even where ICO notification is not required.</w:t>
      </w:r>
    </w:p>
    <w:p w14:paraId="0871F60A" w14:textId="77777777" w:rsidR="00B545D7" w:rsidRPr="00A170DF" w:rsidRDefault="009736A2">
      <w:pPr>
        <w:pStyle w:val="ListBullet"/>
        <w:keepLines/>
        <w:rPr>
          <w:rFonts w:ascii="Century Gothic" w:hAnsi="Century Gothic"/>
        </w:rPr>
      </w:pPr>
      <w:r w:rsidRPr="00A170DF">
        <w:rPr>
          <w:rFonts w:ascii="Century Gothic" w:hAnsi="Century Gothic"/>
          <w:sz w:val="20"/>
        </w:rPr>
        <w:t>The Data Protection Lead assesses likelihood and severity of risk to people, including safeguarding, discrimination, fraud, distress, identity misuse, confidentiality and loss of control.</w:t>
      </w:r>
    </w:p>
    <w:p w14:paraId="16F8A3FE" w14:textId="77777777" w:rsidR="00B545D7" w:rsidRPr="00A170DF" w:rsidRDefault="009736A2">
      <w:pPr>
        <w:pStyle w:val="ListBullet"/>
        <w:keepLines/>
        <w:rPr>
          <w:rFonts w:ascii="Century Gothic" w:hAnsi="Century Gothic"/>
        </w:rPr>
      </w:pPr>
      <w:r w:rsidRPr="00A170DF">
        <w:rPr>
          <w:rFonts w:ascii="Century Gothic" w:hAnsi="Century Gothic"/>
          <w:sz w:val="20"/>
        </w:rPr>
        <w:t>Where a breach is likely to risk people’s rights and freedoms, notify the ICO without undue delay and where feasible within 72 hours of awareness. Information may be supplied in phases if necessary and delay must be explained.</w:t>
      </w:r>
    </w:p>
    <w:p w14:paraId="5BB81041" w14:textId="77777777" w:rsidR="00B545D7" w:rsidRPr="00A170DF" w:rsidRDefault="009736A2">
      <w:pPr>
        <w:pStyle w:val="ListBullet"/>
        <w:keepLines/>
        <w:rPr>
          <w:rFonts w:ascii="Century Gothic" w:hAnsi="Century Gothic"/>
        </w:rPr>
      </w:pPr>
      <w:r w:rsidRPr="00A170DF">
        <w:rPr>
          <w:rFonts w:ascii="Century Gothic" w:hAnsi="Century Gothic"/>
          <w:sz w:val="20"/>
        </w:rPr>
        <w:t>Where likely to present a high risk, inform affected people without undue delay in clear language unless a lawful exception applies.</w:t>
      </w:r>
    </w:p>
    <w:p w14:paraId="3F54644E" w14:textId="77777777" w:rsidR="00B545D7" w:rsidRPr="00A170DF" w:rsidRDefault="009736A2">
      <w:pPr>
        <w:pStyle w:val="ListBullet"/>
        <w:keepLines/>
        <w:rPr>
          <w:rFonts w:ascii="Century Gothic" w:hAnsi="Century Gothic"/>
        </w:rPr>
      </w:pPr>
      <w:r w:rsidRPr="00A170DF">
        <w:rPr>
          <w:rFonts w:ascii="Century Gothic" w:hAnsi="Century Gothic"/>
          <w:sz w:val="20"/>
        </w:rPr>
        <w:t>Notify commissioners, insurers, police, safeguarding partners or processors within any applicable legal or contractual deadline. Take remedial action and record lessons learned.</w:t>
      </w:r>
    </w:p>
    <w:p w14:paraId="2398E43F" w14:textId="77777777" w:rsidR="00B545D7" w:rsidRPr="00A170DF" w:rsidRDefault="009736A2">
      <w:pPr>
        <w:pStyle w:val="Heading1"/>
        <w:rPr>
          <w:rFonts w:ascii="Century Gothic" w:hAnsi="Century Gothic"/>
        </w:rPr>
      </w:pPr>
      <w:r w:rsidRPr="00A170DF">
        <w:rPr>
          <w:rFonts w:ascii="Century Gothic" w:hAnsi="Century Gothic"/>
        </w:rPr>
        <w:lastRenderedPageBreak/>
        <w:t>15. Complaints, concerns and whistleblowing</w:t>
      </w:r>
    </w:p>
    <w:p w14:paraId="3B790B8B" w14:textId="77777777" w:rsidR="00B545D7" w:rsidRPr="00A170DF" w:rsidRDefault="009736A2">
      <w:pPr>
        <w:rPr>
          <w:rFonts w:ascii="Century Gothic" w:hAnsi="Century Gothic"/>
        </w:rPr>
      </w:pPr>
      <w:r w:rsidRPr="00A170DF">
        <w:rPr>
          <w:rFonts w:ascii="Century Gothic" w:hAnsi="Century Gothic"/>
        </w:rPr>
        <w:t>A person may raise a data-protection concern verbally or in writing with either Managing Partner. TWiG provides an accessible route for complaints, acknowledges a data-protection complaint within 30 days and responds without undue delay, in line with the DUAA. The complaint, evidence, decision, action and outcome are recorded. Raising a concern will not adversely affect a learner’s provision or a person’s employment rights.</w:t>
      </w:r>
    </w:p>
    <w:p w14:paraId="2DBCB85A" w14:textId="77777777" w:rsidR="00B545D7" w:rsidRPr="00A170DF" w:rsidRDefault="009736A2">
      <w:pPr>
        <w:rPr>
          <w:rFonts w:ascii="Century Gothic" w:hAnsi="Century Gothic"/>
        </w:rPr>
      </w:pPr>
      <w:r w:rsidRPr="00A170DF">
        <w:rPr>
          <w:rFonts w:ascii="Century Gothic" w:hAnsi="Century Gothic"/>
        </w:rPr>
        <w:t>If dissatisfied, the person may complain to the Information Commissioner’s Office at ico.org.uk, telephone 0303 123 1113, or write to Information Commissioner’s Office, Wycliffe House, Water Lane, Wilmslow, Cheshire SK9 5AF. Staff may also use TWiG’s whistleblowing arrangements where appropriate.</w:t>
      </w:r>
    </w:p>
    <w:p w14:paraId="3BF91AE7" w14:textId="77777777" w:rsidR="00B545D7" w:rsidRPr="00A170DF" w:rsidRDefault="009736A2">
      <w:pPr>
        <w:pStyle w:val="Heading1"/>
        <w:rPr>
          <w:rFonts w:ascii="Century Gothic" w:hAnsi="Century Gothic"/>
        </w:rPr>
      </w:pPr>
      <w:r w:rsidRPr="00A170DF">
        <w:rPr>
          <w:rFonts w:ascii="Century Gothic" w:hAnsi="Century Gothic"/>
        </w:rPr>
        <w:t>16. Training, monitoring and review</w:t>
      </w:r>
    </w:p>
    <w:p w14:paraId="5E89F153" w14:textId="77777777" w:rsidR="00B545D7" w:rsidRPr="00A170DF" w:rsidRDefault="009736A2">
      <w:pPr>
        <w:rPr>
          <w:rFonts w:ascii="Century Gothic" w:hAnsi="Century Gothic"/>
        </w:rPr>
      </w:pPr>
      <w:r w:rsidRPr="00A170DF">
        <w:rPr>
          <w:rFonts w:ascii="Century Gothic" w:hAnsi="Century Gothic"/>
        </w:rPr>
        <w:t xml:space="preserve">Induction and refresher training cover confidentiality, secure recording and communication, safeguarding information sharing, rights requests, phishing and breach reporting. Additional training is provided for DSLs, administrators and system owners. Compliance is checked through supervision, access reviews, record sampling, system and processor reviews, breach and complaint learning, and an annual policy and retention review. Material non-compliance may be addressed under contractual, conduct, disciplinary </w:t>
      </w:r>
      <w:r w:rsidRPr="00A170DF">
        <w:rPr>
          <w:rFonts w:ascii="Century Gothic" w:hAnsi="Century Gothic"/>
        </w:rPr>
        <w:t>or safeguarding procedures.</w:t>
      </w:r>
    </w:p>
    <w:p w14:paraId="6CFBDC16" w14:textId="77777777" w:rsidR="00B545D7" w:rsidRPr="00A170DF" w:rsidRDefault="009736A2">
      <w:pPr>
        <w:pStyle w:val="Heading1"/>
        <w:rPr>
          <w:rFonts w:ascii="Century Gothic" w:hAnsi="Century Gothic"/>
        </w:rPr>
      </w:pPr>
      <w:r w:rsidRPr="00A170DF">
        <w:rPr>
          <w:rFonts w:ascii="Century Gothic" w:hAnsi="Century Gothic"/>
        </w:rPr>
        <w:t>Appendix A — Staff quick guide</w:t>
      </w:r>
    </w:p>
    <w:tbl>
      <w:tblPr>
        <w:tblStyle w:val="TableGrid"/>
        <w:tblW w:w="9240" w:type="dxa"/>
        <w:tblInd w:w="120" w:type="dxa"/>
        <w:tblLayout w:type="fixed"/>
        <w:tblLook w:val="04A0" w:firstRow="1" w:lastRow="0" w:firstColumn="1" w:lastColumn="0" w:noHBand="0" w:noVBand="1"/>
      </w:tblPr>
      <w:tblGrid>
        <w:gridCol w:w="3000"/>
        <w:gridCol w:w="6240"/>
      </w:tblGrid>
      <w:tr w:rsidR="00B545D7" w:rsidRPr="00A170DF" w14:paraId="32B3EC17" w14:textId="77777777">
        <w:trPr>
          <w:cantSplit/>
          <w:tblHeader/>
        </w:trPr>
        <w:tc>
          <w:tcPr>
            <w:tcW w:w="3000" w:type="dxa"/>
            <w:shd w:val="clear" w:color="auto" w:fill="315B45"/>
            <w:tcMar>
              <w:top w:w="90" w:type="dxa"/>
              <w:left w:w="120" w:type="dxa"/>
              <w:bottom w:w="90" w:type="dxa"/>
              <w:right w:w="120" w:type="dxa"/>
            </w:tcMar>
          </w:tcPr>
          <w:p w14:paraId="15371727" w14:textId="77777777" w:rsidR="00B545D7" w:rsidRPr="00A170DF" w:rsidRDefault="009736A2">
            <w:pPr>
              <w:rPr>
                <w:rFonts w:ascii="Century Gothic" w:hAnsi="Century Gothic"/>
              </w:rPr>
            </w:pPr>
            <w:r w:rsidRPr="00A170DF">
              <w:rPr>
                <w:rFonts w:ascii="Century Gothic" w:hAnsi="Century Gothic"/>
                <w:b/>
                <w:color w:val="FFFFFF"/>
                <w:sz w:val="18"/>
              </w:rPr>
              <w:t>Situation</w:t>
            </w:r>
          </w:p>
        </w:tc>
        <w:tc>
          <w:tcPr>
            <w:tcW w:w="6240" w:type="dxa"/>
            <w:shd w:val="clear" w:color="auto" w:fill="315B45"/>
            <w:tcMar>
              <w:top w:w="90" w:type="dxa"/>
              <w:left w:w="120" w:type="dxa"/>
              <w:bottom w:w="90" w:type="dxa"/>
              <w:right w:w="120" w:type="dxa"/>
            </w:tcMar>
          </w:tcPr>
          <w:p w14:paraId="7D800104" w14:textId="77777777" w:rsidR="00B545D7" w:rsidRPr="00A170DF" w:rsidRDefault="009736A2">
            <w:pPr>
              <w:rPr>
                <w:rFonts w:ascii="Century Gothic" w:hAnsi="Century Gothic"/>
              </w:rPr>
            </w:pPr>
            <w:r w:rsidRPr="00A170DF">
              <w:rPr>
                <w:rFonts w:ascii="Century Gothic" w:hAnsi="Century Gothic"/>
                <w:b/>
                <w:color w:val="FFFFFF"/>
                <w:sz w:val="18"/>
              </w:rPr>
              <w:t>Required response</w:t>
            </w:r>
          </w:p>
        </w:tc>
      </w:tr>
      <w:tr w:rsidR="00B545D7" w:rsidRPr="00A170DF" w14:paraId="2460F413" w14:textId="77777777">
        <w:tc>
          <w:tcPr>
            <w:tcW w:w="3000" w:type="dxa"/>
          </w:tcPr>
          <w:p w14:paraId="3B750F17" w14:textId="77777777" w:rsidR="00B545D7" w:rsidRPr="00A170DF" w:rsidRDefault="009736A2">
            <w:pPr>
              <w:rPr>
                <w:rFonts w:ascii="Century Gothic" w:hAnsi="Century Gothic"/>
              </w:rPr>
            </w:pPr>
            <w:r w:rsidRPr="00A170DF">
              <w:rPr>
                <w:rFonts w:ascii="Century Gothic" w:hAnsi="Century Gothic"/>
                <w:sz w:val="17"/>
              </w:rPr>
              <w:t>A child discloses harm</w:t>
            </w:r>
          </w:p>
        </w:tc>
        <w:tc>
          <w:tcPr>
            <w:tcW w:w="6240" w:type="dxa"/>
          </w:tcPr>
          <w:p w14:paraId="14D0ABF1" w14:textId="77777777" w:rsidR="00B545D7" w:rsidRPr="00A170DF" w:rsidRDefault="009736A2">
            <w:pPr>
              <w:rPr>
                <w:rFonts w:ascii="Century Gothic" w:hAnsi="Century Gothic"/>
              </w:rPr>
            </w:pPr>
            <w:r w:rsidRPr="00A170DF">
              <w:rPr>
                <w:rFonts w:ascii="Century Gothic" w:hAnsi="Century Gothic"/>
                <w:sz w:val="17"/>
              </w:rPr>
              <w:t>Listen, reassure appropriately, record the child’s words and report immediately to the DSL. Do not delay sharing because consent is absent.</w:t>
            </w:r>
          </w:p>
        </w:tc>
      </w:tr>
      <w:tr w:rsidR="00B545D7" w:rsidRPr="00A170DF" w14:paraId="23754EB0" w14:textId="77777777">
        <w:tc>
          <w:tcPr>
            <w:tcW w:w="3000" w:type="dxa"/>
          </w:tcPr>
          <w:p w14:paraId="3680473B" w14:textId="77777777" w:rsidR="00B545D7" w:rsidRPr="00A170DF" w:rsidRDefault="009736A2">
            <w:pPr>
              <w:rPr>
                <w:rFonts w:ascii="Century Gothic" w:hAnsi="Century Gothic"/>
              </w:rPr>
            </w:pPr>
            <w:r w:rsidRPr="00A170DF">
              <w:rPr>
                <w:rFonts w:ascii="Century Gothic" w:hAnsi="Century Gothic"/>
                <w:sz w:val="17"/>
              </w:rPr>
              <w:t>An email went to the wrong person</w:t>
            </w:r>
          </w:p>
        </w:tc>
        <w:tc>
          <w:tcPr>
            <w:tcW w:w="6240" w:type="dxa"/>
          </w:tcPr>
          <w:p w14:paraId="72398377" w14:textId="77777777" w:rsidR="00B545D7" w:rsidRPr="00A170DF" w:rsidRDefault="009736A2">
            <w:pPr>
              <w:rPr>
                <w:rFonts w:ascii="Century Gothic" w:hAnsi="Century Gothic"/>
              </w:rPr>
            </w:pPr>
            <w:r w:rsidRPr="00A170DF">
              <w:rPr>
                <w:rFonts w:ascii="Century Gothic" w:hAnsi="Century Gothic"/>
                <w:sz w:val="17"/>
              </w:rPr>
              <w:t>Attempt recall if available; contact the recipient only as advised; report immediately; do not delete evidence.</w:t>
            </w:r>
          </w:p>
        </w:tc>
      </w:tr>
      <w:tr w:rsidR="00B545D7" w:rsidRPr="00A170DF" w14:paraId="16E0850E" w14:textId="77777777">
        <w:tc>
          <w:tcPr>
            <w:tcW w:w="3000" w:type="dxa"/>
          </w:tcPr>
          <w:p w14:paraId="6658837C" w14:textId="77777777" w:rsidR="00B545D7" w:rsidRPr="00A170DF" w:rsidRDefault="009736A2">
            <w:pPr>
              <w:rPr>
                <w:rFonts w:ascii="Century Gothic" w:hAnsi="Century Gothic"/>
              </w:rPr>
            </w:pPr>
            <w:r w:rsidRPr="00A170DF">
              <w:rPr>
                <w:rFonts w:ascii="Century Gothic" w:hAnsi="Century Gothic"/>
                <w:sz w:val="17"/>
              </w:rPr>
              <w:t>A phone, laptop or paper file is missing</w:t>
            </w:r>
          </w:p>
        </w:tc>
        <w:tc>
          <w:tcPr>
            <w:tcW w:w="6240" w:type="dxa"/>
          </w:tcPr>
          <w:p w14:paraId="6CB92C2C" w14:textId="77777777" w:rsidR="00B545D7" w:rsidRPr="00A170DF" w:rsidRDefault="009736A2">
            <w:pPr>
              <w:rPr>
                <w:rFonts w:ascii="Century Gothic" w:hAnsi="Century Gothic"/>
              </w:rPr>
            </w:pPr>
            <w:r w:rsidRPr="00A170DF">
              <w:rPr>
                <w:rFonts w:ascii="Century Gothic" w:hAnsi="Century Gothic"/>
                <w:sz w:val="17"/>
              </w:rPr>
              <w:t>Report immediately, stating what data may be present, security controls, last known location and action already taken.</w:t>
            </w:r>
          </w:p>
        </w:tc>
      </w:tr>
      <w:tr w:rsidR="00B545D7" w:rsidRPr="00A170DF" w14:paraId="73F4C177" w14:textId="77777777">
        <w:tc>
          <w:tcPr>
            <w:tcW w:w="3000" w:type="dxa"/>
          </w:tcPr>
          <w:p w14:paraId="3E5D214F" w14:textId="77777777" w:rsidR="00B545D7" w:rsidRPr="00A170DF" w:rsidRDefault="009736A2">
            <w:pPr>
              <w:rPr>
                <w:rFonts w:ascii="Century Gothic" w:hAnsi="Century Gothic"/>
              </w:rPr>
            </w:pPr>
            <w:r w:rsidRPr="00A170DF">
              <w:rPr>
                <w:rFonts w:ascii="Century Gothic" w:hAnsi="Century Gothic"/>
                <w:sz w:val="17"/>
              </w:rPr>
              <w:t>Someone asks for “all information about me”</w:t>
            </w:r>
          </w:p>
        </w:tc>
        <w:tc>
          <w:tcPr>
            <w:tcW w:w="6240" w:type="dxa"/>
          </w:tcPr>
          <w:p w14:paraId="15D3A885" w14:textId="77777777" w:rsidR="00B545D7" w:rsidRPr="00A170DF" w:rsidRDefault="009736A2">
            <w:pPr>
              <w:rPr>
                <w:rFonts w:ascii="Century Gothic" w:hAnsi="Century Gothic"/>
              </w:rPr>
            </w:pPr>
            <w:r w:rsidRPr="00A170DF">
              <w:rPr>
                <w:rFonts w:ascii="Century Gothic" w:hAnsi="Century Gothic"/>
                <w:sz w:val="17"/>
              </w:rPr>
              <w:t>Treat as a possible subject access request and forward immediately to a Data Protection Lead.</w:t>
            </w:r>
          </w:p>
        </w:tc>
      </w:tr>
      <w:tr w:rsidR="00B545D7" w:rsidRPr="00A170DF" w14:paraId="4724E461" w14:textId="77777777">
        <w:tc>
          <w:tcPr>
            <w:tcW w:w="3000" w:type="dxa"/>
          </w:tcPr>
          <w:p w14:paraId="0FAEF98E" w14:textId="77777777" w:rsidR="00B545D7" w:rsidRPr="00A170DF" w:rsidRDefault="009736A2">
            <w:pPr>
              <w:rPr>
                <w:rFonts w:ascii="Century Gothic" w:hAnsi="Century Gothic"/>
              </w:rPr>
            </w:pPr>
            <w:r w:rsidRPr="00A170DF">
              <w:rPr>
                <w:rFonts w:ascii="Century Gothic" w:hAnsi="Century Gothic"/>
                <w:sz w:val="17"/>
              </w:rPr>
              <w:t>A commissioner asks for information</w:t>
            </w:r>
          </w:p>
        </w:tc>
        <w:tc>
          <w:tcPr>
            <w:tcW w:w="6240" w:type="dxa"/>
          </w:tcPr>
          <w:p w14:paraId="46A871DC" w14:textId="77777777" w:rsidR="00B545D7" w:rsidRPr="00A170DF" w:rsidRDefault="009736A2">
            <w:pPr>
              <w:rPr>
                <w:rFonts w:ascii="Century Gothic" w:hAnsi="Century Gothic"/>
              </w:rPr>
            </w:pPr>
            <w:r w:rsidRPr="00A170DF">
              <w:rPr>
                <w:rFonts w:ascii="Century Gothic" w:hAnsi="Century Gothic"/>
                <w:sz w:val="17"/>
              </w:rPr>
              <w:t>Verify the requester and purpose; share only what is necessary through the agreed secure route; record the disclosure.</w:t>
            </w:r>
          </w:p>
        </w:tc>
      </w:tr>
      <w:tr w:rsidR="00B545D7" w:rsidRPr="00A170DF" w14:paraId="3E026C9E" w14:textId="77777777">
        <w:tc>
          <w:tcPr>
            <w:tcW w:w="3000" w:type="dxa"/>
          </w:tcPr>
          <w:p w14:paraId="6D5A46CF" w14:textId="77777777" w:rsidR="00B545D7" w:rsidRPr="00A170DF" w:rsidRDefault="009736A2">
            <w:pPr>
              <w:rPr>
                <w:rFonts w:ascii="Century Gothic" w:hAnsi="Century Gothic"/>
              </w:rPr>
            </w:pPr>
            <w:r w:rsidRPr="00A170DF">
              <w:rPr>
                <w:rFonts w:ascii="Century Gothic" w:hAnsi="Century Gothic"/>
                <w:sz w:val="17"/>
              </w:rPr>
              <w:t>You want to use a new app or AI tool</w:t>
            </w:r>
          </w:p>
        </w:tc>
        <w:tc>
          <w:tcPr>
            <w:tcW w:w="6240" w:type="dxa"/>
          </w:tcPr>
          <w:p w14:paraId="3B5B70C8" w14:textId="77777777" w:rsidR="00B545D7" w:rsidRPr="00A170DF" w:rsidRDefault="009736A2">
            <w:pPr>
              <w:rPr>
                <w:rFonts w:ascii="Century Gothic" w:hAnsi="Century Gothic"/>
              </w:rPr>
            </w:pPr>
            <w:r w:rsidRPr="00A170DF">
              <w:rPr>
                <w:rFonts w:ascii="Century Gothic" w:hAnsi="Century Gothic"/>
                <w:sz w:val="17"/>
              </w:rPr>
              <w:t>Do not upload personal information. Obtain approval and complete privacy, contract, security and DPIA checks first.</w:t>
            </w:r>
          </w:p>
        </w:tc>
      </w:tr>
      <w:tr w:rsidR="00B545D7" w:rsidRPr="00A170DF" w14:paraId="41CE84F3" w14:textId="77777777">
        <w:tc>
          <w:tcPr>
            <w:tcW w:w="3000" w:type="dxa"/>
          </w:tcPr>
          <w:p w14:paraId="7E0DB991" w14:textId="77777777" w:rsidR="00B545D7" w:rsidRPr="00A170DF" w:rsidRDefault="009736A2">
            <w:pPr>
              <w:rPr>
                <w:rFonts w:ascii="Century Gothic" w:hAnsi="Century Gothic"/>
              </w:rPr>
            </w:pPr>
            <w:r w:rsidRPr="00A170DF">
              <w:rPr>
                <w:rFonts w:ascii="Century Gothic" w:hAnsi="Century Gothic"/>
                <w:sz w:val="17"/>
              </w:rPr>
              <w:t>You take a photograph for an approved purpose</w:t>
            </w:r>
          </w:p>
        </w:tc>
        <w:tc>
          <w:tcPr>
            <w:tcW w:w="6240" w:type="dxa"/>
          </w:tcPr>
          <w:p w14:paraId="6F94FD83" w14:textId="77777777" w:rsidR="00B545D7" w:rsidRPr="00A170DF" w:rsidRDefault="009736A2">
            <w:pPr>
              <w:rPr>
                <w:rFonts w:ascii="Century Gothic" w:hAnsi="Century Gothic"/>
              </w:rPr>
            </w:pPr>
            <w:r w:rsidRPr="00A170DF">
              <w:rPr>
                <w:rFonts w:ascii="Century Gothic" w:hAnsi="Century Gothic"/>
                <w:sz w:val="17"/>
              </w:rPr>
              <w:t>Use the authorised method, check the purpose and permissions, upload securely and remove local copies as required.</w:t>
            </w:r>
          </w:p>
        </w:tc>
      </w:tr>
      <w:tr w:rsidR="00B545D7" w:rsidRPr="00A170DF" w14:paraId="51FB83A4" w14:textId="77777777">
        <w:tc>
          <w:tcPr>
            <w:tcW w:w="3000" w:type="dxa"/>
          </w:tcPr>
          <w:p w14:paraId="2ACF2995" w14:textId="77777777" w:rsidR="00B545D7" w:rsidRPr="00A170DF" w:rsidRDefault="009736A2">
            <w:pPr>
              <w:rPr>
                <w:rFonts w:ascii="Century Gothic" w:hAnsi="Century Gothic"/>
              </w:rPr>
            </w:pPr>
            <w:r w:rsidRPr="00A170DF">
              <w:rPr>
                <w:rFonts w:ascii="Century Gothic" w:hAnsi="Century Gothic"/>
                <w:sz w:val="17"/>
              </w:rPr>
              <w:t>A record seems wrong</w:t>
            </w:r>
          </w:p>
        </w:tc>
        <w:tc>
          <w:tcPr>
            <w:tcW w:w="6240" w:type="dxa"/>
          </w:tcPr>
          <w:p w14:paraId="687B01A8" w14:textId="77777777" w:rsidR="00B545D7" w:rsidRPr="00A170DF" w:rsidRDefault="009736A2">
            <w:pPr>
              <w:rPr>
                <w:rFonts w:ascii="Century Gothic" w:hAnsi="Century Gothic"/>
              </w:rPr>
            </w:pPr>
            <w:r w:rsidRPr="00A170DF">
              <w:rPr>
                <w:rFonts w:ascii="Century Gothic" w:hAnsi="Century Gothic"/>
                <w:sz w:val="17"/>
              </w:rPr>
              <w:t>Do not overwrite evidence improperly. Correct or annotate it, preserve an audit trail and tell the appropriate lead.</w:t>
            </w:r>
          </w:p>
        </w:tc>
      </w:tr>
    </w:tbl>
    <w:p w14:paraId="38F5FCDA" w14:textId="77777777" w:rsidR="00B545D7" w:rsidRPr="00A170DF" w:rsidRDefault="009736A2">
      <w:pPr>
        <w:pStyle w:val="Heading1"/>
        <w:rPr>
          <w:rFonts w:ascii="Century Gothic" w:hAnsi="Century Gothic"/>
        </w:rPr>
      </w:pPr>
      <w:r w:rsidRPr="00A170DF">
        <w:rPr>
          <w:rFonts w:ascii="Century Gothic" w:hAnsi="Century Gothic"/>
        </w:rPr>
        <w:t>Appendix B — Policy assurance checklist</w:t>
      </w:r>
    </w:p>
    <w:p w14:paraId="4FF1FB9B" w14:textId="77777777" w:rsidR="00B545D7" w:rsidRPr="00A170DF" w:rsidRDefault="009736A2">
      <w:pPr>
        <w:pStyle w:val="ListBullet"/>
        <w:keepLines/>
        <w:rPr>
          <w:rFonts w:ascii="Century Gothic" w:hAnsi="Century Gothic"/>
        </w:rPr>
      </w:pPr>
      <w:r w:rsidRPr="00A170DF">
        <w:rPr>
          <w:rFonts w:ascii="Century Gothic" w:hAnsi="Century Gothic"/>
          <w:sz w:val="20"/>
        </w:rPr>
        <w:t>Current privacy notices are available for learners/families, workforce and website/contact activity.</w:t>
      </w:r>
    </w:p>
    <w:p w14:paraId="114E3CEF" w14:textId="77777777" w:rsidR="00B545D7" w:rsidRPr="00A170DF" w:rsidRDefault="009736A2">
      <w:pPr>
        <w:pStyle w:val="ListBullet"/>
        <w:keepLines/>
        <w:rPr>
          <w:rFonts w:ascii="Century Gothic" w:hAnsi="Century Gothic"/>
        </w:rPr>
      </w:pPr>
      <w:r w:rsidRPr="00A170DF">
        <w:rPr>
          <w:rFonts w:ascii="Century Gothic" w:hAnsi="Century Gothic"/>
          <w:sz w:val="20"/>
        </w:rPr>
        <w:lastRenderedPageBreak/>
        <w:t>Lawful bases and conditions for sensitive data are recorded for each main processing purpose.</w:t>
      </w:r>
    </w:p>
    <w:p w14:paraId="01844537" w14:textId="77777777" w:rsidR="00B545D7" w:rsidRPr="00A170DF" w:rsidRDefault="009736A2">
      <w:pPr>
        <w:pStyle w:val="ListBullet"/>
        <w:keepLines/>
        <w:rPr>
          <w:rFonts w:ascii="Century Gothic" w:hAnsi="Century Gothic"/>
        </w:rPr>
      </w:pPr>
      <w:r w:rsidRPr="00A170DF">
        <w:rPr>
          <w:rFonts w:ascii="Century Gothic" w:hAnsi="Century Gothic"/>
          <w:sz w:val="20"/>
        </w:rPr>
        <w:t>Commissioner agreements define information flows, responsibilities, security, breaches, retention and exit arrangements.</w:t>
      </w:r>
    </w:p>
    <w:p w14:paraId="4A5FFEC9" w14:textId="77777777" w:rsidR="00B545D7" w:rsidRPr="00A170DF" w:rsidRDefault="009736A2">
      <w:pPr>
        <w:pStyle w:val="ListBullet"/>
        <w:keepLines/>
        <w:rPr>
          <w:rFonts w:ascii="Century Gothic" w:hAnsi="Century Gothic"/>
        </w:rPr>
      </w:pPr>
      <w:r w:rsidRPr="00A170DF">
        <w:rPr>
          <w:rFonts w:ascii="Century Gothic" w:hAnsi="Century Gothic"/>
          <w:sz w:val="20"/>
        </w:rPr>
        <w:t>Famly and other suppliers have current due diligence, processor terms, sub-processor and transfer checks.</w:t>
      </w:r>
    </w:p>
    <w:p w14:paraId="5FBE3A83" w14:textId="77777777" w:rsidR="00B545D7" w:rsidRPr="00A170DF" w:rsidRDefault="009736A2">
      <w:pPr>
        <w:pStyle w:val="ListBullet"/>
        <w:keepLines/>
        <w:rPr>
          <w:rFonts w:ascii="Century Gothic" w:hAnsi="Century Gothic"/>
        </w:rPr>
      </w:pPr>
      <w:r w:rsidRPr="00A170DF">
        <w:rPr>
          <w:rFonts w:ascii="Century Gothic" w:hAnsi="Century Gothic"/>
          <w:sz w:val="20"/>
        </w:rPr>
        <w:t>Access lists, MFA, devices, backups and recovery arrangements are reviewed.</w:t>
      </w:r>
    </w:p>
    <w:p w14:paraId="1FD7A290" w14:textId="77777777" w:rsidR="00B545D7" w:rsidRPr="00A170DF" w:rsidRDefault="009736A2">
      <w:pPr>
        <w:pStyle w:val="ListBullet"/>
        <w:keepLines/>
        <w:rPr>
          <w:rFonts w:ascii="Century Gothic" w:hAnsi="Century Gothic"/>
        </w:rPr>
      </w:pPr>
      <w:r w:rsidRPr="00A170DF">
        <w:rPr>
          <w:rFonts w:ascii="Century Gothic" w:hAnsi="Century Gothic"/>
          <w:sz w:val="20"/>
        </w:rPr>
        <w:t>Safeguarding paper and digital records are segregated and access-restricted.</w:t>
      </w:r>
    </w:p>
    <w:p w14:paraId="2E84222A" w14:textId="77777777" w:rsidR="00B545D7" w:rsidRPr="00A170DF" w:rsidRDefault="009736A2">
      <w:pPr>
        <w:pStyle w:val="ListBullet"/>
        <w:keepLines/>
        <w:rPr>
          <w:rFonts w:ascii="Century Gothic" w:hAnsi="Century Gothic"/>
        </w:rPr>
      </w:pPr>
      <w:r w:rsidRPr="00A170DF">
        <w:rPr>
          <w:rFonts w:ascii="Century Gothic" w:hAnsi="Century Gothic"/>
          <w:sz w:val="20"/>
        </w:rPr>
        <w:t>Retention and secure disposal reviews are completed and evidenced.</w:t>
      </w:r>
    </w:p>
    <w:p w14:paraId="1E1F7369" w14:textId="77777777" w:rsidR="00B545D7" w:rsidRPr="00A170DF" w:rsidRDefault="009736A2">
      <w:pPr>
        <w:pStyle w:val="ListBullet"/>
        <w:keepLines/>
        <w:rPr>
          <w:rFonts w:ascii="Century Gothic" w:hAnsi="Century Gothic"/>
        </w:rPr>
      </w:pPr>
      <w:r w:rsidRPr="00A170DF">
        <w:rPr>
          <w:rFonts w:ascii="Century Gothic" w:hAnsi="Century Gothic"/>
          <w:sz w:val="20"/>
        </w:rPr>
        <w:t>Rights requests, complaints and breaches are logged and monitored to closure.</w:t>
      </w:r>
    </w:p>
    <w:p w14:paraId="379B47EE" w14:textId="77777777" w:rsidR="00B545D7" w:rsidRPr="00A170DF" w:rsidRDefault="009736A2">
      <w:pPr>
        <w:pStyle w:val="ListBullet"/>
        <w:keepLines/>
        <w:rPr>
          <w:rFonts w:ascii="Century Gothic" w:hAnsi="Century Gothic"/>
        </w:rPr>
      </w:pPr>
      <w:r w:rsidRPr="00A170DF">
        <w:rPr>
          <w:rFonts w:ascii="Century Gothic" w:hAnsi="Century Gothic"/>
          <w:sz w:val="20"/>
        </w:rPr>
        <w:t>Training is current and understood by staff, Associates and volunteers.</w:t>
      </w:r>
    </w:p>
    <w:p w14:paraId="5B23458F" w14:textId="77777777" w:rsidR="00B545D7" w:rsidRPr="00A170DF" w:rsidRDefault="009736A2">
      <w:pPr>
        <w:pStyle w:val="ListBullet"/>
        <w:keepLines/>
        <w:rPr>
          <w:rFonts w:ascii="Century Gothic" w:hAnsi="Century Gothic"/>
        </w:rPr>
      </w:pPr>
      <w:r w:rsidRPr="00A170DF">
        <w:rPr>
          <w:rFonts w:ascii="Century Gothic" w:hAnsi="Century Gothic"/>
          <w:sz w:val="20"/>
        </w:rPr>
        <w:t>New technology, AI use or high-risk change has design review and a DPIA where required.</w:t>
      </w:r>
    </w:p>
    <w:p w14:paraId="73305F74" w14:textId="77777777" w:rsidR="00B545D7" w:rsidRPr="00A170DF" w:rsidRDefault="009736A2">
      <w:pPr>
        <w:pStyle w:val="Heading1"/>
        <w:rPr>
          <w:rFonts w:ascii="Century Gothic" w:hAnsi="Century Gothic"/>
        </w:rPr>
      </w:pPr>
      <w:r w:rsidRPr="00A170DF">
        <w:rPr>
          <w:rFonts w:ascii="Century Gothic" w:hAnsi="Century Gothic"/>
        </w:rPr>
        <w:t>Document control</w:t>
      </w:r>
    </w:p>
    <w:tbl>
      <w:tblPr>
        <w:tblStyle w:val="TableGrid"/>
        <w:tblW w:w="9240" w:type="dxa"/>
        <w:tblInd w:w="120" w:type="dxa"/>
        <w:tblLayout w:type="fixed"/>
        <w:tblLook w:val="04A0" w:firstRow="1" w:lastRow="0" w:firstColumn="1" w:lastColumn="0" w:noHBand="0" w:noVBand="1"/>
      </w:tblPr>
      <w:tblGrid>
        <w:gridCol w:w="2200"/>
        <w:gridCol w:w="7040"/>
      </w:tblGrid>
      <w:tr w:rsidR="00B545D7" w:rsidRPr="00A170DF" w14:paraId="27858977" w14:textId="77777777">
        <w:trPr>
          <w:cantSplit/>
          <w:tblHeader/>
        </w:trPr>
        <w:tc>
          <w:tcPr>
            <w:tcW w:w="2200" w:type="dxa"/>
            <w:shd w:val="clear" w:color="auto" w:fill="F3F6F4"/>
            <w:tcMar>
              <w:top w:w="90" w:type="dxa"/>
              <w:left w:w="120" w:type="dxa"/>
              <w:bottom w:w="90" w:type="dxa"/>
              <w:right w:w="120" w:type="dxa"/>
            </w:tcMar>
          </w:tcPr>
          <w:p w14:paraId="21CAE38C" w14:textId="77777777" w:rsidR="00B545D7" w:rsidRPr="00A170DF" w:rsidRDefault="009736A2">
            <w:pPr>
              <w:rPr>
                <w:rFonts w:ascii="Century Gothic" w:hAnsi="Century Gothic"/>
              </w:rPr>
            </w:pPr>
            <w:r w:rsidRPr="00A170DF">
              <w:rPr>
                <w:rFonts w:ascii="Century Gothic" w:hAnsi="Century Gothic"/>
                <w:b/>
                <w:color w:val="315B45"/>
                <w:sz w:val="18"/>
              </w:rPr>
              <w:t>Replaces</w:t>
            </w:r>
          </w:p>
        </w:tc>
        <w:tc>
          <w:tcPr>
            <w:tcW w:w="7040" w:type="dxa"/>
            <w:tcMar>
              <w:top w:w="90" w:type="dxa"/>
              <w:left w:w="120" w:type="dxa"/>
              <w:bottom w:w="90" w:type="dxa"/>
              <w:right w:w="120" w:type="dxa"/>
            </w:tcMar>
          </w:tcPr>
          <w:p w14:paraId="7F8835D1" w14:textId="77777777" w:rsidR="00B545D7" w:rsidRPr="00A170DF" w:rsidRDefault="009736A2">
            <w:pPr>
              <w:rPr>
                <w:rFonts w:ascii="Century Gothic" w:hAnsi="Century Gothic"/>
              </w:rPr>
            </w:pPr>
            <w:r w:rsidRPr="00A170DF">
              <w:rPr>
                <w:rFonts w:ascii="Century Gothic" w:hAnsi="Century Gothic"/>
                <w:sz w:val="18"/>
              </w:rPr>
              <w:t>Data Protection and Privacy Policy 09/25 and GDPR Statement</w:t>
            </w:r>
          </w:p>
        </w:tc>
      </w:tr>
      <w:tr w:rsidR="00B545D7" w:rsidRPr="00A170DF" w14:paraId="7A064CDE" w14:textId="77777777">
        <w:trPr>
          <w:cantSplit/>
        </w:trPr>
        <w:tc>
          <w:tcPr>
            <w:tcW w:w="2200" w:type="dxa"/>
            <w:shd w:val="clear" w:color="auto" w:fill="F3F6F4"/>
            <w:tcMar>
              <w:top w:w="90" w:type="dxa"/>
              <w:left w:w="120" w:type="dxa"/>
              <w:bottom w:w="90" w:type="dxa"/>
              <w:right w:w="120" w:type="dxa"/>
            </w:tcMar>
          </w:tcPr>
          <w:p w14:paraId="48F75B7E" w14:textId="77777777" w:rsidR="00B545D7" w:rsidRPr="00A170DF" w:rsidRDefault="009736A2">
            <w:pPr>
              <w:rPr>
                <w:rFonts w:ascii="Century Gothic" w:hAnsi="Century Gothic"/>
              </w:rPr>
            </w:pPr>
            <w:r w:rsidRPr="00A170DF">
              <w:rPr>
                <w:rFonts w:ascii="Century Gothic" w:hAnsi="Century Gothic"/>
                <w:b/>
                <w:color w:val="315B45"/>
                <w:sz w:val="18"/>
              </w:rPr>
              <w:t>Version</w:t>
            </w:r>
          </w:p>
        </w:tc>
        <w:tc>
          <w:tcPr>
            <w:tcW w:w="7040" w:type="dxa"/>
            <w:tcMar>
              <w:top w:w="90" w:type="dxa"/>
              <w:left w:w="120" w:type="dxa"/>
              <w:bottom w:w="90" w:type="dxa"/>
              <w:right w:w="120" w:type="dxa"/>
            </w:tcMar>
          </w:tcPr>
          <w:p w14:paraId="547DD2A1" w14:textId="77777777" w:rsidR="00B545D7" w:rsidRPr="00A170DF" w:rsidRDefault="009736A2">
            <w:pPr>
              <w:rPr>
                <w:rFonts w:ascii="Century Gothic" w:hAnsi="Century Gothic"/>
              </w:rPr>
            </w:pPr>
            <w:r w:rsidRPr="00A170DF">
              <w:rPr>
                <w:rFonts w:ascii="Century Gothic" w:hAnsi="Century Gothic"/>
                <w:sz w:val="18"/>
              </w:rPr>
              <w:t>1.0 — combined and rewritten for 2026–2027</w:t>
            </w:r>
          </w:p>
        </w:tc>
      </w:tr>
      <w:tr w:rsidR="00B545D7" w:rsidRPr="00A170DF" w14:paraId="56E5E85B" w14:textId="77777777">
        <w:trPr>
          <w:cantSplit/>
        </w:trPr>
        <w:tc>
          <w:tcPr>
            <w:tcW w:w="2200" w:type="dxa"/>
            <w:shd w:val="clear" w:color="auto" w:fill="F3F6F4"/>
            <w:tcMar>
              <w:top w:w="90" w:type="dxa"/>
              <w:left w:w="120" w:type="dxa"/>
              <w:bottom w:w="90" w:type="dxa"/>
              <w:right w:w="120" w:type="dxa"/>
            </w:tcMar>
          </w:tcPr>
          <w:p w14:paraId="5EBFCD71" w14:textId="77777777" w:rsidR="00B545D7" w:rsidRPr="00A170DF" w:rsidRDefault="009736A2">
            <w:pPr>
              <w:rPr>
                <w:rFonts w:ascii="Century Gothic" w:hAnsi="Century Gothic"/>
              </w:rPr>
            </w:pPr>
            <w:r w:rsidRPr="00A170DF">
              <w:rPr>
                <w:rFonts w:ascii="Century Gothic" w:hAnsi="Century Gothic"/>
                <w:b/>
                <w:color w:val="315B45"/>
                <w:sz w:val="18"/>
              </w:rPr>
              <w:t>Owner</w:t>
            </w:r>
          </w:p>
        </w:tc>
        <w:tc>
          <w:tcPr>
            <w:tcW w:w="7040" w:type="dxa"/>
            <w:tcMar>
              <w:top w:w="90" w:type="dxa"/>
              <w:left w:w="120" w:type="dxa"/>
              <w:bottom w:w="90" w:type="dxa"/>
              <w:right w:w="120" w:type="dxa"/>
            </w:tcMar>
          </w:tcPr>
          <w:p w14:paraId="7F395E5C" w14:textId="77777777" w:rsidR="00B545D7" w:rsidRPr="00A170DF" w:rsidRDefault="009736A2">
            <w:pPr>
              <w:rPr>
                <w:rFonts w:ascii="Century Gothic" w:hAnsi="Century Gothic"/>
              </w:rPr>
            </w:pPr>
            <w:r w:rsidRPr="00A170DF">
              <w:rPr>
                <w:rFonts w:ascii="Century Gothic" w:hAnsi="Century Gothic"/>
                <w:sz w:val="18"/>
              </w:rPr>
              <w:t>Managing Partners</w:t>
            </w:r>
          </w:p>
        </w:tc>
      </w:tr>
      <w:tr w:rsidR="00B545D7" w:rsidRPr="00A170DF" w14:paraId="496259D6" w14:textId="77777777">
        <w:trPr>
          <w:cantSplit/>
        </w:trPr>
        <w:tc>
          <w:tcPr>
            <w:tcW w:w="2200" w:type="dxa"/>
            <w:shd w:val="clear" w:color="auto" w:fill="F3F6F4"/>
            <w:tcMar>
              <w:top w:w="90" w:type="dxa"/>
              <w:left w:w="120" w:type="dxa"/>
              <w:bottom w:w="90" w:type="dxa"/>
              <w:right w:w="120" w:type="dxa"/>
            </w:tcMar>
          </w:tcPr>
          <w:p w14:paraId="4D0FCB7E" w14:textId="77777777" w:rsidR="00B545D7" w:rsidRPr="00A170DF" w:rsidRDefault="009736A2">
            <w:pPr>
              <w:rPr>
                <w:rFonts w:ascii="Century Gothic" w:hAnsi="Century Gothic"/>
              </w:rPr>
            </w:pPr>
            <w:r w:rsidRPr="00A170DF">
              <w:rPr>
                <w:rFonts w:ascii="Century Gothic" w:hAnsi="Century Gothic"/>
                <w:b/>
                <w:color w:val="315B45"/>
                <w:sz w:val="18"/>
              </w:rPr>
              <w:t>Approval evidence</w:t>
            </w:r>
          </w:p>
        </w:tc>
        <w:tc>
          <w:tcPr>
            <w:tcW w:w="7040" w:type="dxa"/>
            <w:tcMar>
              <w:top w:w="90" w:type="dxa"/>
              <w:left w:w="120" w:type="dxa"/>
              <w:bottom w:w="90" w:type="dxa"/>
              <w:right w:w="120" w:type="dxa"/>
            </w:tcMar>
          </w:tcPr>
          <w:p w14:paraId="71FE71D8" w14:textId="77777777" w:rsidR="00B545D7" w:rsidRPr="00A170DF" w:rsidRDefault="009736A2">
            <w:pPr>
              <w:rPr>
                <w:rFonts w:ascii="Century Gothic" w:hAnsi="Century Gothic"/>
              </w:rPr>
            </w:pPr>
            <w:r w:rsidRPr="00A170DF">
              <w:rPr>
                <w:rFonts w:ascii="Century Gothic" w:hAnsi="Century Gothic"/>
                <w:sz w:val="18"/>
              </w:rPr>
              <w:t>Recorded in TWiG policy register</w:t>
            </w:r>
          </w:p>
        </w:tc>
      </w:tr>
      <w:tr w:rsidR="00B545D7" w:rsidRPr="00A170DF" w14:paraId="554F8F97" w14:textId="77777777">
        <w:trPr>
          <w:cantSplit/>
        </w:trPr>
        <w:tc>
          <w:tcPr>
            <w:tcW w:w="2200" w:type="dxa"/>
            <w:shd w:val="clear" w:color="auto" w:fill="F3F6F4"/>
            <w:tcMar>
              <w:top w:w="90" w:type="dxa"/>
              <w:left w:w="120" w:type="dxa"/>
              <w:bottom w:w="90" w:type="dxa"/>
              <w:right w:w="120" w:type="dxa"/>
            </w:tcMar>
          </w:tcPr>
          <w:p w14:paraId="5D1D5602" w14:textId="77777777" w:rsidR="00B545D7" w:rsidRPr="00A170DF" w:rsidRDefault="009736A2">
            <w:pPr>
              <w:rPr>
                <w:rFonts w:ascii="Century Gothic" w:hAnsi="Century Gothic"/>
              </w:rPr>
            </w:pPr>
            <w:r w:rsidRPr="00A170DF">
              <w:rPr>
                <w:rFonts w:ascii="Century Gothic" w:hAnsi="Century Gothic"/>
                <w:b/>
                <w:color w:val="315B45"/>
                <w:sz w:val="18"/>
              </w:rPr>
              <w:t>Next review</w:t>
            </w:r>
          </w:p>
        </w:tc>
        <w:tc>
          <w:tcPr>
            <w:tcW w:w="7040" w:type="dxa"/>
            <w:tcMar>
              <w:top w:w="90" w:type="dxa"/>
              <w:left w:w="120" w:type="dxa"/>
              <w:bottom w:w="90" w:type="dxa"/>
              <w:right w:w="120" w:type="dxa"/>
            </w:tcMar>
          </w:tcPr>
          <w:p w14:paraId="497980D0" w14:textId="77777777" w:rsidR="00B545D7" w:rsidRPr="00A170DF" w:rsidRDefault="009736A2">
            <w:pPr>
              <w:rPr>
                <w:rFonts w:ascii="Century Gothic" w:hAnsi="Century Gothic"/>
              </w:rPr>
            </w:pPr>
            <w:r w:rsidRPr="00A170DF">
              <w:rPr>
                <w:rFonts w:ascii="Century Gothic" w:hAnsi="Century Gothic"/>
                <w:sz w:val="18"/>
              </w:rPr>
              <w:t>August 2027</w:t>
            </w:r>
          </w:p>
        </w:tc>
      </w:tr>
    </w:tbl>
    <w:p w14:paraId="68448080" w14:textId="77777777" w:rsidR="009736A2" w:rsidRPr="00A170DF" w:rsidRDefault="009736A2">
      <w:pPr>
        <w:rPr>
          <w:rFonts w:ascii="Century Gothic" w:hAnsi="Century Gothic"/>
        </w:rPr>
      </w:pPr>
    </w:p>
    <w:sectPr w:rsidR="009736A2" w:rsidRPr="00A170DF" w:rsidSect="00034616">
      <w:headerReference w:type="default" r:id="rId8"/>
      <w:footerReference w:type="default" r:id="rId9"/>
      <w:pgSz w:w="11909" w:h="16834"/>
      <w:pgMar w:top="1037"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815FA" w14:textId="77777777" w:rsidR="009736A2" w:rsidRDefault="009736A2">
      <w:pPr>
        <w:spacing w:after="0" w:line="240" w:lineRule="auto"/>
      </w:pPr>
      <w:r>
        <w:separator/>
      </w:r>
    </w:p>
  </w:endnote>
  <w:endnote w:type="continuationSeparator" w:id="0">
    <w:p w14:paraId="5DA04008" w14:textId="77777777" w:rsidR="009736A2" w:rsidRDefault="00973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3ED8" w14:textId="77777777" w:rsidR="00B545D7" w:rsidRDefault="00B545D7">
    <w:pPr>
      <w:pStyle w:val="Footer"/>
    </w:pPr>
  </w:p>
  <w:tbl>
    <w:tblPr>
      <w:tblW w:w="9240" w:type="dxa"/>
      <w:tblLayout w:type="fixed"/>
      <w:tblLook w:val="04A0" w:firstRow="1" w:lastRow="0" w:firstColumn="1" w:lastColumn="0" w:noHBand="0" w:noVBand="1"/>
    </w:tblPr>
    <w:tblGrid>
      <w:gridCol w:w="4300"/>
      <w:gridCol w:w="2700"/>
      <w:gridCol w:w="2240"/>
    </w:tblGrid>
    <w:tr w:rsidR="00B545D7" w14:paraId="6678BF9A" w14:textId="77777777">
      <w:trPr>
        <w:cantSplit/>
        <w:tblHeader/>
      </w:trPr>
      <w:tc>
        <w:tcPr>
          <w:tcW w:w="4300" w:type="dxa"/>
          <w:tcMar>
            <w:top w:w="90" w:type="dxa"/>
            <w:left w:w="120" w:type="dxa"/>
            <w:bottom w:w="90" w:type="dxa"/>
            <w:right w:w="120" w:type="dxa"/>
          </w:tcMar>
        </w:tcPr>
        <w:p w14:paraId="7A2AA85A" w14:textId="77777777" w:rsidR="00B545D7" w:rsidRDefault="009736A2">
          <w:r>
            <w:rPr>
              <w:color w:val="5E6661"/>
              <w:sz w:val="14"/>
            </w:rPr>
            <w:t>Data Protection, Privacy and Information Governance</w:t>
          </w:r>
        </w:p>
      </w:tc>
      <w:tc>
        <w:tcPr>
          <w:tcW w:w="2700" w:type="dxa"/>
          <w:tcMar>
            <w:top w:w="90" w:type="dxa"/>
            <w:left w:w="120" w:type="dxa"/>
            <w:bottom w:w="90" w:type="dxa"/>
            <w:right w:w="120" w:type="dxa"/>
          </w:tcMar>
        </w:tcPr>
        <w:p w14:paraId="51897443" w14:textId="77777777" w:rsidR="00B545D7" w:rsidRDefault="009736A2">
          <w:pPr>
            <w:jc w:val="center"/>
          </w:pPr>
          <w:r>
            <w:rPr>
              <w:color w:val="5E6661"/>
              <w:sz w:val="14"/>
            </w:rPr>
            <w:t>Review: August 2027</w:t>
          </w:r>
        </w:p>
      </w:tc>
      <w:tc>
        <w:tcPr>
          <w:tcW w:w="2240" w:type="dxa"/>
          <w:tcMar>
            <w:top w:w="90" w:type="dxa"/>
            <w:left w:w="120" w:type="dxa"/>
            <w:bottom w:w="90" w:type="dxa"/>
            <w:right w:w="120" w:type="dxa"/>
          </w:tcMar>
        </w:tcPr>
        <w:p w14:paraId="213E1A04" w14:textId="77777777" w:rsidR="00B545D7" w:rsidRDefault="009736A2">
          <w:pPr>
            <w:jc w:val="right"/>
          </w:pPr>
          <w:r>
            <w:rPr>
              <w:color w:val="5E6661"/>
              <w:sz w:val="14"/>
            </w:rPr>
            <w:t xml:space="preserve">Page </w:t>
          </w:r>
          <w:r>
            <w:fldChar w:fldCharType="begin"/>
          </w:r>
          <w:r>
            <w:instrText>PAGE</w:instrText>
          </w:r>
          <w:r>
            <w:fldChar w:fldCharType="separate"/>
          </w:r>
          <w:r w:rsidR="00A170DF">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F0DD7" w14:textId="77777777" w:rsidR="009736A2" w:rsidRDefault="009736A2">
      <w:pPr>
        <w:spacing w:after="0" w:line="240" w:lineRule="auto"/>
      </w:pPr>
      <w:r>
        <w:separator/>
      </w:r>
    </w:p>
  </w:footnote>
  <w:footnote w:type="continuationSeparator" w:id="0">
    <w:p w14:paraId="545ABDFF" w14:textId="77777777" w:rsidR="009736A2" w:rsidRDefault="009736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CD25" w14:textId="24A9DB89" w:rsidR="00B545D7" w:rsidRDefault="00A170DF">
    <w:pPr>
      <w:pStyle w:val="Header"/>
    </w:pPr>
    <w:r>
      <w:rPr>
        <w:noProof/>
      </w:rPr>
      <w:drawing>
        <wp:anchor distT="0" distB="0" distL="114300" distR="114300" simplePos="0" relativeHeight="251659264" behindDoc="0" locked="0" layoutInCell="1" allowOverlap="1" wp14:anchorId="2357E85E" wp14:editId="26302550">
          <wp:simplePos x="0" y="0"/>
          <wp:positionH relativeFrom="page">
            <wp:posOffset>-1524</wp:posOffset>
          </wp:positionH>
          <wp:positionV relativeFrom="paragraph">
            <wp:posOffset>-441960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8354514">
    <w:abstractNumId w:val="8"/>
  </w:num>
  <w:num w:numId="2" w16cid:durableId="812986549">
    <w:abstractNumId w:val="6"/>
  </w:num>
  <w:num w:numId="3" w16cid:durableId="184295657">
    <w:abstractNumId w:val="5"/>
  </w:num>
  <w:num w:numId="4" w16cid:durableId="284041612">
    <w:abstractNumId w:val="4"/>
  </w:num>
  <w:num w:numId="5" w16cid:durableId="1884442520">
    <w:abstractNumId w:val="7"/>
  </w:num>
  <w:num w:numId="6" w16cid:durableId="511459727">
    <w:abstractNumId w:val="3"/>
  </w:num>
  <w:num w:numId="7" w16cid:durableId="1153522324">
    <w:abstractNumId w:val="2"/>
  </w:num>
  <w:num w:numId="8" w16cid:durableId="93401611">
    <w:abstractNumId w:val="1"/>
  </w:num>
  <w:num w:numId="9" w16cid:durableId="213517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22D4"/>
    <w:rsid w:val="0029639D"/>
    <w:rsid w:val="00326F90"/>
    <w:rsid w:val="007B3DB5"/>
    <w:rsid w:val="009736A2"/>
    <w:rsid w:val="00A170DF"/>
    <w:rsid w:val="00AA1D8D"/>
    <w:rsid w:val="00B47730"/>
    <w:rsid w:val="00B545D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1FCEE0"/>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02622"/>
      <w:sz w:val="19"/>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315B45"/>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315B45"/>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315B45"/>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40" w:line="259" w:lineRule="auto"/>
      <w:ind w:left="115" w:right="115"/>
    </w:pPr>
    <w:rPr>
      <w:rFonts w:ascii="Aptos" w:hAnsi="Apto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3430</Words>
  <Characters>19553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Data Protection, Privacy and Information Governance Policy 2026–2027</dc:title>
  <dc:subject>Combined data protection and privacy policy</dc:subject>
  <dc:creator>The Wilderness Grove (TWiG)</dc:creator>
  <cp:keywords/>
  <dc:description>generated by python-docx</dc:description>
  <cp:lastModifiedBy>Cate Regi</cp:lastModifiedBy>
  <cp:revision>3</cp:revision>
  <dcterms:created xsi:type="dcterms:W3CDTF">2026-08-25T12:01:00Z</dcterms:created>
  <dcterms:modified xsi:type="dcterms:W3CDTF">2026-08-25T12:01:00Z</dcterms:modified>
  <cp:category/>
</cp:coreProperties>
</file>