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CA10F" w14:textId="77777777" w:rsidR="00BA69B6" w:rsidRPr="00C9716C" w:rsidRDefault="001E4D25">
      <w:pPr>
        <w:pStyle w:val="Title"/>
        <w:jc w:val="center"/>
        <w:rPr>
          <w:rFonts w:ascii="Century Gothic" w:hAnsi="Century Gothic"/>
        </w:rPr>
      </w:pPr>
      <w:r w:rsidRPr="00C9716C">
        <w:rPr>
          <w:rFonts w:ascii="Century Gothic" w:hAnsi="Century Gothic"/>
        </w:rPr>
        <w:t>HEALTH AND SAFETY POLICY</w:t>
      </w:r>
    </w:p>
    <w:p w14:paraId="7FBB6D60" w14:textId="77777777" w:rsidR="00BA69B6" w:rsidRPr="00C9716C" w:rsidRDefault="001E4D25">
      <w:pPr>
        <w:spacing w:after="480"/>
        <w:jc w:val="center"/>
        <w:rPr>
          <w:rFonts w:ascii="Century Gothic" w:hAnsi="Century Gothic"/>
        </w:rPr>
      </w:pPr>
      <w:r w:rsidRPr="00C9716C">
        <w:rPr>
          <w:rFonts w:ascii="Century Gothic" w:hAnsi="Century Gothic"/>
          <w:b/>
          <w:color w:val="66845F"/>
          <w:sz w:val="28"/>
        </w:rPr>
        <w:t>The Wilderness Grove Forest School (TWiG)</w:t>
      </w:r>
    </w:p>
    <w:tbl>
      <w:tblPr>
        <w:tblStyle w:val="TableGrid"/>
        <w:tblW w:w="9740" w:type="dxa"/>
        <w:tblLayout w:type="fixed"/>
        <w:tblLook w:val="04A0" w:firstRow="1" w:lastRow="0" w:firstColumn="1" w:lastColumn="0" w:noHBand="0" w:noVBand="1"/>
      </w:tblPr>
      <w:tblGrid>
        <w:gridCol w:w="2100"/>
        <w:gridCol w:w="7640"/>
      </w:tblGrid>
      <w:tr w:rsidR="00BA69B6" w:rsidRPr="00C9716C" w14:paraId="307BEC56" w14:textId="77777777">
        <w:tc>
          <w:tcPr>
            <w:tcW w:w="2100" w:type="dxa"/>
            <w:shd w:val="clear" w:color="auto" w:fill="EAF1E7"/>
            <w:tcMar>
              <w:top w:w="80" w:type="dxa"/>
              <w:left w:w="110" w:type="dxa"/>
              <w:bottom w:w="80" w:type="dxa"/>
              <w:right w:w="110" w:type="dxa"/>
            </w:tcMar>
            <w:vAlign w:val="center"/>
          </w:tcPr>
          <w:p w14:paraId="545FED2A" w14:textId="77777777" w:rsidR="00BA69B6" w:rsidRPr="00C9716C" w:rsidRDefault="001E4D25">
            <w:pPr>
              <w:spacing w:after="20" w:line="240" w:lineRule="auto"/>
              <w:rPr>
                <w:rFonts w:ascii="Century Gothic" w:hAnsi="Century Gothic"/>
              </w:rPr>
            </w:pPr>
            <w:r w:rsidRPr="00C9716C">
              <w:rPr>
                <w:rFonts w:ascii="Century Gothic" w:hAnsi="Century Gothic"/>
                <w:b/>
                <w:sz w:val="18"/>
              </w:rPr>
              <w:t>Policy owner</w:t>
            </w:r>
          </w:p>
        </w:tc>
        <w:tc>
          <w:tcPr>
            <w:tcW w:w="7640" w:type="dxa"/>
            <w:tcMar>
              <w:top w:w="80" w:type="dxa"/>
              <w:left w:w="110" w:type="dxa"/>
              <w:bottom w:w="80" w:type="dxa"/>
              <w:right w:w="110" w:type="dxa"/>
            </w:tcMar>
            <w:vAlign w:val="center"/>
          </w:tcPr>
          <w:p w14:paraId="7F1A56AB" w14:textId="34583744" w:rsidR="00BA69B6" w:rsidRPr="00C9716C" w:rsidRDefault="001E4D25">
            <w:pPr>
              <w:spacing w:after="20" w:line="240" w:lineRule="auto"/>
              <w:rPr>
                <w:rFonts w:ascii="Century Gothic" w:hAnsi="Century Gothic"/>
              </w:rPr>
            </w:pPr>
            <w:r w:rsidRPr="00C9716C">
              <w:rPr>
                <w:rFonts w:ascii="Century Gothic" w:hAnsi="Century Gothic"/>
                <w:sz w:val="18"/>
              </w:rPr>
              <w:t>Managing Partners</w:t>
            </w:r>
            <w:r w:rsidR="00C9716C" w:rsidRPr="00C9716C">
              <w:rPr>
                <w:rFonts w:ascii="Century Gothic" w:hAnsi="Century Gothic"/>
                <w:sz w:val="18"/>
              </w:rPr>
              <w:t>, Catherine Regi/Thomas Wild</w:t>
            </w:r>
          </w:p>
        </w:tc>
      </w:tr>
      <w:tr w:rsidR="00BA69B6" w:rsidRPr="00C9716C" w14:paraId="75FDD4EB" w14:textId="77777777">
        <w:tc>
          <w:tcPr>
            <w:tcW w:w="2100" w:type="dxa"/>
            <w:shd w:val="clear" w:color="auto" w:fill="EAF1E7"/>
            <w:tcMar>
              <w:top w:w="80" w:type="dxa"/>
              <w:left w:w="110" w:type="dxa"/>
              <w:bottom w:w="80" w:type="dxa"/>
              <w:right w:w="110" w:type="dxa"/>
            </w:tcMar>
            <w:vAlign w:val="center"/>
          </w:tcPr>
          <w:p w14:paraId="1D266FCB" w14:textId="77777777" w:rsidR="00BA69B6" w:rsidRPr="00C9716C" w:rsidRDefault="001E4D25">
            <w:pPr>
              <w:spacing w:after="20" w:line="240" w:lineRule="auto"/>
              <w:rPr>
                <w:rFonts w:ascii="Century Gothic" w:hAnsi="Century Gothic"/>
              </w:rPr>
            </w:pPr>
            <w:r w:rsidRPr="00C9716C">
              <w:rPr>
                <w:rFonts w:ascii="Century Gothic" w:hAnsi="Century Gothic"/>
                <w:b/>
                <w:sz w:val="18"/>
              </w:rPr>
              <w:t>Approved</w:t>
            </w:r>
          </w:p>
        </w:tc>
        <w:tc>
          <w:tcPr>
            <w:tcW w:w="7640" w:type="dxa"/>
            <w:tcMar>
              <w:top w:w="80" w:type="dxa"/>
              <w:left w:w="110" w:type="dxa"/>
              <w:bottom w:w="80" w:type="dxa"/>
              <w:right w:w="110" w:type="dxa"/>
            </w:tcMar>
            <w:vAlign w:val="center"/>
          </w:tcPr>
          <w:p w14:paraId="669B7C56" w14:textId="77777777" w:rsidR="00BA69B6" w:rsidRPr="00C9716C" w:rsidRDefault="001E4D25">
            <w:pPr>
              <w:spacing w:after="20" w:line="240" w:lineRule="auto"/>
              <w:rPr>
                <w:rFonts w:ascii="Century Gothic" w:hAnsi="Century Gothic"/>
              </w:rPr>
            </w:pPr>
            <w:r w:rsidRPr="00C9716C">
              <w:rPr>
                <w:rFonts w:ascii="Century Gothic" w:hAnsi="Century Gothic"/>
                <w:sz w:val="18"/>
              </w:rPr>
              <w:t>August 2026</w:t>
            </w:r>
          </w:p>
        </w:tc>
      </w:tr>
      <w:tr w:rsidR="00BA69B6" w:rsidRPr="00C9716C" w14:paraId="2AA3110D" w14:textId="77777777">
        <w:tc>
          <w:tcPr>
            <w:tcW w:w="2100" w:type="dxa"/>
            <w:shd w:val="clear" w:color="auto" w:fill="F5F7F2"/>
            <w:tcMar>
              <w:top w:w="80" w:type="dxa"/>
              <w:left w:w="110" w:type="dxa"/>
              <w:bottom w:w="80" w:type="dxa"/>
              <w:right w:w="110" w:type="dxa"/>
            </w:tcMar>
            <w:vAlign w:val="center"/>
          </w:tcPr>
          <w:p w14:paraId="25DE27DF" w14:textId="77777777" w:rsidR="00BA69B6" w:rsidRPr="00C9716C" w:rsidRDefault="001E4D25">
            <w:pPr>
              <w:spacing w:after="20" w:line="240" w:lineRule="auto"/>
              <w:rPr>
                <w:rFonts w:ascii="Century Gothic" w:hAnsi="Century Gothic"/>
              </w:rPr>
            </w:pPr>
            <w:r w:rsidRPr="00C9716C">
              <w:rPr>
                <w:rFonts w:ascii="Century Gothic" w:hAnsi="Century Gothic"/>
                <w:b/>
                <w:sz w:val="18"/>
              </w:rPr>
              <w:t>Review cycle</w:t>
            </w:r>
          </w:p>
        </w:tc>
        <w:tc>
          <w:tcPr>
            <w:tcW w:w="7640" w:type="dxa"/>
            <w:shd w:val="clear" w:color="auto" w:fill="F5F7F2"/>
            <w:tcMar>
              <w:top w:w="80" w:type="dxa"/>
              <w:left w:w="110" w:type="dxa"/>
              <w:bottom w:w="80" w:type="dxa"/>
              <w:right w:w="110" w:type="dxa"/>
            </w:tcMar>
            <w:vAlign w:val="center"/>
          </w:tcPr>
          <w:p w14:paraId="56AC4A16" w14:textId="77777777" w:rsidR="00BA69B6" w:rsidRPr="00C9716C" w:rsidRDefault="001E4D25">
            <w:pPr>
              <w:spacing w:after="20" w:line="240" w:lineRule="auto"/>
              <w:rPr>
                <w:rFonts w:ascii="Century Gothic" w:hAnsi="Century Gothic"/>
              </w:rPr>
            </w:pPr>
            <w:r w:rsidRPr="00C9716C">
              <w:rPr>
                <w:rFonts w:ascii="Century Gothic" w:hAnsi="Century Gothic"/>
                <w:sz w:val="18"/>
              </w:rPr>
              <w:t>Annually, and sooner following a significant incident or change</w:t>
            </w:r>
          </w:p>
        </w:tc>
      </w:tr>
      <w:tr w:rsidR="00BA69B6" w:rsidRPr="00C9716C" w14:paraId="0FB453B4" w14:textId="77777777">
        <w:tc>
          <w:tcPr>
            <w:tcW w:w="2100" w:type="dxa"/>
            <w:shd w:val="clear" w:color="auto" w:fill="EAF1E7"/>
            <w:tcMar>
              <w:top w:w="80" w:type="dxa"/>
              <w:left w:w="110" w:type="dxa"/>
              <w:bottom w:w="80" w:type="dxa"/>
              <w:right w:w="110" w:type="dxa"/>
            </w:tcMar>
            <w:vAlign w:val="center"/>
          </w:tcPr>
          <w:p w14:paraId="4CD1D825" w14:textId="77777777" w:rsidR="00BA69B6" w:rsidRPr="00C9716C" w:rsidRDefault="001E4D25">
            <w:pPr>
              <w:spacing w:after="20" w:line="240" w:lineRule="auto"/>
              <w:rPr>
                <w:rFonts w:ascii="Century Gothic" w:hAnsi="Century Gothic"/>
              </w:rPr>
            </w:pPr>
            <w:r w:rsidRPr="00C9716C">
              <w:rPr>
                <w:rFonts w:ascii="Century Gothic" w:hAnsi="Century Gothic"/>
                <w:b/>
                <w:sz w:val="18"/>
              </w:rPr>
              <w:t>Next review</w:t>
            </w:r>
          </w:p>
        </w:tc>
        <w:tc>
          <w:tcPr>
            <w:tcW w:w="7640" w:type="dxa"/>
            <w:tcMar>
              <w:top w:w="80" w:type="dxa"/>
              <w:left w:w="110" w:type="dxa"/>
              <w:bottom w:w="80" w:type="dxa"/>
              <w:right w:w="110" w:type="dxa"/>
            </w:tcMar>
            <w:vAlign w:val="center"/>
          </w:tcPr>
          <w:p w14:paraId="295DD4AA" w14:textId="77777777" w:rsidR="00BA69B6" w:rsidRPr="00C9716C" w:rsidRDefault="001E4D25">
            <w:pPr>
              <w:spacing w:after="20" w:line="240" w:lineRule="auto"/>
              <w:rPr>
                <w:rFonts w:ascii="Century Gothic" w:hAnsi="Century Gothic"/>
              </w:rPr>
            </w:pPr>
            <w:r w:rsidRPr="00C9716C">
              <w:rPr>
                <w:rFonts w:ascii="Century Gothic" w:hAnsi="Century Gothic"/>
                <w:sz w:val="18"/>
              </w:rPr>
              <w:t>August 2027</w:t>
            </w:r>
          </w:p>
        </w:tc>
      </w:tr>
      <w:tr w:rsidR="00BA69B6" w:rsidRPr="00C9716C" w14:paraId="3CBD2F0C" w14:textId="77777777">
        <w:tc>
          <w:tcPr>
            <w:tcW w:w="2100" w:type="dxa"/>
            <w:shd w:val="clear" w:color="auto" w:fill="F5F7F2"/>
            <w:tcMar>
              <w:top w:w="80" w:type="dxa"/>
              <w:left w:w="110" w:type="dxa"/>
              <w:bottom w:w="80" w:type="dxa"/>
              <w:right w:w="110" w:type="dxa"/>
            </w:tcMar>
            <w:vAlign w:val="center"/>
          </w:tcPr>
          <w:p w14:paraId="13FBE0FB" w14:textId="77777777" w:rsidR="00BA69B6" w:rsidRPr="00C9716C" w:rsidRDefault="001E4D25">
            <w:pPr>
              <w:spacing w:after="20" w:line="240" w:lineRule="auto"/>
              <w:rPr>
                <w:rFonts w:ascii="Century Gothic" w:hAnsi="Century Gothic"/>
              </w:rPr>
            </w:pPr>
            <w:r w:rsidRPr="00C9716C">
              <w:rPr>
                <w:rFonts w:ascii="Century Gothic" w:hAnsi="Century Gothic"/>
                <w:b/>
                <w:sz w:val="18"/>
              </w:rPr>
              <w:t>Applies to</w:t>
            </w:r>
          </w:p>
        </w:tc>
        <w:tc>
          <w:tcPr>
            <w:tcW w:w="7640" w:type="dxa"/>
            <w:shd w:val="clear" w:color="auto" w:fill="F5F7F2"/>
            <w:tcMar>
              <w:top w:w="80" w:type="dxa"/>
              <w:left w:w="110" w:type="dxa"/>
              <w:bottom w:w="80" w:type="dxa"/>
              <w:right w:w="110" w:type="dxa"/>
            </w:tcMar>
            <w:vAlign w:val="center"/>
          </w:tcPr>
          <w:p w14:paraId="40F2C6B0" w14:textId="77777777" w:rsidR="00BA69B6" w:rsidRPr="00C9716C" w:rsidRDefault="001E4D25">
            <w:pPr>
              <w:spacing w:after="20" w:line="240" w:lineRule="auto"/>
              <w:rPr>
                <w:rFonts w:ascii="Century Gothic" w:hAnsi="Century Gothic"/>
              </w:rPr>
            </w:pPr>
            <w:r w:rsidRPr="00C9716C">
              <w:rPr>
                <w:rFonts w:ascii="Century Gothic" w:hAnsi="Century Gothic"/>
                <w:sz w:val="18"/>
              </w:rPr>
              <w:t>Managing Partners, associates, staff, volunteers, visitors and contractors</w:t>
            </w:r>
          </w:p>
        </w:tc>
      </w:tr>
      <w:tr w:rsidR="00BA69B6" w:rsidRPr="00C9716C" w14:paraId="29E1DE28" w14:textId="77777777">
        <w:tc>
          <w:tcPr>
            <w:tcW w:w="2100" w:type="dxa"/>
            <w:shd w:val="clear" w:color="auto" w:fill="EAF1E7"/>
            <w:tcMar>
              <w:top w:w="80" w:type="dxa"/>
              <w:left w:w="110" w:type="dxa"/>
              <w:bottom w:w="80" w:type="dxa"/>
              <w:right w:w="110" w:type="dxa"/>
            </w:tcMar>
            <w:vAlign w:val="center"/>
          </w:tcPr>
          <w:p w14:paraId="40C2A26C" w14:textId="77777777" w:rsidR="00BA69B6" w:rsidRPr="00C9716C" w:rsidRDefault="001E4D25">
            <w:pPr>
              <w:spacing w:after="20" w:line="240" w:lineRule="auto"/>
              <w:rPr>
                <w:rFonts w:ascii="Century Gothic" w:hAnsi="Century Gothic"/>
              </w:rPr>
            </w:pPr>
            <w:r w:rsidRPr="00C9716C">
              <w:rPr>
                <w:rFonts w:ascii="Century Gothic" w:hAnsi="Century Gothic"/>
                <w:b/>
                <w:sz w:val="18"/>
              </w:rPr>
              <w:t>Related records</w:t>
            </w:r>
          </w:p>
        </w:tc>
        <w:tc>
          <w:tcPr>
            <w:tcW w:w="7640" w:type="dxa"/>
            <w:tcMar>
              <w:top w:w="80" w:type="dxa"/>
              <w:left w:w="110" w:type="dxa"/>
              <w:bottom w:w="80" w:type="dxa"/>
              <w:right w:w="110" w:type="dxa"/>
            </w:tcMar>
            <w:vAlign w:val="center"/>
          </w:tcPr>
          <w:p w14:paraId="05DDD285" w14:textId="77777777" w:rsidR="00BA69B6" w:rsidRPr="00C9716C" w:rsidRDefault="001E4D25">
            <w:pPr>
              <w:spacing w:after="20" w:line="240" w:lineRule="auto"/>
              <w:rPr>
                <w:rFonts w:ascii="Century Gothic" w:hAnsi="Century Gothic"/>
              </w:rPr>
            </w:pPr>
            <w:r w:rsidRPr="00C9716C">
              <w:rPr>
                <w:rFonts w:ascii="Century Gothic" w:hAnsi="Century Gothic"/>
                <w:sz w:val="18"/>
              </w:rPr>
              <w:t>Daily/site risk assessments; accident and first aid records; First Aid Equipment Book; Tool Sign-In/Out Book; Maintenance Book; training matrix</w:t>
            </w:r>
          </w:p>
        </w:tc>
      </w:tr>
    </w:tbl>
    <w:p w14:paraId="591473F4" w14:textId="77777777" w:rsidR="00BA69B6" w:rsidRPr="00C9716C" w:rsidRDefault="00BA69B6">
      <w:pPr>
        <w:spacing w:after="200"/>
        <w:rPr>
          <w:rFonts w:ascii="Century Gothic" w:hAnsi="Century Gothic"/>
        </w:rPr>
      </w:pPr>
    </w:p>
    <w:tbl>
      <w:tblPr>
        <w:tblStyle w:val="TableGrid"/>
        <w:tblW w:w="9740" w:type="dxa"/>
        <w:tblLayout w:type="fixed"/>
        <w:tblLook w:val="04A0" w:firstRow="1" w:lastRow="0" w:firstColumn="1" w:lastColumn="0" w:noHBand="0" w:noVBand="1"/>
      </w:tblPr>
      <w:tblGrid>
        <w:gridCol w:w="9740"/>
      </w:tblGrid>
      <w:tr w:rsidR="00BA69B6" w:rsidRPr="00C9716C" w14:paraId="2BDD69AA" w14:textId="77777777">
        <w:tc>
          <w:tcPr>
            <w:tcW w:w="9740" w:type="dxa"/>
            <w:shd w:val="clear" w:color="auto" w:fill="EAF1E7"/>
            <w:tcMar>
              <w:top w:w="80" w:type="dxa"/>
              <w:left w:w="110" w:type="dxa"/>
              <w:bottom w:w="80" w:type="dxa"/>
              <w:right w:w="110" w:type="dxa"/>
            </w:tcMar>
            <w:vAlign w:val="center"/>
          </w:tcPr>
          <w:p w14:paraId="00B1462A" w14:textId="77777777" w:rsidR="00BA69B6" w:rsidRPr="00C9716C" w:rsidRDefault="001E4D25">
            <w:pPr>
              <w:spacing w:after="20" w:line="240" w:lineRule="auto"/>
              <w:rPr>
                <w:rFonts w:ascii="Century Gothic" w:hAnsi="Century Gothic"/>
              </w:rPr>
            </w:pPr>
            <w:r w:rsidRPr="00C9716C">
              <w:rPr>
                <w:rFonts w:ascii="Century Gothic" w:hAnsi="Century Gothic"/>
                <w:b/>
                <w:color w:val="375A3B"/>
              </w:rPr>
              <w:t xml:space="preserve">Policy commitment  </w:t>
            </w:r>
            <w:r w:rsidRPr="00C9716C">
              <w:rPr>
                <w:rFonts w:ascii="Century Gothic" w:hAnsi="Century Gothic"/>
              </w:rPr>
              <w:t>TWiG will provide, so far as is reasonably practicable, a safe and healthy woodland environment while preserving the positive developmental value of appropriately managed challenge and risk.</w:t>
            </w:r>
          </w:p>
        </w:tc>
      </w:tr>
    </w:tbl>
    <w:p w14:paraId="5AC05227" w14:textId="77777777" w:rsidR="00C9716C" w:rsidRPr="00C9716C" w:rsidRDefault="00C9716C" w:rsidP="00C9716C">
      <w:pPr>
        <w:rPr>
          <w:rFonts w:ascii="Century Gothic" w:hAnsi="Century Gothic"/>
        </w:rPr>
      </w:pPr>
    </w:p>
    <w:p w14:paraId="62F2CE77" w14:textId="7FF4507A" w:rsidR="00BA69B6" w:rsidRPr="00C9716C" w:rsidRDefault="001E4D25" w:rsidP="00C9716C">
      <w:pPr>
        <w:rPr>
          <w:rFonts w:ascii="Century Gothic" w:hAnsi="Century Gothic"/>
          <w:b/>
          <w:bCs/>
          <w:sz w:val="32"/>
          <w:szCs w:val="32"/>
        </w:rPr>
      </w:pPr>
      <w:r w:rsidRPr="00C9716C">
        <w:rPr>
          <w:rFonts w:ascii="Century Gothic" w:hAnsi="Century Gothic"/>
          <w:b/>
          <w:bCs/>
          <w:sz w:val="32"/>
          <w:szCs w:val="32"/>
        </w:rPr>
        <w:t>1. Purpose, scope and legal framework</w:t>
      </w:r>
    </w:p>
    <w:p w14:paraId="17E79F13" w14:textId="77777777" w:rsidR="00BA69B6" w:rsidRPr="00C9716C" w:rsidRDefault="001E4D25">
      <w:pPr>
        <w:rPr>
          <w:rFonts w:ascii="Century Gothic" w:hAnsi="Century Gothic"/>
        </w:rPr>
      </w:pPr>
      <w:r w:rsidRPr="00C9716C">
        <w:rPr>
          <w:rFonts w:ascii="Century Gothic" w:hAnsi="Century Gothic"/>
        </w:rPr>
        <w:t>This policy explains how TWiG manages health, safety and welfare for children and young people, staff and associates, volunteers, visitors, contractors and members of the public who may be affected by its activities. It applies to the woodland, any associated structures and facilities, off-site activities, community-based work and any work carried out on behalf of TWiG.</w:t>
      </w:r>
    </w:p>
    <w:p w14:paraId="2BCE4856" w14:textId="77777777" w:rsidR="00BA69B6" w:rsidRPr="00C9716C" w:rsidRDefault="001E4D25">
      <w:pPr>
        <w:rPr>
          <w:rFonts w:ascii="Century Gothic" w:hAnsi="Century Gothic"/>
        </w:rPr>
      </w:pPr>
      <w:r w:rsidRPr="00C9716C">
        <w:rPr>
          <w:rFonts w:ascii="Century Gothic" w:hAnsi="Century Gothic"/>
        </w:rPr>
        <w:t>TWiG manages health and safety through proportionate risk assessment, competent supervision, suitable information and training, safe equipment, effective recording and prompt learning from incidents. Risk–benefit assessment is central to Forest School practice: worthwhile challenge is enabled where risks can be reduced to an acceptable level.</w:t>
      </w:r>
    </w:p>
    <w:p w14:paraId="23B9DA12" w14:textId="77777777" w:rsidR="00BA69B6" w:rsidRPr="00C9716C" w:rsidRDefault="001E4D25">
      <w:pPr>
        <w:rPr>
          <w:rFonts w:ascii="Century Gothic" w:hAnsi="Century Gothic"/>
        </w:rPr>
      </w:pPr>
      <w:r w:rsidRPr="00C9716C">
        <w:rPr>
          <w:rFonts w:ascii="Century Gothic" w:hAnsi="Century Gothic"/>
        </w:rPr>
        <w:t>This policy supports compliance with relevant duties, including:</w:t>
      </w:r>
    </w:p>
    <w:p w14:paraId="2BEF9B50" w14:textId="77777777" w:rsidR="00BA69B6" w:rsidRPr="00C9716C" w:rsidRDefault="001E4D25">
      <w:pPr>
        <w:pStyle w:val="ListBullet"/>
        <w:rPr>
          <w:rFonts w:ascii="Century Gothic" w:hAnsi="Century Gothic"/>
        </w:rPr>
      </w:pPr>
      <w:r w:rsidRPr="00C9716C">
        <w:rPr>
          <w:rFonts w:ascii="Century Gothic" w:hAnsi="Century Gothic"/>
        </w:rPr>
        <w:t>Health and Safety at Work etc. Act 1974;</w:t>
      </w:r>
    </w:p>
    <w:p w14:paraId="22261D70" w14:textId="77777777" w:rsidR="00BA69B6" w:rsidRPr="00C9716C" w:rsidRDefault="001E4D25">
      <w:pPr>
        <w:pStyle w:val="ListBullet"/>
        <w:rPr>
          <w:rFonts w:ascii="Century Gothic" w:hAnsi="Century Gothic"/>
        </w:rPr>
      </w:pPr>
      <w:r w:rsidRPr="00C9716C">
        <w:rPr>
          <w:rFonts w:ascii="Century Gothic" w:hAnsi="Century Gothic"/>
        </w:rPr>
        <w:t>Management of Health and Safety at Work Regulations 1999;</w:t>
      </w:r>
    </w:p>
    <w:p w14:paraId="2B440F35" w14:textId="77777777" w:rsidR="00BA69B6" w:rsidRPr="00C9716C" w:rsidRDefault="001E4D25">
      <w:pPr>
        <w:pStyle w:val="ListBullet"/>
        <w:rPr>
          <w:rFonts w:ascii="Century Gothic" w:hAnsi="Century Gothic"/>
        </w:rPr>
      </w:pPr>
      <w:r w:rsidRPr="00C9716C">
        <w:rPr>
          <w:rFonts w:ascii="Century Gothic" w:hAnsi="Century Gothic"/>
        </w:rPr>
        <w:t>Reporting of Injuries, Diseases and Dangerous Occurrences Regulations 2013 (RIDDOR);</w:t>
      </w:r>
    </w:p>
    <w:p w14:paraId="6D081C99" w14:textId="77777777" w:rsidR="00BA69B6" w:rsidRPr="00C9716C" w:rsidRDefault="001E4D25">
      <w:pPr>
        <w:pStyle w:val="ListBullet"/>
        <w:rPr>
          <w:rFonts w:ascii="Century Gothic" w:hAnsi="Century Gothic"/>
        </w:rPr>
      </w:pPr>
      <w:r w:rsidRPr="00C9716C">
        <w:rPr>
          <w:rFonts w:ascii="Century Gothic" w:hAnsi="Century Gothic"/>
        </w:rPr>
        <w:t>Control of Substances Hazardous to Health Regulations 2002 (COSHH);</w:t>
      </w:r>
    </w:p>
    <w:p w14:paraId="6B3E0A32" w14:textId="77777777" w:rsidR="00BA69B6" w:rsidRPr="00C9716C" w:rsidRDefault="001E4D25">
      <w:pPr>
        <w:pStyle w:val="ListBullet"/>
        <w:rPr>
          <w:rFonts w:ascii="Century Gothic" w:hAnsi="Century Gothic"/>
        </w:rPr>
      </w:pPr>
      <w:r w:rsidRPr="00C9716C">
        <w:rPr>
          <w:rFonts w:ascii="Century Gothic" w:hAnsi="Century Gothic"/>
        </w:rPr>
        <w:t>Regulatory Reform (Fire Safety) Order 2005, where applicable;</w:t>
      </w:r>
    </w:p>
    <w:p w14:paraId="461A20AB" w14:textId="77777777" w:rsidR="00BA69B6" w:rsidRPr="00C9716C" w:rsidRDefault="001E4D25">
      <w:pPr>
        <w:pStyle w:val="ListBullet"/>
        <w:rPr>
          <w:rFonts w:ascii="Century Gothic" w:hAnsi="Century Gothic"/>
        </w:rPr>
      </w:pPr>
      <w:r w:rsidRPr="00C9716C">
        <w:rPr>
          <w:rFonts w:ascii="Century Gothic" w:hAnsi="Century Gothic"/>
        </w:rPr>
        <w:t>Manual Handling Operations Regulations 1992; and</w:t>
      </w:r>
    </w:p>
    <w:p w14:paraId="73640760" w14:textId="77777777" w:rsidR="00BA69B6" w:rsidRPr="00C9716C" w:rsidRDefault="001E4D25">
      <w:pPr>
        <w:pStyle w:val="ListBullet"/>
        <w:rPr>
          <w:rFonts w:ascii="Century Gothic" w:hAnsi="Century Gothic"/>
        </w:rPr>
      </w:pPr>
      <w:r w:rsidRPr="00C9716C">
        <w:rPr>
          <w:rFonts w:ascii="Century Gothic" w:hAnsi="Century Gothic"/>
        </w:rPr>
        <w:t>applicable food safety, first aid, equipment safety, environmental and waste requirements.</w:t>
      </w:r>
    </w:p>
    <w:p w14:paraId="5F7BE41C" w14:textId="77777777" w:rsidR="00BA69B6" w:rsidRPr="00C9716C" w:rsidRDefault="001E4D25">
      <w:pPr>
        <w:rPr>
          <w:rFonts w:ascii="Century Gothic" w:hAnsi="Century Gothic"/>
        </w:rPr>
      </w:pPr>
      <w:r w:rsidRPr="00C9716C">
        <w:rPr>
          <w:rFonts w:ascii="Century Gothic" w:hAnsi="Century Gothic"/>
        </w:rPr>
        <w:t>This policy should be read with TWiG’s safeguarding, incident and accident, medication, fire safety, lone-working, emergency, behaviour, staff code of conduct and relevant risk-assessment procedures.</w:t>
      </w:r>
    </w:p>
    <w:p w14:paraId="2EEAF84A" w14:textId="77777777" w:rsidR="00BA69B6" w:rsidRPr="00C9716C" w:rsidRDefault="001E4D25">
      <w:pPr>
        <w:pStyle w:val="Heading1"/>
        <w:rPr>
          <w:rFonts w:ascii="Century Gothic" w:hAnsi="Century Gothic"/>
        </w:rPr>
      </w:pPr>
      <w:r w:rsidRPr="00C9716C">
        <w:rPr>
          <w:rFonts w:ascii="Century Gothic" w:hAnsi="Century Gothic"/>
        </w:rPr>
        <w:lastRenderedPageBreak/>
        <w:t>2. Organisation and delegated responsibilities</w:t>
      </w:r>
    </w:p>
    <w:p w14:paraId="0743FADD" w14:textId="77777777" w:rsidR="00BA69B6" w:rsidRPr="00C9716C" w:rsidRDefault="001E4D25">
      <w:pPr>
        <w:rPr>
          <w:rFonts w:ascii="Century Gothic" w:hAnsi="Century Gothic"/>
        </w:rPr>
      </w:pPr>
      <w:r w:rsidRPr="00C9716C">
        <w:rPr>
          <w:rFonts w:ascii="Century Gothic" w:hAnsi="Century Gothic"/>
        </w:rPr>
        <w:t>Health and safety is a shared responsibility. Delegation does not remove the Managing Partners’ overall accountability. The current names of people holding delegated roles, together with their qualifications and renewal dates, are maintained in the Health and Safety Responsibilities Register and staff training matrix. These are updated whenever responsibilities or personnel change.</w:t>
      </w:r>
    </w:p>
    <w:tbl>
      <w:tblPr>
        <w:tblStyle w:val="TableGrid"/>
        <w:tblW w:w="9740" w:type="dxa"/>
        <w:tblLayout w:type="fixed"/>
        <w:tblLook w:val="04A0" w:firstRow="1" w:lastRow="0" w:firstColumn="1" w:lastColumn="0" w:noHBand="0" w:noVBand="1"/>
      </w:tblPr>
      <w:tblGrid>
        <w:gridCol w:w="2100"/>
        <w:gridCol w:w="4830"/>
        <w:gridCol w:w="2810"/>
      </w:tblGrid>
      <w:tr w:rsidR="00BA69B6" w:rsidRPr="00C9716C" w14:paraId="6FC63977" w14:textId="77777777">
        <w:trPr>
          <w:tblHeader/>
        </w:trPr>
        <w:tc>
          <w:tcPr>
            <w:tcW w:w="2100" w:type="dxa"/>
            <w:shd w:val="clear" w:color="auto" w:fill="375A3B"/>
            <w:tcMar>
              <w:top w:w="80" w:type="dxa"/>
              <w:left w:w="110" w:type="dxa"/>
              <w:bottom w:w="80" w:type="dxa"/>
              <w:right w:w="110" w:type="dxa"/>
            </w:tcMar>
            <w:vAlign w:val="center"/>
          </w:tcPr>
          <w:p w14:paraId="55FBAACE" w14:textId="77777777" w:rsidR="00BA69B6" w:rsidRPr="00C9716C" w:rsidRDefault="001E4D25">
            <w:pPr>
              <w:spacing w:after="20" w:line="240" w:lineRule="auto"/>
              <w:rPr>
                <w:rFonts w:ascii="Century Gothic" w:hAnsi="Century Gothic"/>
              </w:rPr>
            </w:pPr>
            <w:r w:rsidRPr="00C9716C">
              <w:rPr>
                <w:rFonts w:ascii="Century Gothic" w:hAnsi="Century Gothic"/>
                <w:b/>
                <w:color w:val="FFFFFF"/>
                <w:sz w:val="18"/>
              </w:rPr>
              <w:t>Role</w:t>
            </w:r>
          </w:p>
        </w:tc>
        <w:tc>
          <w:tcPr>
            <w:tcW w:w="4830" w:type="dxa"/>
            <w:shd w:val="clear" w:color="auto" w:fill="375A3B"/>
            <w:tcMar>
              <w:top w:w="80" w:type="dxa"/>
              <w:left w:w="110" w:type="dxa"/>
              <w:bottom w:w="80" w:type="dxa"/>
              <w:right w:w="110" w:type="dxa"/>
            </w:tcMar>
            <w:vAlign w:val="center"/>
          </w:tcPr>
          <w:p w14:paraId="32D4755B" w14:textId="77777777" w:rsidR="00BA69B6" w:rsidRPr="00C9716C" w:rsidRDefault="001E4D25">
            <w:pPr>
              <w:spacing w:after="20" w:line="240" w:lineRule="auto"/>
              <w:rPr>
                <w:rFonts w:ascii="Century Gothic" w:hAnsi="Century Gothic"/>
              </w:rPr>
            </w:pPr>
            <w:r w:rsidRPr="00C9716C">
              <w:rPr>
                <w:rFonts w:ascii="Century Gothic" w:hAnsi="Century Gothic"/>
                <w:b/>
                <w:color w:val="FFFFFF"/>
                <w:sz w:val="18"/>
              </w:rPr>
              <w:t>Delegated responsibility</w:t>
            </w:r>
          </w:p>
        </w:tc>
        <w:tc>
          <w:tcPr>
            <w:tcW w:w="2810" w:type="dxa"/>
            <w:shd w:val="clear" w:color="auto" w:fill="375A3B"/>
            <w:tcMar>
              <w:top w:w="80" w:type="dxa"/>
              <w:left w:w="110" w:type="dxa"/>
              <w:bottom w:w="80" w:type="dxa"/>
              <w:right w:w="110" w:type="dxa"/>
            </w:tcMar>
            <w:vAlign w:val="center"/>
          </w:tcPr>
          <w:p w14:paraId="1BA6F9B4" w14:textId="77777777" w:rsidR="00BA69B6" w:rsidRPr="00C9716C" w:rsidRDefault="001E4D25">
            <w:pPr>
              <w:spacing w:after="20" w:line="240" w:lineRule="auto"/>
              <w:rPr>
                <w:rFonts w:ascii="Century Gothic" w:hAnsi="Century Gothic"/>
              </w:rPr>
            </w:pPr>
            <w:r w:rsidRPr="00C9716C">
              <w:rPr>
                <w:rFonts w:ascii="Century Gothic" w:hAnsi="Century Gothic"/>
                <w:b/>
                <w:color w:val="FFFFFF"/>
                <w:sz w:val="18"/>
              </w:rPr>
              <w:t>Evidence / record</w:t>
            </w:r>
          </w:p>
        </w:tc>
      </w:tr>
      <w:tr w:rsidR="00BA69B6" w:rsidRPr="00C9716C" w14:paraId="29A5B211" w14:textId="77777777">
        <w:tc>
          <w:tcPr>
            <w:tcW w:w="2100" w:type="dxa"/>
            <w:tcMar>
              <w:top w:w="80" w:type="dxa"/>
              <w:left w:w="110" w:type="dxa"/>
              <w:bottom w:w="80" w:type="dxa"/>
              <w:right w:w="110" w:type="dxa"/>
            </w:tcMar>
            <w:vAlign w:val="center"/>
          </w:tcPr>
          <w:p w14:paraId="22978A96" w14:textId="77777777" w:rsidR="00BA69B6" w:rsidRPr="00C9716C" w:rsidRDefault="001E4D25">
            <w:pPr>
              <w:spacing w:after="20" w:line="240" w:lineRule="auto"/>
              <w:rPr>
                <w:rFonts w:ascii="Century Gothic" w:hAnsi="Century Gothic"/>
              </w:rPr>
            </w:pPr>
            <w:r w:rsidRPr="00C9716C">
              <w:rPr>
                <w:rFonts w:ascii="Century Gothic" w:hAnsi="Century Gothic"/>
                <w:sz w:val="18"/>
              </w:rPr>
              <w:t>Managing Partners / Health and Safety Leads</w:t>
            </w:r>
          </w:p>
        </w:tc>
        <w:tc>
          <w:tcPr>
            <w:tcW w:w="4830" w:type="dxa"/>
            <w:tcMar>
              <w:top w:w="80" w:type="dxa"/>
              <w:left w:w="110" w:type="dxa"/>
              <w:bottom w:w="80" w:type="dxa"/>
              <w:right w:w="110" w:type="dxa"/>
            </w:tcMar>
            <w:vAlign w:val="center"/>
          </w:tcPr>
          <w:p w14:paraId="2AAC55D0" w14:textId="77777777" w:rsidR="00BA69B6" w:rsidRPr="00C9716C" w:rsidRDefault="001E4D25">
            <w:pPr>
              <w:spacing w:after="20" w:line="240" w:lineRule="auto"/>
              <w:rPr>
                <w:rFonts w:ascii="Century Gothic" w:hAnsi="Century Gothic"/>
              </w:rPr>
            </w:pPr>
            <w:r w:rsidRPr="00C9716C">
              <w:rPr>
                <w:rFonts w:ascii="Century Gothic" w:hAnsi="Century Gothic"/>
                <w:sz w:val="18"/>
              </w:rPr>
              <w:t>Overall accountability; approve policy and risk controls; allocate resources; monitor incidents, training, maintenance and compliance; notify commissioners and enforcing bodies where required.</w:t>
            </w:r>
          </w:p>
        </w:tc>
        <w:tc>
          <w:tcPr>
            <w:tcW w:w="2810" w:type="dxa"/>
            <w:tcMar>
              <w:top w:w="80" w:type="dxa"/>
              <w:left w:w="110" w:type="dxa"/>
              <w:bottom w:w="80" w:type="dxa"/>
              <w:right w:w="110" w:type="dxa"/>
            </w:tcMar>
            <w:vAlign w:val="center"/>
          </w:tcPr>
          <w:p w14:paraId="3064E4AE" w14:textId="77777777" w:rsidR="00BA69B6" w:rsidRPr="00C9716C" w:rsidRDefault="001E4D25">
            <w:pPr>
              <w:spacing w:after="20" w:line="240" w:lineRule="auto"/>
              <w:rPr>
                <w:rFonts w:ascii="Century Gothic" w:hAnsi="Century Gothic"/>
              </w:rPr>
            </w:pPr>
            <w:r w:rsidRPr="00C9716C">
              <w:rPr>
                <w:rFonts w:ascii="Century Gothic" w:hAnsi="Century Gothic"/>
                <w:sz w:val="18"/>
              </w:rPr>
              <w:t>Policy review; audits; action plans; insurance; responsibilities register</w:t>
            </w:r>
          </w:p>
        </w:tc>
      </w:tr>
      <w:tr w:rsidR="00BA69B6" w:rsidRPr="00C9716C" w14:paraId="03CAE384" w14:textId="77777777">
        <w:tc>
          <w:tcPr>
            <w:tcW w:w="2100" w:type="dxa"/>
            <w:shd w:val="clear" w:color="auto" w:fill="F5F7F2"/>
            <w:tcMar>
              <w:top w:w="80" w:type="dxa"/>
              <w:left w:w="110" w:type="dxa"/>
              <w:bottom w:w="80" w:type="dxa"/>
              <w:right w:w="110" w:type="dxa"/>
            </w:tcMar>
            <w:vAlign w:val="center"/>
          </w:tcPr>
          <w:p w14:paraId="54ACFB42" w14:textId="77777777" w:rsidR="00BA69B6" w:rsidRPr="00C9716C" w:rsidRDefault="001E4D25">
            <w:pPr>
              <w:spacing w:after="20" w:line="240" w:lineRule="auto"/>
              <w:rPr>
                <w:rFonts w:ascii="Century Gothic" w:hAnsi="Century Gothic"/>
              </w:rPr>
            </w:pPr>
            <w:r w:rsidRPr="00C9716C">
              <w:rPr>
                <w:rFonts w:ascii="Century Gothic" w:hAnsi="Century Gothic"/>
                <w:sz w:val="18"/>
              </w:rPr>
              <w:t>Session Lead / Forest School Leader</w:t>
            </w:r>
          </w:p>
        </w:tc>
        <w:tc>
          <w:tcPr>
            <w:tcW w:w="4830" w:type="dxa"/>
            <w:shd w:val="clear" w:color="auto" w:fill="F5F7F2"/>
            <w:tcMar>
              <w:top w:w="80" w:type="dxa"/>
              <w:left w:w="110" w:type="dxa"/>
              <w:bottom w:w="80" w:type="dxa"/>
              <w:right w:w="110" w:type="dxa"/>
            </w:tcMar>
            <w:vAlign w:val="center"/>
          </w:tcPr>
          <w:p w14:paraId="0B2FFEF4" w14:textId="77777777" w:rsidR="00BA69B6" w:rsidRPr="00C9716C" w:rsidRDefault="001E4D25">
            <w:pPr>
              <w:spacing w:after="20" w:line="240" w:lineRule="auto"/>
              <w:rPr>
                <w:rFonts w:ascii="Century Gothic" w:hAnsi="Century Gothic"/>
              </w:rPr>
            </w:pPr>
            <w:r w:rsidRPr="00C9716C">
              <w:rPr>
                <w:rFonts w:ascii="Century Gothic" w:hAnsi="Century Gothic"/>
                <w:sz w:val="18"/>
              </w:rPr>
              <w:t>Complete pre-session site checks; confirm staffing and first-aid cover; brief the team; adapt or stop unsafe activity; lead emergency response and ensure records are completed.</w:t>
            </w:r>
          </w:p>
        </w:tc>
        <w:tc>
          <w:tcPr>
            <w:tcW w:w="2810" w:type="dxa"/>
            <w:shd w:val="clear" w:color="auto" w:fill="F5F7F2"/>
            <w:tcMar>
              <w:top w:w="80" w:type="dxa"/>
              <w:left w:w="110" w:type="dxa"/>
              <w:bottom w:w="80" w:type="dxa"/>
              <w:right w:w="110" w:type="dxa"/>
            </w:tcMar>
            <w:vAlign w:val="center"/>
          </w:tcPr>
          <w:p w14:paraId="4B54804D" w14:textId="77777777" w:rsidR="00BA69B6" w:rsidRPr="00C9716C" w:rsidRDefault="001E4D25">
            <w:pPr>
              <w:spacing w:after="20" w:line="240" w:lineRule="auto"/>
              <w:rPr>
                <w:rFonts w:ascii="Century Gothic" w:hAnsi="Century Gothic"/>
              </w:rPr>
            </w:pPr>
            <w:r w:rsidRPr="00C9716C">
              <w:rPr>
                <w:rFonts w:ascii="Century Gothic" w:hAnsi="Century Gothic"/>
                <w:sz w:val="18"/>
              </w:rPr>
              <w:t>Daily risk assessment; session plan; briefing record; incident forms</w:t>
            </w:r>
          </w:p>
        </w:tc>
      </w:tr>
      <w:tr w:rsidR="00BA69B6" w:rsidRPr="00C9716C" w14:paraId="221D9E09" w14:textId="77777777">
        <w:tc>
          <w:tcPr>
            <w:tcW w:w="2100" w:type="dxa"/>
            <w:tcMar>
              <w:top w:w="80" w:type="dxa"/>
              <w:left w:w="110" w:type="dxa"/>
              <w:bottom w:w="80" w:type="dxa"/>
              <w:right w:w="110" w:type="dxa"/>
            </w:tcMar>
            <w:vAlign w:val="center"/>
          </w:tcPr>
          <w:p w14:paraId="1986F4C1" w14:textId="77777777" w:rsidR="00BA69B6" w:rsidRPr="00C9716C" w:rsidRDefault="001E4D25">
            <w:pPr>
              <w:spacing w:after="20" w:line="240" w:lineRule="auto"/>
              <w:rPr>
                <w:rFonts w:ascii="Century Gothic" w:hAnsi="Century Gothic"/>
              </w:rPr>
            </w:pPr>
            <w:r w:rsidRPr="00C9716C">
              <w:rPr>
                <w:rFonts w:ascii="Century Gothic" w:hAnsi="Century Gothic"/>
                <w:sz w:val="18"/>
              </w:rPr>
              <w:t>Qualified First Aider(s)</w:t>
            </w:r>
          </w:p>
        </w:tc>
        <w:tc>
          <w:tcPr>
            <w:tcW w:w="4830" w:type="dxa"/>
            <w:tcMar>
              <w:top w:w="80" w:type="dxa"/>
              <w:left w:w="110" w:type="dxa"/>
              <w:bottom w:w="80" w:type="dxa"/>
              <w:right w:w="110" w:type="dxa"/>
            </w:tcMar>
            <w:vAlign w:val="center"/>
          </w:tcPr>
          <w:p w14:paraId="6968539F" w14:textId="77777777" w:rsidR="00BA69B6" w:rsidRPr="00C9716C" w:rsidRDefault="001E4D25">
            <w:pPr>
              <w:spacing w:after="20" w:line="240" w:lineRule="auto"/>
              <w:rPr>
                <w:rFonts w:ascii="Century Gothic" w:hAnsi="Century Gothic"/>
              </w:rPr>
            </w:pPr>
            <w:r w:rsidRPr="00C9716C">
              <w:rPr>
                <w:rFonts w:ascii="Century Gothic" w:hAnsi="Century Gothic"/>
                <w:sz w:val="18"/>
              </w:rPr>
              <w:t>Provide first aid within competence; maintain confidentiality; complete first-aid records; identify replenishment needs and escalate concerns.</w:t>
            </w:r>
          </w:p>
        </w:tc>
        <w:tc>
          <w:tcPr>
            <w:tcW w:w="2810" w:type="dxa"/>
            <w:tcMar>
              <w:top w:w="80" w:type="dxa"/>
              <w:left w:w="110" w:type="dxa"/>
              <w:bottom w:w="80" w:type="dxa"/>
              <w:right w:w="110" w:type="dxa"/>
            </w:tcMar>
            <w:vAlign w:val="center"/>
          </w:tcPr>
          <w:p w14:paraId="625CEDDA" w14:textId="77777777" w:rsidR="00BA69B6" w:rsidRPr="00C9716C" w:rsidRDefault="001E4D25">
            <w:pPr>
              <w:spacing w:after="20" w:line="240" w:lineRule="auto"/>
              <w:rPr>
                <w:rFonts w:ascii="Century Gothic" w:hAnsi="Century Gothic"/>
              </w:rPr>
            </w:pPr>
            <w:r w:rsidRPr="00C9716C">
              <w:rPr>
                <w:rFonts w:ascii="Century Gothic" w:hAnsi="Century Gothic"/>
                <w:sz w:val="18"/>
              </w:rPr>
              <w:t>Certificates; First Aid Record; First Aid Equipment Book</w:t>
            </w:r>
          </w:p>
        </w:tc>
      </w:tr>
      <w:tr w:rsidR="00BA69B6" w:rsidRPr="00C9716C" w14:paraId="02B7F30D" w14:textId="77777777">
        <w:tc>
          <w:tcPr>
            <w:tcW w:w="2100" w:type="dxa"/>
            <w:shd w:val="clear" w:color="auto" w:fill="F5F7F2"/>
            <w:tcMar>
              <w:top w:w="80" w:type="dxa"/>
              <w:left w:w="110" w:type="dxa"/>
              <w:bottom w:w="80" w:type="dxa"/>
              <w:right w:w="110" w:type="dxa"/>
            </w:tcMar>
            <w:vAlign w:val="center"/>
          </w:tcPr>
          <w:p w14:paraId="654490F0" w14:textId="77777777" w:rsidR="00BA69B6" w:rsidRPr="00C9716C" w:rsidRDefault="001E4D25">
            <w:pPr>
              <w:spacing w:after="20" w:line="240" w:lineRule="auto"/>
              <w:rPr>
                <w:rFonts w:ascii="Century Gothic" w:hAnsi="Century Gothic"/>
              </w:rPr>
            </w:pPr>
            <w:r w:rsidRPr="00C9716C">
              <w:rPr>
                <w:rFonts w:ascii="Century Gothic" w:hAnsi="Century Gothic"/>
                <w:sz w:val="18"/>
              </w:rPr>
              <w:t>Tool / activity lead</w:t>
            </w:r>
          </w:p>
        </w:tc>
        <w:tc>
          <w:tcPr>
            <w:tcW w:w="4830" w:type="dxa"/>
            <w:shd w:val="clear" w:color="auto" w:fill="F5F7F2"/>
            <w:tcMar>
              <w:top w:w="80" w:type="dxa"/>
              <w:left w:w="110" w:type="dxa"/>
              <w:bottom w:w="80" w:type="dxa"/>
              <w:right w:w="110" w:type="dxa"/>
            </w:tcMar>
            <w:vAlign w:val="center"/>
          </w:tcPr>
          <w:p w14:paraId="127946F1" w14:textId="77777777" w:rsidR="00BA69B6" w:rsidRPr="00C9716C" w:rsidRDefault="001E4D25">
            <w:pPr>
              <w:spacing w:after="20" w:line="240" w:lineRule="auto"/>
              <w:rPr>
                <w:rFonts w:ascii="Century Gothic" w:hAnsi="Century Gothic"/>
              </w:rPr>
            </w:pPr>
            <w:r w:rsidRPr="00C9716C">
              <w:rPr>
                <w:rFonts w:ascii="Century Gothic" w:hAnsi="Century Gothic"/>
                <w:sz w:val="18"/>
              </w:rPr>
              <w:t>Control access to tools and specialist equipment; verify competence, condition and safe storage; provide supervision and account for items after use.</w:t>
            </w:r>
          </w:p>
        </w:tc>
        <w:tc>
          <w:tcPr>
            <w:tcW w:w="2810" w:type="dxa"/>
            <w:shd w:val="clear" w:color="auto" w:fill="F5F7F2"/>
            <w:tcMar>
              <w:top w:w="80" w:type="dxa"/>
              <w:left w:w="110" w:type="dxa"/>
              <w:bottom w:w="80" w:type="dxa"/>
              <w:right w:w="110" w:type="dxa"/>
            </w:tcMar>
            <w:vAlign w:val="center"/>
          </w:tcPr>
          <w:p w14:paraId="51A359C6" w14:textId="77777777" w:rsidR="00BA69B6" w:rsidRPr="00C9716C" w:rsidRDefault="001E4D25">
            <w:pPr>
              <w:spacing w:after="20" w:line="240" w:lineRule="auto"/>
              <w:rPr>
                <w:rFonts w:ascii="Century Gothic" w:hAnsi="Century Gothic"/>
              </w:rPr>
            </w:pPr>
            <w:r w:rsidRPr="00C9716C">
              <w:rPr>
                <w:rFonts w:ascii="Century Gothic" w:hAnsi="Century Gothic"/>
                <w:sz w:val="18"/>
              </w:rPr>
              <w:t>Tool Sign-In/Out Book; activity risk assessment; maintenance record</w:t>
            </w:r>
          </w:p>
        </w:tc>
      </w:tr>
      <w:tr w:rsidR="00BA69B6" w:rsidRPr="00C9716C" w14:paraId="6B963861" w14:textId="77777777">
        <w:tc>
          <w:tcPr>
            <w:tcW w:w="2100" w:type="dxa"/>
            <w:tcMar>
              <w:top w:w="80" w:type="dxa"/>
              <w:left w:w="110" w:type="dxa"/>
              <w:bottom w:w="80" w:type="dxa"/>
              <w:right w:w="110" w:type="dxa"/>
            </w:tcMar>
            <w:vAlign w:val="center"/>
          </w:tcPr>
          <w:p w14:paraId="65F3DF56" w14:textId="77777777" w:rsidR="00BA69B6" w:rsidRPr="00C9716C" w:rsidRDefault="001E4D25">
            <w:pPr>
              <w:spacing w:after="20" w:line="240" w:lineRule="auto"/>
              <w:rPr>
                <w:rFonts w:ascii="Century Gothic" w:hAnsi="Century Gothic"/>
              </w:rPr>
            </w:pPr>
            <w:r w:rsidRPr="00C9716C">
              <w:rPr>
                <w:rFonts w:ascii="Century Gothic" w:hAnsi="Century Gothic"/>
                <w:sz w:val="18"/>
              </w:rPr>
              <w:t>All staff, associates and volunteers</w:t>
            </w:r>
          </w:p>
        </w:tc>
        <w:tc>
          <w:tcPr>
            <w:tcW w:w="4830" w:type="dxa"/>
            <w:tcMar>
              <w:top w:w="80" w:type="dxa"/>
              <w:left w:w="110" w:type="dxa"/>
              <w:bottom w:w="80" w:type="dxa"/>
              <w:right w:w="110" w:type="dxa"/>
            </w:tcMar>
            <w:vAlign w:val="center"/>
          </w:tcPr>
          <w:p w14:paraId="57CBC720" w14:textId="77777777" w:rsidR="00BA69B6" w:rsidRPr="00C9716C" w:rsidRDefault="001E4D25">
            <w:pPr>
              <w:spacing w:after="20" w:line="240" w:lineRule="auto"/>
              <w:rPr>
                <w:rFonts w:ascii="Century Gothic" w:hAnsi="Century Gothic"/>
              </w:rPr>
            </w:pPr>
            <w:r w:rsidRPr="00C9716C">
              <w:rPr>
                <w:rFonts w:ascii="Century Gothic" w:hAnsi="Century Gothic"/>
                <w:sz w:val="18"/>
              </w:rPr>
              <w:t>Take reasonable care; follow controls and instructions; use equipment only when competent and authorised; report defects, hazards, near misses, accidents and concerns immediately.</w:t>
            </w:r>
          </w:p>
        </w:tc>
        <w:tc>
          <w:tcPr>
            <w:tcW w:w="2810" w:type="dxa"/>
            <w:tcMar>
              <w:top w:w="80" w:type="dxa"/>
              <w:left w:w="110" w:type="dxa"/>
              <w:bottom w:w="80" w:type="dxa"/>
              <w:right w:w="110" w:type="dxa"/>
            </w:tcMar>
            <w:vAlign w:val="center"/>
          </w:tcPr>
          <w:p w14:paraId="3FA30226" w14:textId="77777777" w:rsidR="00BA69B6" w:rsidRPr="00C9716C" w:rsidRDefault="001E4D25">
            <w:pPr>
              <w:spacing w:after="20" w:line="240" w:lineRule="auto"/>
              <w:rPr>
                <w:rFonts w:ascii="Century Gothic" w:hAnsi="Century Gothic"/>
              </w:rPr>
            </w:pPr>
            <w:r w:rsidRPr="00C9716C">
              <w:rPr>
                <w:rFonts w:ascii="Century Gothic" w:hAnsi="Century Gothic"/>
                <w:sz w:val="18"/>
              </w:rPr>
              <w:t>Induction; signed policies; training matrix; reports</w:t>
            </w:r>
          </w:p>
        </w:tc>
      </w:tr>
      <w:tr w:rsidR="00BA69B6" w:rsidRPr="00C9716C" w14:paraId="443CEEDB" w14:textId="77777777">
        <w:tc>
          <w:tcPr>
            <w:tcW w:w="2100" w:type="dxa"/>
            <w:shd w:val="clear" w:color="auto" w:fill="F5F7F2"/>
            <w:tcMar>
              <w:top w:w="80" w:type="dxa"/>
              <w:left w:w="110" w:type="dxa"/>
              <w:bottom w:w="80" w:type="dxa"/>
              <w:right w:w="110" w:type="dxa"/>
            </w:tcMar>
            <w:vAlign w:val="center"/>
          </w:tcPr>
          <w:p w14:paraId="7CFDD380" w14:textId="77777777" w:rsidR="00BA69B6" w:rsidRPr="00C9716C" w:rsidRDefault="001E4D25">
            <w:pPr>
              <w:spacing w:after="20" w:line="240" w:lineRule="auto"/>
              <w:rPr>
                <w:rFonts w:ascii="Century Gothic" w:hAnsi="Century Gothic"/>
              </w:rPr>
            </w:pPr>
            <w:r w:rsidRPr="00C9716C">
              <w:rPr>
                <w:rFonts w:ascii="Century Gothic" w:hAnsi="Century Gothic"/>
                <w:sz w:val="18"/>
              </w:rPr>
              <w:t>Visitors and contractors</w:t>
            </w:r>
          </w:p>
        </w:tc>
        <w:tc>
          <w:tcPr>
            <w:tcW w:w="4830" w:type="dxa"/>
            <w:shd w:val="clear" w:color="auto" w:fill="F5F7F2"/>
            <w:tcMar>
              <w:top w:w="80" w:type="dxa"/>
              <w:left w:w="110" w:type="dxa"/>
              <w:bottom w:w="80" w:type="dxa"/>
              <w:right w:w="110" w:type="dxa"/>
            </w:tcMar>
            <w:vAlign w:val="center"/>
          </w:tcPr>
          <w:p w14:paraId="30A7D5DA" w14:textId="77777777" w:rsidR="00BA69B6" w:rsidRPr="00C9716C" w:rsidRDefault="001E4D25">
            <w:pPr>
              <w:spacing w:after="20" w:line="240" w:lineRule="auto"/>
              <w:rPr>
                <w:rFonts w:ascii="Century Gothic" w:hAnsi="Century Gothic"/>
              </w:rPr>
            </w:pPr>
            <w:r w:rsidRPr="00C9716C">
              <w:rPr>
                <w:rFonts w:ascii="Century Gothic" w:hAnsi="Century Gothic"/>
                <w:sz w:val="18"/>
              </w:rPr>
              <w:t>Follow site rules and instructions, sign in/out, disclose relevant hazards and remain supervised unless authorised and risk assessed.</w:t>
            </w:r>
          </w:p>
        </w:tc>
        <w:tc>
          <w:tcPr>
            <w:tcW w:w="2810" w:type="dxa"/>
            <w:shd w:val="clear" w:color="auto" w:fill="F5F7F2"/>
            <w:tcMar>
              <w:top w:w="80" w:type="dxa"/>
              <w:left w:w="110" w:type="dxa"/>
              <w:bottom w:w="80" w:type="dxa"/>
              <w:right w:w="110" w:type="dxa"/>
            </w:tcMar>
            <w:vAlign w:val="center"/>
          </w:tcPr>
          <w:p w14:paraId="31C3EBE1" w14:textId="77777777" w:rsidR="00BA69B6" w:rsidRPr="00C9716C" w:rsidRDefault="001E4D25">
            <w:pPr>
              <w:spacing w:after="20" w:line="240" w:lineRule="auto"/>
              <w:rPr>
                <w:rFonts w:ascii="Century Gothic" w:hAnsi="Century Gothic"/>
              </w:rPr>
            </w:pPr>
            <w:r w:rsidRPr="00C9716C">
              <w:rPr>
                <w:rFonts w:ascii="Century Gothic" w:hAnsi="Century Gothic"/>
                <w:sz w:val="18"/>
              </w:rPr>
              <w:t>Visitor log; contractor information; permits/records where relevant</w:t>
            </w:r>
          </w:p>
        </w:tc>
      </w:tr>
    </w:tbl>
    <w:p w14:paraId="70A41269" w14:textId="77777777" w:rsidR="00BA69B6" w:rsidRPr="00C9716C" w:rsidRDefault="001E4D25">
      <w:pPr>
        <w:pStyle w:val="Heading1"/>
        <w:rPr>
          <w:rFonts w:ascii="Century Gothic" w:hAnsi="Century Gothic"/>
        </w:rPr>
      </w:pPr>
      <w:r w:rsidRPr="00C9716C">
        <w:rPr>
          <w:rFonts w:ascii="Century Gothic" w:hAnsi="Century Gothic"/>
        </w:rPr>
        <w:t>3. Competence, induction and annual training</w:t>
      </w:r>
    </w:p>
    <w:p w14:paraId="61633197" w14:textId="77777777" w:rsidR="00BA69B6" w:rsidRPr="00C9716C" w:rsidRDefault="001E4D25">
      <w:pPr>
        <w:rPr>
          <w:rFonts w:ascii="Century Gothic" w:hAnsi="Century Gothic"/>
        </w:rPr>
      </w:pPr>
      <w:r w:rsidRPr="00C9716C">
        <w:rPr>
          <w:rFonts w:ascii="Century Gothic" w:hAnsi="Century Gothic"/>
        </w:rPr>
        <w:t>All staff and associates receive health and safety information at induction before undertaking unsupervised duties. Volunteers receive a role-appropriate briefing and work under agreed supervision. Induction includes emergency arrangements, incident reporting, site hazards, risk assessments, first aid, fire, tool and equipment controls, manual handling, COSHH, safeguarding interfaces and the right and duty to stop unsafe work.</w:t>
      </w:r>
    </w:p>
    <w:p w14:paraId="357259FA" w14:textId="77777777" w:rsidR="00BA69B6" w:rsidRPr="00C9716C" w:rsidRDefault="001E4D25">
      <w:pPr>
        <w:rPr>
          <w:rFonts w:ascii="Century Gothic" w:hAnsi="Century Gothic"/>
        </w:rPr>
      </w:pPr>
      <w:r w:rsidRPr="00C9716C">
        <w:rPr>
          <w:rFonts w:ascii="Century Gothic" w:hAnsi="Century Gothic"/>
        </w:rPr>
        <w:t>TWiG will provide annual health and safety INSET for all staff and associates. Attendance is recorded. The programme will reflect current practice, learning from incidents and near misses, changes in legislation or guidance, and findings from audits. Role-specific refresher training is provided when required, including first aid, food hygiene, Forest School practice, chainsaw or specialist-tool competence, fire safety and COSHH.</w:t>
      </w:r>
    </w:p>
    <w:p w14:paraId="7EF2A9C7" w14:textId="77777777" w:rsidR="00BA69B6" w:rsidRPr="00C9716C" w:rsidRDefault="001E4D25">
      <w:pPr>
        <w:rPr>
          <w:rFonts w:ascii="Century Gothic" w:hAnsi="Century Gothic"/>
        </w:rPr>
      </w:pPr>
      <w:r w:rsidRPr="00C9716C">
        <w:rPr>
          <w:rFonts w:ascii="Century Gothic" w:hAnsi="Century Gothic"/>
        </w:rPr>
        <w:lastRenderedPageBreak/>
        <w:t>A central training matrix records course, provider, completion date, certificate, expiry or renewal date and any restrictions on practice. Where competence is not yet demonstrated, the person must not undertake the activity without suitable supervision.</w:t>
      </w:r>
    </w:p>
    <w:p w14:paraId="3E682EF4" w14:textId="77777777" w:rsidR="00BA69B6" w:rsidRPr="00C9716C" w:rsidRDefault="001E4D25">
      <w:pPr>
        <w:pStyle w:val="Heading1"/>
        <w:rPr>
          <w:rFonts w:ascii="Century Gothic" w:hAnsi="Century Gothic"/>
        </w:rPr>
      </w:pPr>
      <w:r w:rsidRPr="00C9716C">
        <w:rPr>
          <w:rFonts w:ascii="Century Gothic" w:hAnsi="Century Gothic"/>
        </w:rPr>
        <w:t>4. Risk assessment and risk–benefit management</w:t>
      </w:r>
    </w:p>
    <w:p w14:paraId="3DDE23A1" w14:textId="77777777" w:rsidR="00BA69B6" w:rsidRPr="00C9716C" w:rsidRDefault="001E4D25">
      <w:pPr>
        <w:rPr>
          <w:rFonts w:ascii="Century Gothic" w:hAnsi="Century Gothic"/>
        </w:rPr>
      </w:pPr>
      <w:r w:rsidRPr="00C9716C">
        <w:rPr>
          <w:rFonts w:ascii="Century Gothic" w:hAnsi="Century Gothic"/>
        </w:rPr>
        <w:t>Risk assessments must be suitable and sufficient, proportionate to the activity and accessible to the staff who implement them. They identify the hazard, who may be harmed and how, existing controls, further action, responsible person and review date. Controls are communicated before activities and changed dynamically when conditions require it.</w:t>
      </w:r>
    </w:p>
    <w:p w14:paraId="0E099AED" w14:textId="77777777" w:rsidR="00BA69B6" w:rsidRPr="00C9716C" w:rsidRDefault="001E4D25">
      <w:pPr>
        <w:pStyle w:val="Heading2"/>
        <w:rPr>
          <w:rFonts w:ascii="Century Gothic" w:hAnsi="Century Gothic"/>
        </w:rPr>
      </w:pPr>
      <w:r w:rsidRPr="00C9716C">
        <w:rPr>
          <w:rFonts w:ascii="Century Gothic" w:hAnsi="Century Gothic"/>
        </w:rPr>
        <w:t>4.1 Assessment types</w:t>
      </w:r>
    </w:p>
    <w:p w14:paraId="21893BDC" w14:textId="77777777" w:rsidR="00BA69B6" w:rsidRPr="00C9716C" w:rsidRDefault="001E4D25">
      <w:pPr>
        <w:rPr>
          <w:rFonts w:ascii="Century Gothic" w:hAnsi="Century Gothic"/>
        </w:rPr>
      </w:pPr>
      <w:r w:rsidRPr="00C9716C">
        <w:rPr>
          <w:rFonts w:ascii="Century Gothic" w:hAnsi="Century Gothic"/>
          <w:b/>
        </w:rPr>
        <w:t xml:space="preserve">Site and environmental assessments. </w:t>
      </w:r>
      <w:r w:rsidRPr="00C9716C">
        <w:rPr>
          <w:rFonts w:ascii="Century Gothic" w:hAnsi="Century Gothic"/>
        </w:rPr>
        <w:t>Formal seasonal and periodic assessment of the woodland, structures, access, boundaries, water, trees, weather exposure, welfare arrangements and foreseeable public interaction.</w:t>
      </w:r>
    </w:p>
    <w:p w14:paraId="28CA1E85" w14:textId="77777777" w:rsidR="00BA69B6" w:rsidRPr="00C9716C" w:rsidRDefault="001E4D25">
      <w:pPr>
        <w:rPr>
          <w:rFonts w:ascii="Century Gothic" w:hAnsi="Century Gothic"/>
        </w:rPr>
      </w:pPr>
      <w:r w:rsidRPr="00C9716C">
        <w:rPr>
          <w:rFonts w:ascii="Century Gothic" w:hAnsi="Century Gothic"/>
          <w:b/>
        </w:rPr>
        <w:t xml:space="preserve">Daily pre-session checks. </w:t>
      </w:r>
      <w:r w:rsidRPr="00C9716C">
        <w:rPr>
          <w:rFonts w:ascii="Century Gothic" w:hAnsi="Century Gothic"/>
        </w:rPr>
        <w:t>A recorded sweep, completed as close as reasonably practicable to the session start, covering weather, trees and branches, ground conditions, fire area, structures, equipment, sanitation, access and any new hazard. Unsafe areas are removed from use, controlled or clearly marked.</w:t>
      </w:r>
    </w:p>
    <w:p w14:paraId="6D01A59C" w14:textId="77777777" w:rsidR="00BA69B6" w:rsidRPr="00C9716C" w:rsidRDefault="001E4D25">
      <w:pPr>
        <w:rPr>
          <w:rFonts w:ascii="Century Gothic" w:hAnsi="Century Gothic"/>
        </w:rPr>
      </w:pPr>
      <w:r w:rsidRPr="00C9716C">
        <w:rPr>
          <w:rFonts w:ascii="Century Gothic" w:hAnsi="Century Gothic"/>
          <w:b/>
        </w:rPr>
        <w:t xml:space="preserve">Activity risk–benefit assessments. </w:t>
      </w:r>
      <w:r w:rsidRPr="00C9716C">
        <w:rPr>
          <w:rFonts w:ascii="Century Gothic" w:hAnsi="Century Gothic"/>
        </w:rPr>
        <w:t>Written assessment for planned activities, including fire, water, cooking, ropes, climbing, tool use, natural materials and physical or sensory challenge. Child-led activities are dynamically assessed and recorded afterwards where they introduce a new significant risk.</w:t>
      </w:r>
    </w:p>
    <w:p w14:paraId="733B54F2" w14:textId="77777777" w:rsidR="00BA69B6" w:rsidRPr="00C9716C" w:rsidRDefault="001E4D25">
      <w:pPr>
        <w:rPr>
          <w:rFonts w:ascii="Century Gothic" w:hAnsi="Century Gothic"/>
        </w:rPr>
      </w:pPr>
      <w:r w:rsidRPr="00C9716C">
        <w:rPr>
          <w:rFonts w:ascii="Century Gothic" w:hAnsi="Century Gothic"/>
          <w:b/>
        </w:rPr>
        <w:t xml:space="preserve">Individual child assessments. </w:t>
      </w:r>
      <w:r w:rsidRPr="00C9716C">
        <w:rPr>
          <w:rFonts w:ascii="Century Gothic" w:hAnsi="Century Gothic"/>
        </w:rPr>
        <w:t>Where information from the commissioner, family, EHCP, healthcare plan, behaviour information, known additional need or observed presentation indicates significant risk, an individual risk assessment is agreed and reviewed. It considers communication, sensory or physical needs, medical needs, emotional regulation, absconding, behaviour, supervision, reasonable adjustments and emergency response.</w:t>
      </w:r>
    </w:p>
    <w:p w14:paraId="4636AABF" w14:textId="77777777" w:rsidR="00BA69B6" w:rsidRPr="00C9716C" w:rsidRDefault="001E4D25">
      <w:pPr>
        <w:rPr>
          <w:rFonts w:ascii="Century Gothic" w:hAnsi="Century Gothic"/>
        </w:rPr>
      </w:pPr>
      <w:r w:rsidRPr="00C9716C">
        <w:rPr>
          <w:rFonts w:ascii="Century Gothic" w:hAnsi="Century Gothic"/>
          <w:b/>
        </w:rPr>
        <w:t xml:space="preserve">Lone working. </w:t>
      </w:r>
      <w:r w:rsidRPr="00C9716C">
        <w:rPr>
          <w:rFonts w:ascii="Century Gothic" w:hAnsi="Century Gothic"/>
        </w:rPr>
        <w:t>Lone working is avoided where the task or learner’s needs make it unsafe. Any permitted lone working requires a specific assessment covering suitability, communication, check-in/out, location, first aid, emergency escalation, safeguarding, travel, weather and arrangements if contact is missed.</w:t>
      </w:r>
    </w:p>
    <w:p w14:paraId="3A412B57" w14:textId="77777777" w:rsidR="00BA69B6" w:rsidRPr="00C9716C" w:rsidRDefault="001E4D25">
      <w:pPr>
        <w:rPr>
          <w:rFonts w:ascii="Century Gothic" w:hAnsi="Century Gothic"/>
        </w:rPr>
      </w:pPr>
      <w:r w:rsidRPr="00C9716C">
        <w:rPr>
          <w:rFonts w:ascii="Century Gothic" w:hAnsi="Century Gothic"/>
          <w:b/>
        </w:rPr>
        <w:t xml:space="preserve">Specialist equipment. </w:t>
      </w:r>
      <w:r w:rsidRPr="00C9716C">
        <w:rPr>
          <w:rFonts w:ascii="Century Gothic" w:hAnsi="Century Gothic"/>
        </w:rPr>
        <w:t>Equipment-specific assessment covers selection, inspection, competence, supervision, PPE, safe operating limits, maintenance, storage and withdrawal from use.</w:t>
      </w:r>
    </w:p>
    <w:p w14:paraId="71288D28" w14:textId="77777777" w:rsidR="00BA69B6" w:rsidRPr="00C9716C" w:rsidRDefault="001E4D25">
      <w:pPr>
        <w:rPr>
          <w:rFonts w:ascii="Century Gothic" w:hAnsi="Century Gothic"/>
        </w:rPr>
      </w:pPr>
      <w:r w:rsidRPr="00C9716C">
        <w:rPr>
          <w:rFonts w:ascii="Century Gothic" w:hAnsi="Century Gothic"/>
          <w:b/>
        </w:rPr>
        <w:t xml:space="preserve">Off-site, community or home-based work. </w:t>
      </w:r>
      <w:r w:rsidRPr="00C9716C">
        <w:rPr>
          <w:rFonts w:ascii="Century Gothic" w:hAnsi="Century Gothic"/>
        </w:rPr>
        <w:t>A venue-specific assessment covers access, safeguarding boundaries, fire and evacuation, first aid, communication, welfare, travel, lone working and suitability for the child. Following an incident, safety is reassessed before work resumes and the assessment is revised where needed.</w:t>
      </w:r>
    </w:p>
    <w:p w14:paraId="3BBC2E98" w14:textId="77777777" w:rsidR="00BA69B6" w:rsidRPr="00C9716C" w:rsidRDefault="001E4D25">
      <w:pPr>
        <w:pStyle w:val="Heading2"/>
        <w:rPr>
          <w:rFonts w:ascii="Century Gothic" w:hAnsi="Century Gothic"/>
        </w:rPr>
      </w:pPr>
      <w:r w:rsidRPr="00C9716C">
        <w:rPr>
          <w:rFonts w:ascii="Century Gothic" w:hAnsi="Century Gothic"/>
        </w:rPr>
        <w:t>4.2 Review and dynamic decisions</w:t>
      </w:r>
    </w:p>
    <w:p w14:paraId="3D5448D2" w14:textId="77777777" w:rsidR="00BA69B6" w:rsidRPr="00C9716C" w:rsidRDefault="001E4D25">
      <w:pPr>
        <w:rPr>
          <w:rFonts w:ascii="Century Gothic" w:hAnsi="Century Gothic"/>
        </w:rPr>
      </w:pPr>
      <w:r w:rsidRPr="00C9716C">
        <w:rPr>
          <w:rFonts w:ascii="Century Gothic" w:hAnsi="Century Gothic"/>
        </w:rPr>
        <w:t xml:space="preserve">Assessments are reviewed at least annually, at the stated review date and sooner after an incident or near miss, a significant change in the site, equipment, learner, staffing or activity, new information from a commissioner or family, or revised legislation or guidance. The Session Lead may pause, </w:t>
      </w:r>
      <w:r w:rsidRPr="00C9716C">
        <w:rPr>
          <w:rFonts w:ascii="Century Gothic" w:hAnsi="Century Gothic"/>
        </w:rPr>
        <w:lastRenderedPageBreak/>
        <w:t>adapt or cancel any activity, including because of high winds, electrical storms, extreme temperature, fire risk, flooding or unsafe staffing.</w:t>
      </w:r>
    </w:p>
    <w:p w14:paraId="657A84B1" w14:textId="77777777" w:rsidR="00BA69B6" w:rsidRPr="00C9716C" w:rsidRDefault="001E4D25">
      <w:pPr>
        <w:rPr>
          <w:rFonts w:ascii="Century Gothic" w:hAnsi="Century Gothic"/>
        </w:rPr>
      </w:pPr>
      <w:r w:rsidRPr="00C9716C">
        <w:rPr>
          <w:rFonts w:ascii="Century Gothic" w:hAnsi="Century Gothic"/>
        </w:rPr>
        <w:t>Children and young people are supported, according to age and understanding, to notice hazards, make safer choices and develop dynamic risk-assessment skills. This does not transfer the adult’s duty of care to the child.</w:t>
      </w:r>
    </w:p>
    <w:p w14:paraId="2841636D" w14:textId="77777777" w:rsidR="00BA69B6" w:rsidRPr="00C9716C" w:rsidRDefault="001E4D25">
      <w:pPr>
        <w:pStyle w:val="Heading1"/>
        <w:rPr>
          <w:rFonts w:ascii="Century Gothic" w:hAnsi="Century Gothic"/>
        </w:rPr>
      </w:pPr>
      <w:r w:rsidRPr="00C9716C">
        <w:rPr>
          <w:rFonts w:ascii="Century Gothic" w:hAnsi="Century Gothic"/>
        </w:rPr>
        <w:t>5. Supervision and safe working</w:t>
      </w:r>
    </w:p>
    <w:p w14:paraId="6F90205D" w14:textId="77777777" w:rsidR="00BA69B6" w:rsidRPr="00C9716C" w:rsidRDefault="001E4D25">
      <w:pPr>
        <w:rPr>
          <w:rFonts w:ascii="Century Gothic" w:hAnsi="Century Gothic"/>
        </w:rPr>
      </w:pPr>
      <w:r w:rsidRPr="00C9716C">
        <w:rPr>
          <w:rFonts w:ascii="Century Gothic" w:hAnsi="Century Gothic"/>
        </w:rPr>
        <w:t>Children and young people are supervised throughout their placement. The supervision level is determined by individual need, the environment, staff competence and the activity risk assessment:</w:t>
      </w:r>
    </w:p>
    <w:p w14:paraId="073692D7" w14:textId="77777777" w:rsidR="00BA69B6" w:rsidRPr="00C9716C" w:rsidRDefault="001E4D25">
      <w:pPr>
        <w:pStyle w:val="ListBullet"/>
        <w:rPr>
          <w:rFonts w:ascii="Century Gothic" w:hAnsi="Century Gothic"/>
        </w:rPr>
      </w:pPr>
      <w:r w:rsidRPr="00C9716C">
        <w:rPr>
          <w:rFonts w:ascii="Century Gothic" w:hAnsi="Century Gothic"/>
        </w:rPr>
        <w:t>Constant supervision: An adult is physically present and actively directing or supporting the activity; used for higher-risk activity, early skill acquisition or where an individual assessment requires it.</w:t>
      </w:r>
    </w:p>
    <w:p w14:paraId="53ABE9BE" w14:textId="77777777" w:rsidR="00BA69B6" w:rsidRPr="00C9716C" w:rsidRDefault="001E4D25">
      <w:pPr>
        <w:pStyle w:val="ListBullet"/>
        <w:rPr>
          <w:rFonts w:ascii="Century Gothic" w:hAnsi="Century Gothic"/>
        </w:rPr>
      </w:pPr>
      <w:r w:rsidRPr="00C9716C">
        <w:rPr>
          <w:rFonts w:ascii="Century Gothic" w:hAnsi="Century Gothic"/>
        </w:rPr>
        <w:t>General supervision: An adult remains in the immediate vicinity, observant and ready to intervene; used when the learner has demonstrated relevant skills and the risk assessment permits.</w:t>
      </w:r>
    </w:p>
    <w:p w14:paraId="0532FB3D" w14:textId="77777777" w:rsidR="00BA69B6" w:rsidRPr="00C9716C" w:rsidRDefault="001E4D25">
      <w:pPr>
        <w:pStyle w:val="ListBullet"/>
        <w:rPr>
          <w:rFonts w:ascii="Century Gothic" w:hAnsi="Century Gothic"/>
        </w:rPr>
      </w:pPr>
      <w:r w:rsidRPr="00C9716C">
        <w:rPr>
          <w:rFonts w:ascii="Century Gothic" w:hAnsi="Century Gothic"/>
        </w:rPr>
        <w:t>Low supervision: An adult maintains oversight from an agreed distance for low-risk activity where the learner has demonstrated competence and independence.</w:t>
      </w:r>
    </w:p>
    <w:p w14:paraId="0FDD0524" w14:textId="77777777" w:rsidR="00BA69B6" w:rsidRPr="00C9716C" w:rsidRDefault="001E4D25">
      <w:pPr>
        <w:rPr>
          <w:rFonts w:ascii="Century Gothic" w:hAnsi="Century Gothic"/>
        </w:rPr>
      </w:pPr>
      <w:r w:rsidRPr="00C9716C">
        <w:rPr>
          <w:rFonts w:ascii="Century Gothic" w:hAnsi="Century Gothic"/>
        </w:rPr>
        <w:t>Staffing and supervision arrangements are checked before each session and adjusted if a learner’s presentation, activity, weather, site condition or group dynamics change. Activities will not proceed if safe supervision cannot be provided.</w:t>
      </w:r>
    </w:p>
    <w:p w14:paraId="2D1AEF7A" w14:textId="77777777" w:rsidR="00BA69B6" w:rsidRPr="00C9716C" w:rsidRDefault="001E4D25">
      <w:pPr>
        <w:pStyle w:val="Heading1"/>
        <w:rPr>
          <w:rFonts w:ascii="Century Gothic" w:hAnsi="Century Gothic"/>
        </w:rPr>
      </w:pPr>
      <w:r w:rsidRPr="00C9716C">
        <w:rPr>
          <w:rFonts w:ascii="Century Gothic" w:hAnsi="Century Gothic"/>
        </w:rPr>
        <w:t>6. First aid and medication</w:t>
      </w:r>
    </w:p>
    <w:p w14:paraId="7D61D40A" w14:textId="77777777" w:rsidR="00BA69B6" w:rsidRPr="00C9716C" w:rsidRDefault="001E4D25">
      <w:pPr>
        <w:pStyle w:val="Heading2"/>
        <w:rPr>
          <w:rFonts w:ascii="Century Gothic" w:hAnsi="Century Gothic"/>
        </w:rPr>
      </w:pPr>
      <w:r w:rsidRPr="00C9716C">
        <w:rPr>
          <w:rFonts w:ascii="Century Gothic" w:hAnsi="Century Gothic"/>
        </w:rPr>
        <w:t>6.1 First-aid provision</w:t>
      </w:r>
    </w:p>
    <w:p w14:paraId="2D1070BB" w14:textId="77777777" w:rsidR="00BA69B6" w:rsidRPr="00C9716C" w:rsidRDefault="001E4D25">
      <w:pPr>
        <w:pStyle w:val="ListBullet"/>
        <w:rPr>
          <w:rFonts w:ascii="Century Gothic" w:hAnsi="Century Gothic"/>
        </w:rPr>
      </w:pPr>
      <w:r w:rsidRPr="00C9716C">
        <w:rPr>
          <w:rFonts w:ascii="Century Gothic" w:hAnsi="Century Gothic"/>
        </w:rPr>
        <w:t>At least one appropriately qualified first aider is available on site whenever children and young people are present. The number and type of qualification required are determined by the risk assessment.</w:t>
      </w:r>
    </w:p>
    <w:p w14:paraId="6AC17B64" w14:textId="77777777" w:rsidR="00BA69B6" w:rsidRPr="00C9716C" w:rsidRDefault="001E4D25">
      <w:pPr>
        <w:pStyle w:val="ListBullet"/>
        <w:rPr>
          <w:rFonts w:ascii="Century Gothic" w:hAnsi="Century Gothic"/>
        </w:rPr>
      </w:pPr>
      <w:r w:rsidRPr="00C9716C">
        <w:rPr>
          <w:rFonts w:ascii="Century Gothic" w:hAnsi="Century Gothic"/>
        </w:rPr>
        <w:t>First-aid kits are readily accessible to adults, protected from contamination and clearly identified. A suitable portable kit accompanies off-site or remote woodland activity.</w:t>
      </w:r>
    </w:p>
    <w:p w14:paraId="1BA793C8" w14:textId="77777777" w:rsidR="00BA69B6" w:rsidRPr="00C9716C" w:rsidRDefault="001E4D25">
      <w:pPr>
        <w:pStyle w:val="ListBullet"/>
        <w:rPr>
          <w:rFonts w:ascii="Century Gothic" w:hAnsi="Century Gothic"/>
        </w:rPr>
      </w:pPr>
      <w:r w:rsidRPr="00C9716C">
        <w:rPr>
          <w:rFonts w:ascii="Century Gothic" w:hAnsi="Century Gothic"/>
        </w:rPr>
        <w:t>A charged mobile telephone and working communication equipment are available. Staff know how to direct emergency services to the woodland entrance and incident location.</w:t>
      </w:r>
    </w:p>
    <w:p w14:paraId="06DD1B14" w14:textId="77777777" w:rsidR="00BA69B6" w:rsidRPr="00C9716C" w:rsidRDefault="001E4D25">
      <w:pPr>
        <w:pStyle w:val="ListBullet"/>
        <w:rPr>
          <w:rFonts w:ascii="Century Gothic" w:hAnsi="Century Gothic"/>
        </w:rPr>
      </w:pPr>
      <w:r w:rsidRPr="00C9716C">
        <w:rPr>
          <w:rFonts w:ascii="Century Gothic" w:hAnsi="Century Gothic"/>
        </w:rPr>
        <w:t>First aid is given within the responder’s competence. Emergency services are called whenever the injury, illness or uncertainty requires it; the rest of the group is moved away and supervised safely.</w:t>
      </w:r>
    </w:p>
    <w:p w14:paraId="6B648350" w14:textId="77777777" w:rsidR="00BA69B6" w:rsidRPr="00C9716C" w:rsidRDefault="001E4D25">
      <w:pPr>
        <w:pStyle w:val="Heading2"/>
        <w:rPr>
          <w:rFonts w:ascii="Century Gothic" w:hAnsi="Century Gothic"/>
        </w:rPr>
      </w:pPr>
      <w:r w:rsidRPr="00C9716C">
        <w:rPr>
          <w:rFonts w:ascii="Century Gothic" w:hAnsi="Century Gothic"/>
        </w:rPr>
        <w:t>6.2 First Aid Equipment Book</w:t>
      </w:r>
    </w:p>
    <w:p w14:paraId="0A0E84FC" w14:textId="77777777" w:rsidR="00BA69B6" w:rsidRPr="00C9716C" w:rsidRDefault="001E4D25">
      <w:pPr>
        <w:rPr>
          <w:rFonts w:ascii="Century Gothic" w:hAnsi="Century Gothic"/>
        </w:rPr>
      </w:pPr>
      <w:r w:rsidRPr="00C9716C">
        <w:rPr>
          <w:rFonts w:ascii="Century Gothic" w:hAnsi="Century Gothic"/>
        </w:rPr>
        <w:t>TWiG maintains a dedicated First Aid Equipment Book. A designated person records routine checks of every kit and replacement of used, damaged, contaminated or expired items. Each entry records the date, kit/location, items checked, shortages or expiry dates, action or replacement, person completing the check and date closed. Kits are checked at the frequency set by risk assessment, after use and before any activity where kit availability is critical. Deficiencies are corrected promptly; an inadequate kit must not be relied upon.</w:t>
      </w:r>
    </w:p>
    <w:p w14:paraId="6A1060D5" w14:textId="77777777" w:rsidR="00BA69B6" w:rsidRPr="00C9716C" w:rsidRDefault="001E4D25">
      <w:pPr>
        <w:pStyle w:val="Heading2"/>
        <w:rPr>
          <w:rFonts w:ascii="Century Gothic" w:hAnsi="Century Gothic"/>
        </w:rPr>
      </w:pPr>
      <w:r w:rsidRPr="00C9716C">
        <w:rPr>
          <w:rFonts w:ascii="Century Gothic" w:hAnsi="Century Gothic"/>
        </w:rPr>
        <w:lastRenderedPageBreak/>
        <w:t>6.3 First-aid records and notification</w:t>
      </w:r>
    </w:p>
    <w:p w14:paraId="115FA871" w14:textId="77777777" w:rsidR="00BA69B6" w:rsidRPr="00C9716C" w:rsidRDefault="001E4D25">
      <w:pPr>
        <w:rPr>
          <w:rFonts w:ascii="Century Gothic" w:hAnsi="Century Gothic"/>
        </w:rPr>
      </w:pPr>
      <w:r w:rsidRPr="00C9716C">
        <w:rPr>
          <w:rFonts w:ascii="Century Gothic" w:hAnsi="Century Gothic"/>
        </w:rPr>
        <w:t>Every first-aid treatment is entered promptly in the dedicated First Aid Record. The record includes the learner/person, date, time, place, circumstances, injury or illness, treatment, first aider, outcome and notifications made. Parent carers are informed promptly. For commissioned learners, the school or commissioner is informed without delay of any first-aid incident, accident or concern in accordance with the placement agreement and immediately where the matter is serious, safeguarding-relevant or may affect ongoing safety.</w:t>
      </w:r>
    </w:p>
    <w:p w14:paraId="1DCDC175" w14:textId="77777777" w:rsidR="00BA69B6" w:rsidRPr="00C9716C" w:rsidRDefault="001E4D25">
      <w:pPr>
        <w:pStyle w:val="Heading2"/>
        <w:rPr>
          <w:rFonts w:ascii="Century Gothic" w:hAnsi="Century Gothic"/>
        </w:rPr>
      </w:pPr>
      <w:r w:rsidRPr="00C9716C">
        <w:rPr>
          <w:rFonts w:ascii="Century Gothic" w:hAnsi="Century Gothic"/>
        </w:rPr>
        <w:t>6.4 Medication</w:t>
      </w:r>
    </w:p>
    <w:p w14:paraId="79836723" w14:textId="77777777" w:rsidR="00BA69B6" w:rsidRPr="00C9716C" w:rsidRDefault="001E4D25">
      <w:pPr>
        <w:rPr>
          <w:rFonts w:ascii="Century Gothic" w:hAnsi="Century Gothic"/>
        </w:rPr>
      </w:pPr>
      <w:r w:rsidRPr="00C9716C">
        <w:rPr>
          <w:rFonts w:ascii="Century Gothic" w:hAnsi="Century Gothic"/>
        </w:rPr>
        <w:t>Medication must be supplied in its original packaging with the pharmacy/dispensing label and dosage instructions visible, unless an agreed healthcare plan or emergency arrangement lawfully provides otherwise. It is stored securely, out of children’s reach but accessible to authorised staff, at the required temperature. A medication log records receipt, administration, refusal, omission, return and disposal. Only authorised, trained staff administer medication in accordance with the child’s plan and TWiG’s medication procedure.</w:t>
      </w:r>
    </w:p>
    <w:p w14:paraId="4118AE6A" w14:textId="77777777" w:rsidR="00BA69B6" w:rsidRPr="00C9716C" w:rsidRDefault="001E4D25">
      <w:pPr>
        <w:pStyle w:val="Heading1"/>
        <w:rPr>
          <w:rFonts w:ascii="Century Gothic" w:hAnsi="Century Gothic"/>
        </w:rPr>
      </w:pPr>
      <w:r w:rsidRPr="00C9716C">
        <w:rPr>
          <w:rFonts w:ascii="Century Gothic" w:hAnsi="Century Gothic"/>
        </w:rPr>
        <w:t>7. Accident, incident, near-miss and RIDDOR reporting</w:t>
      </w:r>
    </w:p>
    <w:p w14:paraId="6AE7E65B" w14:textId="77777777" w:rsidR="00BA69B6" w:rsidRPr="00C9716C" w:rsidRDefault="001E4D25">
      <w:pPr>
        <w:rPr>
          <w:rFonts w:ascii="Century Gothic" w:hAnsi="Century Gothic"/>
        </w:rPr>
      </w:pPr>
      <w:r w:rsidRPr="00C9716C">
        <w:rPr>
          <w:rFonts w:ascii="Century Gothic" w:hAnsi="Century Gothic"/>
        </w:rPr>
        <w:t>All accidents, incidents, near misses, work-related ill health and significant hazards must be reported to the Session Lead or Managing Partner as soon as it is safe to do so and recorded accurately. Records are factual, timed, signed and stored securely.</w:t>
      </w:r>
    </w:p>
    <w:p w14:paraId="5D7D26B2" w14:textId="77777777" w:rsidR="00BA69B6" w:rsidRPr="00C9716C" w:rsidRDefault="001E4D25">
      <w:pPr>
        <w:pStyle w:val="ListNumber"/>
        <w:rPr>
          <w:rFonts w:ascii="Century Gothic" w:hAnsi="Century Gothic"/>
        </w:rPr>
      </w:pPr>
      <w:r w:rsidRPr="00C9716C">
        <w:rPr>
          <w:rFonts w:ascii="Century Gothic" w:hAnsi="Century Gothic"/>
        </w:rPr>
        <w:t>Make the situation safe, provide first aid and contact emergency services where necessary.</w:t>
      </w:r>
    </w:p>
    <w:p w14:paraId="25425B66" w14:textId="77777777" w:rsidR="00BA69B6" w:rsidRPr="00C9716C" w:rsidRDefault="001E4D25">
      <w:pPr>
        <w:pStyle w:val="ListNumber"/>
        <w:rPr>
          <w:rFonts w:ascii="Century Gothic" w:hAnsi="Century Gothic"/>
        </w:rPr>
      </w:pPr>
      <w:r w:rsidRPr="00C9716C">
        <w:rPr>
          <w:rFonts w:ascii="Century Gothic" w:hAnsi="Century Gothic"/>
        </w:rPr>
        <w:t>Protect and supervise other children and preserve relevant evidence without delaying care.</w:t>
      </w:r>
    </w:p>
    <w:p w14:paraId="7DB91EA2" w14:textId="77777777" w:rsidR="00BA69B6" w:rsidRPr="00C9716C" w:rsidRDefault="001E4D25">
      <w:pPr>
        <w:pStyle w:val="ListNumber"/>
        <w:rPr>
          <w:rFonts w:ascii="Century Gothic" w:hAnsi="Century Gothic"/>
        </w:rPr>
      </w:pPr>
      <w:r w:rsidRPr="00C9716C">
        <w:rPr>
          <w:rFonts w:ascii="Century Gothic" w:hAnsi="Century Gothic"/>
        </w:rPr>
        <w:t>Notify the parent carer and, for commissioned placements, notify the school/commissioner without delay. Record who was contacted, when, how and any advice or action agreed.</w:t>
      </w:r>
    </w:p>
    <w:p w14:paraId="41D9311A" w14:textId="77777777" w:rsidR="00BA69B6" w:rsidRPr="00C9716C" w:rsidRDefault="001E4D25">
      <w:pPr>
        <w:pStyle w:val="ListNumber"/>
        <w:rPr>
          <w:rFonts w:ascii="Century Gothic" w:hAnsi="Century Gothic"/>
        </w:rPr>
      </w:pPr>
      <w:r w:rsidRPr="00C9716C">
        <w:rPr>
          <w:rFonts w:ascii="Century Gothic" w:hAnsi="Century Gothic"/>
        </w:rPr>
        <w:t>Complete the relevant first-aid, accident/incident or near-miss record as soon as practicable.</w:t>
      </w:r>
    </w:p>
    <w:p w14:paraId="443D7CD9" w14:textId="77777777" w:rsidR="00BA69B6" w:rsidRPr="00C9716C" w:rsidRDefault="001E4D25">
      <w:pPr>
        <w:pStyle w:val="ListNumber"/>
        <w:rPr>
          <w:rFonts w:ascii="Century Gothic" w:hAnsi="Century Gothic"/>
        </w:rPr>
      </w:pPr>
      <w:r w:rsidRPr="00C9716C">
        <w:rPr>
          <w:rFonts w:ascii="Century Gothic" w:hAnsi="Century Gothic"/>
        </w:rPr>
        <w:t>The Managing Partner reviews the event, determines whether safeguarding, insurance, environmental health, HSE/RIDDOR or other external reporting is required, and makes any required report within the statutory timescale.</w:t>
      </w:r>
    </w:p>
    <w:p w14:paraId="05EB78D6" w14:textId="77777777" w:rsidR="00BA69B6" w:rsidRPr="00C9716C" w:rsidRDefault="001E4D25">
      <w:pPr>
        <w:pStyle w:val="ListNumber"/>
        <w:rPr>
          <w:rFonts w:ascii="Century Gothic" w:hAnsi="Century Gothic"/>
        </w:rPr>
      </w:pPr>
      <w:r w:rsidRPr="00C9716C">
        <w:rPr>
          <w:rFonts w:ascii="Century Gothic" w:hAnsi="Century Gothic"/>
        </w:rPr>
        <w:t>Reassess the site, activity, equipment and individual child’s safety; record corrective action before the activity or placement resumes where appropriate.</w:t>
      </w:r>
    </w:p>
    <w:p w14:paraId="358761B7" w14:textId="77777777" w:rsidR="00BA69B6" w:rsidRPr="00C9716C" w:rsidRDefault="001E4D25">
      <w:pPr>
        <w:rPr>
          <w:rFonts w:ascii="Century Gothic" w:hAnsi="Century Gothic"/>
        </w:rPr>
      </w:pPr>
      <w:r w:rsidRPr="00C9716C">
        <w:rPr>
          <w:rFonts w:ascii="Century Gothic" w:hAnsi="Century Gothic"/>
        </w:rPr>
        <w:t>RIDDOR reports are made only where the legal reporting criteria are met. The Managing Partners use current HSE guidance to decide reportability and retain the report reference and supporting investigation record.</w:t>
      </w:r>
    </w:p>
    <w:p w14:paraId="25BC7742" w14:textId="77777777" w:rsidR="00BA69B6" w:rsidRPr="00C9716C" w:rsidRDefault="001E4D25">
      <w:pPr>
        <w:rPr>
          <w:rFonts w:ascii="Century Gothic" w:hAnsi="Century Gothic"/>
        </w:rPr>
      </w:pPr>
      <w:r w:rsidRPr="00C9716C">
        <w:rPr>
          <w:rFonts w:ascii="Century Gothic" w:hAnsi="Century Gothic"/>
        </w:rPr>
        <w:t>Accident, first-aid, incident and near-miss records are reviewed at least monthly for patterns, recurring hazards and effectiveness of controls. Significant findings are reflected in risk assessments, maintenance, training and policy review.</w:t>
      </w:r>
    </w:p>
    <w:p w14:paraId="4A37E748" w14:textId="77777777" w:rsidR="00BA69B6" w:rsidRPr="00C9716C" w:rsidRDefault="001E4D25">
      <w:pPr>
        <w:pStyle w:val="Heading1"/>
        <w:rPr>
          <w:rFonts w:ascii="Century Gothic" w:hAnsi="Century Gothic"/>
        </w:rPr>
      </w:pPr>
      <w:r w:rsidRPr="00C9716C">
        <w:rPr>
          <w:rFonts w:ascii="Century Gothic" w:hAnsi="Century Gothic"/>
        </w:rPr>
        <w:t>8. Tools, specialist equipment and maintenance</w:t>
      </w:r>
    </w:p>
    <w:p w14:paraId="5DB099DC" w14:textId="77777777" w:rsidR="00BA69B6" w:rsidRPr="00C9716C" w:rsidRDefault="001E4D25">
      <w:pPr>
        <w:pStyle w:val="Heading2"/>
        <w:rPr>
          <w:rFonts w:ascii="Century Gothic" w:hAnsi="Century Gothic"/>
        </w:rPr>
      </w:pPr>
      <w:r w:rsidRPr="00C9716C">
        <w:rPr>
          <w:rFonts w:ascii="Century Gothic" w:hAnsi="Century Gothic"/>
        </w:rPr>
        <w:t>8.1 Tool Sign-In/Out Book</w:t>
      </w:r>
    </w:p>
    <w:p w14:paraId="5B0B6B8E" w14:textId="77777777" w:rsidR="00BA69B6" w:rsidRPr="00C9716C" w:rsidRDefault="001E4D25">
      <w:pPr>
        <w:rPr>
          <w:rFonts w:ascii="Century Gothic" w:hAnsi="Century Gothic"/>
        </w:rPr>
      </w:pPr>
      <w:r w:rsidRPr="00C9716C">
        <w:rPr>
          <w:rFonts w:ascii="Century Gothic" w:hAnsi="Century Gothic"/>
        </w:rPr>
        <w:t xml:space="preserve">All controlled tools issued for use are entered in the Tool Sign-In/Out Book. The record identifies the date and session, tool/unique identifier where applicable, person issuing, authorised user or activity </w:t>
      </w:r>
      <w:r w:rsidRPr="00C9716C">
        <w:rPr>
          <w:rFonts w:ascii="Century Gothic" w:hAnsi="Century Gothic"/>
        </w:rPr>
        <w:lastRenderedPageBreak/>
        <w:t>group, time out, condition at issue, time returned, condition on return and the person confirming safe storage. Missing, damaged or unreturned tools are escalated immediately and the area is made safe before children leave where required.</w:t>
      </w:r>
    </w:p>
    <w:p w14:paraId="602A103C" w14:textId="77777777" w:rsidR="00BA69B6" w:rsidRPr="00C9716C" w:rsidRDefault="001E4D25">
      <w:pPr>
        <w:pStyle w:val="Heading2"/>
        <w:rPr>
          <w:rFonts w:ascii="Century Gothic" w:hAnsi="Century Gothic"/>
        </w:rPr>
      </w:pPr>
      <w:r w:rsidRPr="00C9716C">
        <w:rPr>
          <w:rFonts w:ascii="Century Gothic" w:hAnsi="Century Gothic"/>
        </w:rPr>
        <w:t>8.2 Selection, use and supervision</w:t>
      </w:r>
    </w:p>
    <w:p w14:paraId="48BDABFB" w14:textId="77777777" w:rsidR="00BA69B6" w:rsidRPr="00C9716C" w:rsidRDefault="001E4D25">
      <w:pPr>
        <w:pStyle w:val="ListBullet"/>
        <w:rPr>
          <w:rFonts w:ascii="Century Gothic" w:hAnsi="Century Gothic"/>
        </w:rPr>
      </w:pPr>
      <w:r w:rsidRPr="00C9716C">
        <w:rPr>
          <w:rFonts w:ascii="Century Gothic" w:hAnsi="Century Gothic"/>
        </w:rPr>
        <w:t>Tools and specialist equipment are suitable for the task, learner, environment and expected load, and comply with applicable standards and manufacturer instructions.</w:t>
      </w:r>
    </w:p>
    <w:p w14:paraId="2F7BA263" w14:textId="77777777" w:rsidR="00BA69B6" w:rsidRPr="00C9716C" w:rsidRDefault="001E4D25">
      <w:pPr>
        <w:pStyle w:val="ListBullet"/>
        <w:rPr>
          <w:rFonts w:ascii="Century Gothic" w:hAnsi="Century Gothic"/>
        </w:rPr>
      </w:pPr>
      <w:r w:rsidRPr="00C9716C">
        <w:rPr>
          <w:rFonts w:ascii="Century Gothic" w:hAnsi="Century Gothic"/>
        </w:rPr>
        <w:t>Only competent and authorised people use or lead specialist equipment. Learners receive a clear safety briefing, demonstration and supervision proportionate to competence and risk.</w:t>
      </w:r>
    </w:p>
    <w:p w14:paraId="35118084" w14:textId="77777777" w:rsidR="00BA69B6" w:rsidRPr="00C9716C" w:rsidRDefault="001E4D25">
      <w:pPr>
        <w:pStyle w:val="ListBullet"/>
        <w:rPr>
          <w:rFonts w:ascii="Century Gothic" w:hAnsi="Century Gothic"/>
        </w:rPr>
      </w:pPr>
      <w:r w:rsidRPr="00C9716C">
        <w:rPr>
          <w:rFonts w:ascii="Century Gothic" w:hAnsi="Century Gothic"/>
        </w:rPr>
        <w:t>PPE is selected through risk assessment, correctly fitted, maintained and used where required. PPE does not replace higher-order controls.</w:t>
      </w:r>
    </w:p>
    <w:p w14:paraId="7B7C058A" w14:textId="77777777" w:rsidR="00BA69B6" w:rsidRPr="00C9716C" w:rsidRDefault="001E4D25">
      <w:pPr>
        <w:pStyle w:val="ListBullet"/>
        <w:rPr>
          <w:rFonts w:ascii="Century Gothic" w:hAnsi="Century Gothic"/>
        </w:rPr>
      </w:pPr>
      <w:r w:rsidRPr="00C9716C">
        <w:rPr>
          <w:rFonts w:ascii="Century Gothic" w:hAnsi="Century Gothic"/>
        </w:rPr>
        <w:t>Blades are covered or sheathed when not in use; tools are counted, cleaned and stored securely after each session. Power equipment and fuels are inaccessible to children unless specifically controlled for an authorised activity.</w:t>
      </w:r>
    </w:p>
    <w:p w14:paraId="5FED8B2C" w14:textId="77777777" w:rsidR="00BA69B6" w:rsidRPr="00C9716C" w:rsidRDefault="001E4D25">
      <w:pPr>
        <w:pStyle w:val="ListBullet"/>
        <w:rPr>
          <w:rFonts w:ascii="Century Gothic" w:hAnsi="Century Gothic"/>
        </w:rPr>
      </w:pPr>
      <w:r w:rsidRPr="00C9716C">
        <w:rPr>
          <w:rFonts w:ascii="Century Gothic" w:hAnsi="Century Gothic"/>
        </w:rPr>
        <w:t>Any item suspected to be unsafe is labelled or isolated, withdrawn from use immediately and entered in the Maintenance Book. It is not returned to service until checked and authorised by a competent person.</w:t>
      </w:r>
    </w:p>
    <w:p w14:paraId="3701038E" w14:textId="77777777" w:rsidR="00BA69B6" w:rsidRPr="00C9716C" w:rsidRDefault="001E4D25">
      <w:pPr>
        <w:pStyle w:val="Heading2"/>
        <w:rPr>
          <w:rFonts w:ascii="Century Gothic" w:hAnsi="Century Gothic"/>
        </w:rPr>
      </w:pPr>
      <w:r w:rsidRPr="00C9716C">
        <w:rPr>
          <w:rFonts w:ascii="Century Gothic" w:hAnsi="Century Gothic"/>
        </w:rPr>
        <w:t>8.3 Inspection and the Maintenance Book</w:t>
      </w:r>
    </w:p>
    <w:p w14:paraId="3CF23FFE" w14:textId="77777777" w:rsidR="00BA69B6" w:rsidRPr="00C9716C" w:rsidRDefault="001E4D25">
      <w:pPr>
        <w:rPr>
          <w:rFonts w:ascii="Century Gothic" w:hAnsi="Century Gothic"/>
        </w:rPr>
      </w:pPr>
      <w:r w:rsidRPr="00C9716C">
        <w:rPr>
          <w:rFonts w:ascii="Century Gothic" w:hAnsi="Century Gothic"/>
        </w:rPr>
        <w:t>Pre-use visual and functional checks are completed by the user or activity lead. Formal inspections and servicing are completed by a competent person at intervals set by the manufacturer, industry standards and TWiG’s risk assessment. This includes relevant tools, ropes, climbing or suspension equipment, fire equipment, structures, electrical items and other specialist equipment.</w:t>
      </w:r>
    </w:p>
    <w:p w14:paraId="348DD235" w14:textId="77777777" w:rsidR="00BA69B6" w:rsidRPr="00C9716C" w:rsidRDefault="001E4D25">
      <w:pPr>
        <w:rPr>
          <w:rFonts w:ascii="Century Gothic" w:hAnsi="Century Gothic"/>
        </w:rPr>
      </w:pPr>
      <w:r w:rsidRPr="00C9716C">
        <w:rPr>
          <w:rFonts w:ascii="Century Gothic" w:hAnsi="Century Gothic"/>
        </w:rPr>
        <w:t>The Maintenance Book is the central record of defects and maintenance tasks. Each entry records the date reported, asset/location, defect or task, risk and interim control, responsible person, target date, work completed, parts/replacement, competent person or contractor, completion date and verification that the item/area is safe to return to use. Managing Partners review open actions regularly and escalate overdue safety-critical work.</w:t>
      </w:r>
    </w:p>
    <w:p w14:paraId="3FC61A6A" w14:textId="77777777" w:rsidR="00BA69B6" w:rsidRPr="00C9716C" w:rsidRDefault="001E4D25">
      <w:pPr>
        <w:pStyle w:val="Heading1"/>
        <w:rPr>
          <w:rFonts w:ascii="Century Gothic" w:hAnsi="Century Gothic"/>
        </w:rPr>
      </w:pPr>
      <w:r w:rsidRPr="00C9716C">
        <w:rPr>
          <w:rFonts w:ascii="Century Gothic" w:hAnsi="Century Gothic"/>
        </w:rPr>
        <w:t>9. Site, premises, access and welfare</w:t>
      </w:r>
    </w:p>
    <w:p w14:paraId="2DF02236" w14:textId="77777777" w:rsidR="00BA69B6" w:rsidRPr="00C9716C" w:rsidRDefault="001E4D25">
      <w:pPr>
        <w:pStyle w:val="ListBullet"/>
        <w:rPr>
          <w:rFonts w:ascii="Century Gothic" w:hAnsi="Century Gothic"/>
        </w:rPr>
      </w:pPr>
      <w:r w:rsidRPr="00C9716C">
        <w:rPr>
          <w:rFonts w:ascii="Century Gothic" w:hAnsi="Century Gothic"/>
        </w:rPr>
        <w:t>A seasonal site assessment and recorded daily check are completed. Tree, branch, water, ground, structure, waste, boundary, access, weather and public-interface hazards are considered.</w:t>
      </w:r>
    </w:p>
    <w:p w14:paraId="705D32F4" w14:textId="77777777" w:rsidR="00BA69B6" w:rsidRPr="00C9716C" w:rsidRDefault="001E4D25">
      <w:pPr>
        <w:pStyle w:val="ListBullet"/>
        <w:rPr>
          <w:rFonts w:ascii="Century Gothic" w:hAnsi="Century Gothic"/>
        </w:rPr>
      </w:pPr>
      <w:r w:rsidRPr="00C9716C">
        <w:rPr>
          <w:rFonts w:ascii="Century Gothic" w:hAnsi="Century Gothic"/>
        </w:rPr>
        <w:t>Visitors and contractors pre-arrange attendance where practicable, identify themselves, sign in and out, receive site information and remain supervised unless their role and risk assessment permit otherwise.</w:t>
      </w:r>
    </w:p>
    <w:p w14:paraId="4278A377" w14:textId="77777777" w:rsidR="00BA69B6" w:rsidRPr="00C9716C" w:rsidRDefault="001E4D25">
      <w:pPr>
        <w:pStyle w:val="ListBullet"/>
        <w:rPr>
          <w:rFonts w:ascii="Century Gothic" w:hAnsi="Century Gothic"/>
        </w:rPr>
      </w:pPr>
      <w:r w:rsidRPr="00C9716C">
        <w:rPr>
          <w:rFonts w:ascii="Century Gothic" w:hAnsi="Century Gothic"/>
        </w:rPr>
        <w:t>Arrival, departure and social-time supervision are planned. Attendance is reconciled and children are released only to authorised arrangements.</w:t>
      </w:r>
    </w:p>
    <w:p w14:paraId="2923EA91" w14:textId="77777777" w:rsidR="00BA69B6" w:rsidRPr="00C9716C" w:rsidRDefault="001E4D25">
      <w:pPr>
        <w:pStyle w:val="ListBullet"/>
        <w:rPr>
          <w:rFonts w:ascii="Century Gothic" w:hAnsi="Century Gothic"/>
        </w:rPr>
      </w:pPr>
      <w:r w:rsidRPr="00C9716C">
        <w:rPr>
          <w:rFonts w:ascii="Century Gothic" w:hAnsi="Century Gothic"/>
        </w:rPr>
        <w:t>Drinking water, hand hygiene, toileting, shelter, rest and appropriate clothing arrangements are maintained. Welfare provision is adapted to weather and individual need.</w:t>
      </w:r>
    </w:p>
    <w:p w14:paraId="61EA8A73" w14:textId="77777777" w:rsidR="00BA69B6" w:rsidRPr="00C9716C" w:rsidRDefault="001E4D25">
      <w:pPr>
        <w:pStyle w:val="ListBullet"/>
        <w:rPr>
          <w:rFonts w:ascii="Century Gothic" w:hAnsi="Century Gothic"/>
        </w:rPr>
      </w:pPr>
      <w:r w:rsidRPr="00C9716C">
        <w:rPr>
          <w:rFonts w:ascii="Century Gothic" w:hAnsi="Century Gothic"/>
        </w:rPr>
        <w:t>At session end, staff account for children, people, tools and equipment, secure fire and hazardous materials, remove or manage waste and leave the site safe and tidy.</w:t>
      </w:r>
    </w:p>
    <w:p w14:paraId="7DCE4C71" w14:textId="77777777" w:rsidR="00BA69B6" w:rsidRPr="00C9716C" w:rsidRDefault="001E4D25">
      <w:pPr>
        <w:pStyle w:val="ListBullet"/>
        <w:rPr>
          <w:rFonts w:ascii="Century Gothic" w:hAnsi="Century Gothic"/>
        </w:rPr>
      </w:pPr>
      <w:r w:rsidRPr="00C9716C">
        <w:rPr>
          <w:rFonts w:ascii="Century Gothic" w:hAnsi="Century Gothic"/>
        </w:rPr>
        <w:t>Smoking and vaping are prohibited within the woodland and any area where children may see or be affected by it. Alcohol or impairment by drugs is prohibited during work.</w:t>
      </w:r>
    </w:p>
    <w:p w14:paraId="6E57961D" w14:textId="77777777" w:rsidR="00BA69B6" w:rsidRPr="00C9716C" w:rsidRDefault="001E4D25">
      <w:pPr>
        <w:pStyle w:val="Heading1"/>
        <w:rPr>
          <w:rFonts w:ascii="Century Gothic" w:hAnsi="Century Gothic"/>
        </w:rPr>
      </w:pPr>
      <w:r w:rsidRPr="00C9716C">
        <w:rPr>
          <w:rFonts w:ascii="Century Gothic" w:hAnsi="Century Gothic"/>
        </w:rPr>
        <w:lastRenderedPageBreak/>
        <w:t>10. Fire safety and emergency arrangements</w:t>
      </w:r>
    </w:p>
    <w:p w14:paraId="3126DB89" w14:textId="77777777" w:rsidR="00BA69B6" w:rsidRPr="00C9716C" w:rsidRDefault="001E4D25">
      <w:pPr>
        <w:rPr>
          <w:rFonts w:ascii="Century Gothic" w:hAnsi="Century Gothic"/>
        </w:rPr>
      </w:pPr>
      <w:r w:rsidRPr="00C9716C">
        <w:rPr>
          <w:rFonts w:ascii="Century Gothic" w:hAnsi="Century Gothic"/>
        </w:rPr>
        <w:t>A fire risk assessment covers buildings/structures, outdoor fires, fuels, ignition sources, evacuation routes, assembly arrangements, communications and vulnerable individuals. Fire detection and alarm arrangements are appropriate to the setting; in the woodland, the agreed emergency signal is explained and tested through drills or familiarisation.</w:t>
      </w:r>
    </w:p>
    <w:p w14:paraId="3AC0DA21" w14:textId="77777777" w:rsidR="00BA69B6" w:rsidRPr="00C9716C" w:rsidRDefault="001E4D25">
      <w:pPr>
        <w:pStyle w:val="ListBullet"/>
        <w:rPr>
          <w:rFonts w:ascii="Century Gothic" w:hAnsi="Century Gothic"/>
        </w:rPr>
      </w:pPr>
      <w:r w:rsidRPr="00C9716C">
        <w:rPr>
          <w:rFonts w:ascii="Century Gothic" w:hAnsi="Century Gothic"/>
        </w:rPr>
        <w:t>Only authorised staff light or supervise fires. Fire activities have a current risk assessment, clear boundary, suitable extinguishing water/equipment and one-to-one oversight during ignition where required.</w:t>
      </w:r>
    </w:p>
    <w:p w14:paraId="137D0925" w14:textId="77777777" w:rsidR="00BA69B6" w:rsidRPr="00C9716C" w:rsidRDefault="001E4D25">
      <w:pPr>
        <w:pStyle w:val="ListBullet"/>
        <w:rPr>
          <w:rFonts w:ascii="Century Gothic" w:hAnsi="Century Gothic"/>
        </w:rPr>
      </w:pPr>
      <w:r w:rsidRPr="00C9716C">
        <w:rPr>
          <w:rFonts w:ascii="Century Gothic" w:hAnsi="Century Gothic"/>
        </w:rPr>
        <w:t>Fuel and ignition equipment are stored securely. Flammable substances are kept away from children and sources of ignition.</w:t>
      </w:r>
    </w:p>
    <w:p w14:paraId="3ED48C29" w14:textId="77777777" w:rsidR="00BA69B6" w:rsidRPr="00C9716C" w:rsidRDefault="001E4D25">
      <w:pPr>
        <w:pStyle w:val="ListBullet"/>
        <w:rPr>
          <w:rFonts w:ascii="Century Gothic" w:hAnsi="Century Gothic"/>
        </w:rPr>
      </w:pPr>
      <w:r w:rsidRPr="00C9716C">
        <w:rPr>
          <w:rFonts w:ascii="Century Gothic" w:hAnsi="Century Gothic"/>
        </w:rPr>
        <w:t>The Session Lead considers weather, ground conditions and local fire-risk warnings before allowing a fire. Fires are fully extinguished and cold before the area is left.</w:t>
      </w:r>
    </w:p>
    <w:p w14:paraId="7B11D1D0" w14:textId="77777777" w:rsidR="00BA69B6" w:rsidRPr="00C9716C" w:rsidRDefault="001E4D25">
      <w:pPr>
        <w:pStyle w:val="ListBullet"/>
        <w:rPr>
          <w:rFonts w:ascii="Century Gothic" w:hAnsi="Century Gothic"/>
        </w:rPr>
      </w:pPr>
      <w:r w:rsidRPr="00C9716C">
        <w:rPr>
          <w:rFonts w:ascii="Century Gothic" w:hAnsi="Century Gothic"/>
        </w:rPr>
        <w:t>Children are familiarised with the emergency signal, assembly point and expectation to stop, gather, remain quiet and follow instructions. Evacuation practice and learning are recorded.</w:t>
      </w:r>
    </w:p>
    <w:p w14:paraId="75AB1F5B" w14:textId="77777777" w:rsidR="00BA69B6" w:rsidRPr="00C9716C" w:rsidRDefault="001E4D25">
      <w:pPr>
        <w:pStyle w:val="ListBullet"/>
        <w:rPr>
          <w:rFonts w:ascii="Century Gothic" w:hAnsi="Century Gothic"/>
        </w:rPr>
      </w:pPr>
      <w:r w:rsidRPr="00C9716C">
        <w:rPr>
          <w:rFonts w:ascii="Century Gothic" w:hAnsi="Century Gothic"/>
        </w:rPr>
        <w:t>Fire-safety equipment checks, drills, defects and corrective actions are recorded in the relevant log and Maintenance Book.</w:t>
      </w:r>
    </w:p>
    <w:tbl>
      <w:tblPr>
        <w:tblStyle w:val="TableGrid"/>
        <w:tblW w:w="9740" w:type="dxa"/>
        <w:tblLayout w:type="fixed"/>
        <w:tblLook w:val="04A0" w:firstRow="1" w:lastRow="0" w:firstColumn="1" w:lastColumn="0" w:noHBand="0" w:noVBand="1"/>
      </w:tblPr>
      <w:tblGrid>
        <w:gridCol w:w="9740"/>
      </w:tblGrid>
      <w:tr w:rsidR="00BA69B6" w:rsidRPr="00C9716C" w14:paraId="40E6F917" w14:textId="77777777">
        <w:tc>
          <w:tcPr>
            <w:tcW w:w="9740" w:type="dxa"/>
            <w:shd w:val="clear" w:color="auto" w:fill="F6E8E8"/>
            <w:tcMar>
              <w:top w:w="80" w:type="dxa"/>
              <w:left w:w="110" w:type="dxa"/>
              <w:bottom w:w="80" w:type="dxa"/>
              <w:right w:w="110" w:type="dxa"/>
            </w:tcMar>
            <w:vAlign w:val="center"/>
          </w:tcPr>
          <w:p w14:paraId="40DEDD92" w14:textId="77777777" w:rsidR="00BA69B6" w:rsidRPr="00C9716C" w:rsidRDefault="001E4D25">
            <w:pPr>
              <w:spacing w:after="20" w:line="240" w:lineRule="auto"/>
              <w:rPr>
                <w:rFonts w:ascii="Century Gothic" w:hAnsi="Century Gothic"/>
              </w:rPr>
            </w:pPr>
            <w:r w:rsidRPr="00C9716C">
              <w:rPr>
                <w:rFonts w:ascii="Century Gothic" w:hAnsi="Century Gothic"/>
                <w:b/>
                <w:color w:val="375A3B"/>
              </w:rPr>
              <w:t xml:space="preserve">Emergency information  </w:t>
            </w:r>
            <w:r w:rsidRPr="00C9716C">
              <w:rPr>
                <w:rFonts w:ascii="Century Gothic" w:hAnsi="Century Gothic"/>
              </w:rPr>
              <w:t>Call 999 for an emergency. Woodland access: Intwood Road, Cringleford, NR4 6TG. A nominated adult meets the emergency service at the entrance and directs responders to the incident.</w:t>
            </w:r>
          </w:p>
        </w:tc>
      </w:tr>
    </w:tbl>
    <w:p w14:paraId="77EEB308" w14:textId="77777777" w:rsidR="00BA69B6" w:rsidRPr="00C9716C" w:rsidRDefault="001E4D25">
      <w:pPr>
        <w:pStyle w:val="Heading1"/>
        <w:rPr>
          <w:rFonts w:ascii="Century Gothic" w:hAnsi="Century Gothic"/>
        </w:rPr>
      </w:pPr>
      <w:r w:rsidRPr="00C9716C">
        <w:rPr>
          <w:rFonts w:ascii="Century Gothic" w:hAnsi="Century Gothic"/>
        </w:rPr>
        <w:t>11. COSHH, hygiene, food and environmental controls</w:t>
      </w:r>
    </w:p>
    <w:p w14:paraId="1B572548" w14:textId="77777777" w:rsidR="00BA69B6" w:rsidRPr="00C9716C" w:rsidRDefault="001E4D25">
      <w:pPr>
        <w:pStyle w:val="Heading2"/>
        <w:rPr>
          <w:rFonts w:ascii="Century Gothic" w:hAnsi="Century Gothic"/>
        </w:rPr>
      </w:pPr>
      <w:r w:rsidRPr="00C9716C">
        <w:rPr>
          <w:rFonts w:ascii="Century Gothic" w:hAnsi="Century Gothic"/>
        </w:rPr>
        <w:t>11.1 Hazardous substances</w:t>
      </w:r>
    </w:p>
    <w:p w14:paraId="793DF9DE" w14:textId="77777777" w:rsidR="00BA69B6" w:rsidRPr="00C9716C" w:rsidRDefault="001E4D25">
      <w:pPr>
        <w:rPr>
          <w:rFonts w:ascii="Century Gothic" w:hAnsi="Century Gothic"/>
        </w:rPr>
      </w:pPr>
      <w:r w:rsidRPr="00C9716C">
        <w:rPr>
          <w:rFonts w:ascii="Century Gothic" w:hAnsi="Century Gothic"/>
        </w:rPr>
        <w:t>TWiG avoids hazardous substances where reasonably practicable. A COSHH assessment and current safety data sheet are retained where exposure could cause harm. Substances remain in labelled containers, are stored securely and used only by informed, competent persons with the specified controls and PPE. Spill, exposure and disposal arrangements are included in the assessment.</w:t>
      </w:r>
    </w:p>
    <w:p w14:paraId="59A7BB20" w14:textId="77777777" w:rsidR="00BA69B6" w:rsidRPr="00C9716C" w:rsidRDefault="001E4D25">
      <w:pPr>
        <w:pStyle w:val="Heading2"/>
        <w:rPr>
          <w:rFonts w:ascii="Century Gothic" w:hAnsi="Century Gothic"/>
        </w:rPr>
      </w:pPr>
      <w:r w:rsidRPr="00C9716C">
        <w:rPr>
          <w:rFonts w:ascii="Century Gothic" w:hAnsi="Century Gothic"/>
        </w:rPr>
        <w:t>11.2 Food and drinking water</w:t>
      </w:r>
    </w:p>
    <w:p w14:paraId="12C28FAC" w14:textId="77777777" w:rsidR="00BA69B6" w:rsidRPr="00C9716C" w:rsidRDefault="001E4D25">
      <w:pPr>
        <w:rPr>
          <w:rFonts w:ascii="Century Gothic" w:hAnsi="Century Gothic"/>
        </w:rPr>
      </w:pPr>
      <w:r w:rsidRPr="00C9716C">
        <w:rPr>
          <w:rFonts w:ascii="Century Gothic" w:hAnsi="Century Gothic"/>
        </w:rPr>
        <w:t>Food activities are risk assessed and led by staff with suitable food-hygiene knowledge or qualification. Hands, utensils and preparation surfaces are clean; raw and ready-to-eat foods are separated; allergens and individual dietary information are checked; food is stored and cooked safely; and waste is removed or managed to avoid pests. Water from the woodland supply is not used for drinking unless confirmed safe; drinking water is provided separately.</w:t>
      </w:r>
    </w:p>
    <w:p w14:paraId="4D0E732E" w14:textId="77777777" w:rsidR="00BA69B6" w:rsidRPr="00C9716C" w:rsidRDefault="001E4D25">
      <w:pPr>
        <w:pStyle w:val="Heading2"/>
        <w:rPr>
          <w:rFonts w:ascii="Century Gothic" w:hAnsi="Century Gothic"/>
        </w:rPr>
      </w:pPr>
      <w:r w:rsidRPr="00C9716C">
        <w:rPr>
          <w:rFonts w:ascii="Century Gothic" w:hAnsi="Century Gothic"/>
        </w:rPr>
        <w:t>11.3 Hygiene, toileting and waste</w:t>
      </w:r>
    </w:p>
    <w:p w14:paraId="3E65804E" w14:textId="77777777" w:rsidR="00BA69B6" w:rsidRPr="00C9716C" w:rsidRDefault="001E4D25">
      <w:pPr>
        <w:rPr>
          <w:rFonts w:ascii="Century Gothic" w:hAnsi="Century Gothic"/>
        </w:rPr>
      </w:pPr>
      <w:r w:rsidRPr="00C9716C">
        <w:rPr>
          <w:rFonts w:ascii="Century Gothic" w:hAnsi="Century Gothic"/>
        </w:rPr>
        <w:t>Handwashing or effective hand-cleaning arrangements are available before eating and after toileting, contact with animals/soil, first aid or waste. Toileting arrangements protect dignity, privacy and safeguarding. Waste, including sanitary, sharps, clinical or hazardous waste, is segregated and disposed of through an appropriate route. Staff use PPE and safe handling controls where exposure is foreseeable.</w:t>
      </w:r>
    </w:p>
    <w:p w14:paraId="56F80CF2" w14:textId="77777777" w:rsidR="00BA69B6" w:rsidRPr="00C9716C" w:rsidRDefault="001E4D25">
      <w:pPr>
        <w:pStyle w:val="Heading1"/>
        <w:rPr>
          <w:rFonts w:ascii="Century Gothic" w:hAnsi="Century Gothic"/>
        </w:rPr>
      </w:pPr>
      <w:r w:rsidRPr="00C9716C">
        <w:rPr>
          <w:rFonts w:ascii="Century Gothic" w:hAnsi="Century Gothic"/>
        </w:rPr>
        <w:lastRenderedPageBreak/>
        <w:t>12. Manual handling, PPE and occupational welfare</w:t>
      </w:r>
    </w:p>
    <w:p w14:paraId="05158D3D" w14:textId="77777777" w:rsidR="00BA69B6" w:rsidRPr="00C9716C" w:rsidRDefault="001E4D25">
      <w:pPr>
        <w:rPr>
          <w:rFonts w:ascii="Century Gothic" w:hAnsi="Century Gothic"/>
        </w:rPr>
      </w:pPr>
      <w:r w:rsidRPr="00C9716C">
        <w:rPr>
          <w:rFonts w:ascii="Century Gothic" w:hAnsi="Century Gothic"/>
        </w:rPr>
        <w:t>Manual-handling tasks are avoided or reduced where reasonably practicable. Where handling remains necessary, the task, load, individual and environment are assessed; mechanical assistance, team handling or changes to the task are used where appropriate. Staff receive instruction relevant to their role and must seek help where a task exceeds their capability.</w:t>
      </w:r>
    </w:p>
    <w:p w14:paraId="26D8112A" w14:textId="77777777" w:rsidR="00BA69B6" w:rsidRPr="00C9716C" w:rsidRDefault="001E4D25">
      <w:pPr>
        <w:rPr>
          <w:rFonts w:ascii="Century Gothic" w:hAnsi="Century Gothic"/>
        </w:rPr>
      </w:pPr>
      <w:r w:rsidRPr="00C9716C">
        <w:rPr>
          <w:rFonts w:ascii="Century Gothic" w:hAnsi="Century Gothic"/>
        </w:rPr>
        <w:t>PPE is provided where risk assessment identifies a need, selected for the hazard and user, stored hygienically, checked before use and replaced when defective. Staff report any health condition, fatigue or impairment that may affect safe work so that confidential, reasonable adjustments can be considered. Suitable breaks, hydration, shelter and weather protection are planned.</w:t>
      </w:r>
    </w:p>
    <w:p w14:paraId="4A172DFB" w14:textId="77777777" w:rsidR="00BA69B6" w:rsidRPr="00C9716C" w:rsidRDefault="001E4D25">
      <w:pPr>
        <w:pStyle w:val="Heading1"/>
        <w:rPr>
          <w:rFonts w:ascii="Century Gothic" w:hAnsi="Century Gothic"/>
        </w:rPr>
      </w:pPr>
      <w:r w:rsidRPr="00C9716C">
        <w:rPr>
          <w:rFonts w:ascii="Century Gothic" w:hAnsi="Century Gothic"/>
        </w:rPr>
        <w:t>13. Monitoring, audit and policy review</w:t>
      </w:r>
    </w:p>
    <w:p w14:paraId="764BD916" w14:textId="77777777" w:rsidR="00BA69B6" w:rsidRPr="00C9716C" w:rsidRDefault="001E4D25">
      <w:pPr>
        <w:rPr>
          <w:rFonts w:ascii="Century Gothic" w:hAnsi="Century Gothic"/>
        </w:rPr>
      </w:pPr>
      <w:r w:rsidRPr="00C9716C">
        <w:rPr>
          <w:rFonts w:ascii="Century Gothic" w:hAnsi="Century Gothic"/>
        </w:rPr>
        <w:t>The Managing Partners monitor whether this policy is working in practice and whether records demonstrate implementation. Monitoring includes:</w:t>
      </w:r>
    </w:p>
    <w:p w14:paraId="56D41834" w14:textId="77777777" w:rsidR="00BA69B6" w:rsidRPr="00C9716C" w:rsidRDefault="001E4D25">
      <w:pPr>
        <w:pStyle w:val="ListBullet"/>
        <w:rPr>
          <w:rFonts w:ascii="Century Gothic" w:hAnsi="Century Gothic"/>
        </w:rPr>
      </w:pPr>
      <w:r w:rsidRPr="00C9716C">
        <w:rPr>
          <w:rFonts w:ascii="Century Gothic" w:hAnsi="Century Gothic"/>
        </w:rPr>
        <w:t>monthly review of accidents, incidents, near misses and first-aid trends;</w:t>
      </w:r>
    </w:p>
    <w:p w14:paraId="21B15C6F" w14:textId="77777777" w:rsidR="00BA69B6" w:rsidRPr="00C9716C" w:rsidRDefault="001E4D25">
      <w:pPr>
        <w:pStyle w:val="ListBullet"/>
        <w:rPr>
          <w:rFonts w:ascii="Century Gothic" w:hAnsi="Century Gothic"/>
        </w:rPr>
      </w:pPr>
      <w:r w:rsidRPr="00C9716C">
        <w:rPr>
          <w:rFonts w:ascii="Century Gothic" w:hAnsi="Century Gothic"/>
        </w:rPr>
        <w:t>regular review of the First Aid Equipment Book, Tool Sign-In/Out Book and Maintenance Book, including overdue actions;</w:t>
      </w:r>
    </w:p>
    <w:p w14:paraId="2C33C420" w14:textId="77777777" w:rsidR="00BA69B6" w:rsidRPr="00C9716C" w:rsidRDefault="001E4D25">
      <w:pPr>
        <w:pStyle w:val="ListBullet"/>
        <w:rPr>
          <w:rFonts w:ascii="Century Gothic" w:hAnsi="Century Gothic"/>
        </w:rPr>
      </w:pPr>
      <w:r w:rsidRPr="00C9716C">
        <w:rPr>
          <w:rFonts w:ascii="Century Gothic" w:hAnsi="Century Gothic"/>
        </w:rPr>
        <w:t>checks of daily/site and activity risk assessments, individual assessments and lone-working records;</w:t>
      </w:r>
    </w:p>
    <w:p w14:paraId="58F7C322" w14:textId="77777777" w:rsidR="00BA69B6" w:rsidRPr="00C9716C" w:rsidRDefault="001E4D25">
      <w:pPr>
        <w:pStyle w:val="ListBullet"/>
        <w:rPr>
          <w:rFonts w:ascii="Century Gothic" w:hAnsi="Century Gothic"/>
        </w:rPr>
      </w:pPr>
      <w:r w:rsidRPr="00C9716C">
        <w:rPr>
          <w:rFonts w:ascii="Century Gothic" w:hAnsi="Century Gothic"/>
        </w:rPr>
        <w:t>review of fire checks, drills, specialist-equipment inspections, training and insurance renewal dates;</w:t>
      </w:r>
    </w:p>
    <w:p w14:paraId="3405E271" w14:textId="77777777" w:rsidR="00BA69B6" w:rsidRPr="00C9716C" w:rsidRDefault="001E4D25">
      <w:pPr>
        <w:pStyle w:val="ListBullet"/>
        <w:rPr>
          <w:rFonts w:ascii="Century Gothic" w:hAnsi="Century Gothic"/>
        </w:rPr>
      </w:pPr>
      <w:r w:rsidRPr="00C9716C">
        <w:rPr>
          <w:rFonts w:ascii="Century Gothic" w:hAnsi="Century Gothic"/>
        </w:rPr>
        <w:t>observations of practice and feedback from children, parent carers, staff, commissioners and visitors; and</w:t>
      </w:r>
    </w:p>
    <w:p w14:paraId="60CCE2E3" w14:textId="77777777" w:rsidR="00BA69B6" w:rsidRPr="00C9716C" w:rsidRDefault="001E4D25">
      <w:pPr>
        <w:pStyle w:val="ListBullet"/>
        <w:rPr>
          <w:rFonts w:ascii="Century Gothic" w:hAnsi="Century Gothic"/>
        </w:rPr>
      </w:pPr>
      <w:r w:rsidRPr="00C9716C">
        <w:rPr>
          <w:rFonts w:ascii="Century Gothic" w:hAnsi="Century Gothic"/>
        </w:rPr>
        <w:t>recorded corrective actions with an owner, target date and completion check.</w:t>
      </w:r>
    </w:p>
    <w:p w14:paraId="2F291680" w14:textId="77777777" w:rsidR="00BA69B6" w:rsidRPr="00C9716C" w:rsidRDefault="001E4D25">
      <w:pPr>
        <w:rPr>
          <w:rFonts w:ascii="Century Gothic" w:hAnsi="Century Gothic"/>
        </w:rPr>
      </w:pPr>
      <w:r w:rsidRPr="00C9716C">
        <w:rPr>
          <w:rFonts w:ascii="Century Gothic" w:hAnsi="Century Gothic"/>
        </w:rPr>
        <w:t>This policy is formally reviewed at least annually. It is reviewed sooner following a serious incident or near miss, significant change to the site, service, staffing, learner profile, equipment or work practice, an audit or commissioner finding, or a change in legislation or authoritative guidance. Revised policies are approved by the Managing Partners, version controlled, communicated to all relevant people and supported by updated training or risk assessments.</w:t>
      </w:r>
    </w:p>
    <w:p w14:paraId="565105E3" w14:textId="77777777" w:rsidR="00BA69B6" w:rsidRPr="00C9716C" w:rsidRDefault="001E4D25">
      <w:pPr>
        <w:pStyle w:val="Heading1"/>
        <w:rPr>
          <w:rFonts w:ascii="Century Gothic" w:hAnsi="Century Gothic"/>
        </w:rPr>
      </w:pPr>
      <w:r w:rsidRPr="00C9716C">
        <w:rPr>
          <w:rFonts w:ascii="Century Gothic" w:hAnsi="Century Gothic"/>
        </w:rPr>
        <w:t>14. Record retention, confidentiality and access</w:t>
      </w:r>
    </w:p>
    <w:p w14:paraId="7D5BCA0D" w14:textId="77777777" w:rsidR="00BA69B6" w:rsidRPr="00C9716C" w:rsidRDefault="001E4D25">
      <w:pPr>
        <w:rPr>
          <w:rFonts w:ascii="Century Gothic" w:hAnsi="Century Gothic"/>
        </w:rPr>
      </w:pPr>
      <w:r w:rsidRPr="00C9716C">
        <w:rPr>
          <w:rFonts w:ascii="Century Gothic" w:hAnsi="Century Gothic"/>
        </w:rPr>
        <w:t>Health and safety records are stored securely, retained for the period required by law, insurance, safeguarding and contractual arrangements, and shared only with those who have a lawful need to know. Personal and medical information is handled confidentially. Staff can access the current policy, relevant risk assessments and emergency procedures during their work.</w:t>
      </w:r>
    </w:p>
    <w:p w14:paraId="456346D7" w14:textId="77777777" w:rsidR="00BA69B6" w:rsidRPr="00C9716C" w:rsidRDefault="001E4D25">
      <w:pPr>
        <w:pStyle w:val="Heading1"/>
        <w:rPr>
          <w:rFonts w:ascii="Century Gothic" w:hAnsi="Century Gothic"/>
        </w:rPr>
      </w:pPr>
      <w:r w:rsidRPr="00C9716C">
        <w:rPr>
          <w:rFonts w:ascii="Century Gothic" w:hAnsi="Century Gothic"/>
        </w:rPr>
        <w:t>15. Key operational records</w:t>
      </w:r>
    </w:p>
    <w:tbl>
      <w:tblPr>
        <w:tblStyle w:val="TableGrid"/>
        <w:tblW w:w="9740" w:type="dxa"/>
        <w:tblLayout w:type="fixed"/>
        <w:tblLook w:val="04A0" w:firstRow="1" w:lastRow="0" w:firstColumn="1" w:lastColumn="0" w:noHBand="0" w:noVBand="1"/>
      </w:tblPr>
      <w:tblGrid>
        <w:gridCol w:w="2300"/>
        <w:gridCol w:w="4700"/>
        <w:gridCol w:w="2740"/>
      </w:tblGrid>
      <w:tr w:rsidR="00BA69B6" w:rsidRPr="00C9716C" w14:paraId="2EE62605" w14:textId="77777777">
        <w:trPr>
          <w:tblHeader/>
        </w:trPr>
        <w:tc>
          <w:tcPr>
            <w:tcW w:w="2300" w:type="dxa"/>
            <w:shd w:val="clear" w:color="auto" w:fill="375A3B"/>
            <w:tcMar>
              <w:top w:w="80" w:type="dxa"/>
              <w:left w:w="110" w:type="dxa"/>
              <w:bottom w:w="80" w:type="dxa"/>
              <w:right w:w="110" w:type="dxa"/>
            </w:tcMar>
            <w:vAlign w:val="center"/>
          </w:tcPr>
          <w:p w14:paraId="0CA17229" w14:textId="77777777" w:rsidR="00BA69B6" w:rsidRPr="00C9716C" w:rsidRDefault="001E4D25">
            <w:pPr>
              <w:spacing w:after="20" w:line="240" w:lineRule="auto"/>
              <w:rPr>
                <w:rFonts w:ascii="Century Gothic" w:hAnsi="Century Gothic"/>
              </w:rPr>
            </w:pPr>
            <w:r w:rsidRPr="00C9716C">
              <w:rPr>
                <w:rFonts w:ascii="Century Gothic" w:hAnsi="Century Gothic"/>
                <w:b/>
                <w:color w:val="FFFFFF"/>
                <w:sz w:val="18"/>
              </w:rPr>
              <w:t>Record</w:t>
            </w:r>
          </w:p>
        </w:tc>
        <w:tc>
          <w:tcPr>
            <w:tcW w:w="4700" w:type="dxa"/>
            <w:shd w:val="clear" w:color="auto" w:fill="375A3B"/>
            <w:tcMar>
              <w:top w:w="80" w:type="dxa"/>
              <w:left w:w="110" w:type="dxa"/>
              <w:bottom w:w="80" w:type="dxa"/>
              <w:right w:w="110" w:type="dxa"/>
            </w:tcMar>
            <w:vAlign w:val="center"/>
          </w:tcPr>
          <w:p w14:paraId="28A55062" w14:textId="77777777" w:rsidR="00BA69B6" w:rsidRPr="00C9716C" w:rsidRDefault="001E4D25">
            <w:pPr>
              <w:spacing w:after="20" w:line="240" w:lineRule="auto"/>
              <w:rPr>
                <w:rFonts w:ascii="Century Gothic" w:hAnsi="Century Gothic"/>
              </w:rPr>
            </w:pPr>
            <w:r w:rsidRPr="00C9716C">
              <w:rPr>
                <w:rFonts w:ascii="Century Gothic" w:hAnsi="Century Gothic"/>
                <w:b/>
                <w:color w:val="FFFFFF"/>
                <w:sz w:val="18"/>
              </w:rPr>
              <w:t>Minimum content</w:t>
            </w:r>
          </w:p>
        </w:tc>
        <w:tc>
          <w:tcPr>
            <w:tcW w:w="2740" w:type="dxa"/>
            <w:shd w:val="clear" w:color="auto" w:fill="375A3B"/>
            <w:tcMar>
              <w:top w:w="80" w:type="dxa"/>
              <w:left w:w="110" w:type="dxa"/>
              <w:bottom w:w="80" w:type="dxa"/>
              <w:right w:w="110" w:type="dxa"/>
            </w:tcMar>
            <w:vAlign w:val="center"/>
          </w:tcPr>
          <w:p w14:paraId="69098FFF" w14:textId="77777777" w:rsidR="00BA69B6" w:rsidRPr="00C9716C" w:rsidRDefault="001E4D25">
            <w:pPr>
              <w:spacing w:after="20" w:line="240" w:lineRule="auto"/>
              <w:rPr>
                <w:rFonts w:ascii="Century Gothic" w:hAnsi="Century Gothic"/>
              </w:rPr>
            </w:pPr>
            <w:r w:rsidRPr="00C9716C">
              <w:rPr>
                <w:rFonts w:ascii="Century Gothic" w:hAnsi="Century Gothic"/>
                <w:b/>
                <w:color w:val="FFFFFF"/>
                <w:sz w:val="18"/>
              </w:rPr>
              <w:t>Review / action</w:t>
            </w:r>
          </w:p>
        </w:tc>
      </w:tr>
      <w:tr w:rsidR="00BA69B6" w:rsidRPr="00C9716C" w14:paraId="01671069" w14:textId="77777777">
        <w:tc>
          <w:tcPr>
            <w:tcW w:w="2300" w:type="dxa"/>
            <w:tcMar>
              <w:top w:w="80" w:type="dxa"/>
              <w:left w:w="110" w:type="dxa"/>
              <w:bottom w:w="80" w:type="dxa"/>
              <w:right w:w="110" w:type="dxa"/>
            </w:tcMar>
            <w:vAlign w:val="center"/>
          </w:tcPr>
          <w:p w14:paraId="4E4D555F" w14:textId="77777777" w:rsidR="00BA69B6" w:rsidRPr="00C9716C" w:rsidRDefault="001E4D25">
            <w:pPr>
              <w:spacing w:after="20" w:line="240" w:lineRule="auto"/>
              <w:rPr>
                <w:rFonts w:ascii="Century Gothic" w:hAnsi="Century Gothic"/>
              </w:rPr>
            </w:pPr>
            <w:r w:rsidRPr="00C9716C">
              <w:rPr>
                <w:rFonts w:ascii="Century Gothic" w:hAnsi="Century Gothic"/>
                <w:sz w:val="18"/>
              </w:rPr>
              <w:t>First Aid Equipment Book</w:t>
            </w:r>
          </w:p>
        </w:tc>
        <w:tc>
          <w:tcPr>
            <w:tcW w:w="4700" w:type="dxa"/>
            <w:tcMar>
              <w:top w:w="80" w:type="dxa"/>
              <w:left w:w="110" w:type="dxa"/>
              <w:bottom w:w="80" w:type="dxa"/>
              <w:right w:w="110" w:type="dxa"/>
            </w:tcMar>
            <w:vAlign w:val="center"/>
          </w:tcPr>
          <w:p w14:paraId="07D10943" w14:textId="77777777" w:rsidR="00BA69B6" w:rsidRPr="00C9716C" w:rsidRDefault="001E4D25">
            <w:pPr>
              <w:spacing w:after="20" w:line="240" w:lineRule="auto"/>
              <w:rPr>
                <w:rFonts w:ascii="Century Gothic" w:hAnsi="Century Gothic"/>
              </w:rPr>
            </w:pPr>
            <w:r w:rsidRPr="00C9716C">
              <w:rPr>
                <w:rFonts w:ascii="Century Gothic" w:hAnsi="Century Gothic"/>
                <w:sz w:val="18"/>
              </w:rPr>
              <w:t>Kit/location; date; contents/expiry; deficiency; replacement; checker; close date</w:t>
            </w:r>
          </w:p>
        </w:tc>
        <w:tc>
          <w:tcPr>
            <w:tcW w:w="2740" w:type="dxa"/>
            <w:tcMar>
              <w:top w:w="80" w:type="dxa"/>
              <w:left w:w="110" w:type="dxa"/>
              <w:bottom w:w="80" w:type="dxa"/>
              <w:right w:w="110" w:type="dxa"/>
            </w:tcMar>
            <w:vAlign w:val="center"/>
          </w:tcPr>
          <w:p w14:paraId="795D0A75" w14:textId="77777777" w:rsidR="00BA69B6" w:rsidRPr="00C9716C" w:rsidRDefault="001E4D25">
            <w:pPr>
              <w:spacing w:after="20" w:line="240" w:lineRule="auto"/>
              <w:rPr>
                <w:rFonts w:ascii="Century Gothic" w:hAnsi="Century Gothic"/>
              </w:rPr>
            </w:pPr>
            <w:r w:rsidRPr="00C9716C">
              <w:rPr>
                <w:rFonts w:ascii="Century Gothic" w:hAnsi="Century Gothic"/>
                <w:sz w:val="18"/>
              </w:rPr>
              <w:t xml:space="preserve">Routine, after use and before critical activity; shortages corrected </w:t>
            </w:r>
            <w:r w:rsidRPr="00C9716C">
              <w:rPr>
                <w:rFonts w:ascii="Century Gothic" w:hAnsi="Century Gothic"/>
                <w:sz w:val="18"/>
              </w:rPr>
              <w:lastRenderedPageBreak/>
              <w:t>promptly</w:t>
            </w:r>
          </w:p>
        </w:tc>
      </w:tr>
      <w:tr w:rsidR="00BA69B6" w:rsidRPr="00C9716C" w14:paraId="5C0D8129" w14:textId="77777777">
        <w:tc>
          <w:tcPr>
            <w:tcW w:w="2300" w:type="dxa"/>
            <w:shd w:val="clear" w:color="auto" w:fill="F5F7F2"/>
            <w:tcMar>
              <w:top w:w="80" w:type="dxa"/>
              <w:left w:w="110" w:type="dxa"/>
              <w:bottom w:w="80" w:type="dxa"/>
              <w:right w:w="110" w:type="dxa"/>
            </w:tcMar>
            <w:vAlign w:val="center"/>
          </w:tcPr>
          <w:p w14:paraId="69ED40D1" w14:textId="77777777" w:rsidR="00BA69B6" w:rsidRPr="00C9716C" w:rsidRDefault="001E4D25">
            <w:pPr>
              <w:spacing w:after="20" w:line="240" w:lineRule="auto"/>
              <w:rPr>
                <w:rFonts w:ascii="Century Gothic" w:hAnsi="Century Gothic"/>
              </w:rPr>
            </w:pPr>
            <w:r w:rsidRPr="00C9716C">
              <w:rPr>
                <w:rFonts w:ascii="Century Gothic" w:hAnsi="Century Gothic"/>
                <w:sz w:val="18"/>
              </w:rPr>
              <w:lastRenderedPageBreak/>
              <w:t>Tool Sign-In/Out Book</w:t>
            </w:r>
          </w:p>
        </w:tc>
        <w:tc>
          <w:tcPr>
            <w:tcW w:w="4700" w:type="dxa"/>
            <w:shd w:val="clear" w:color="auto" w:fill="F5F7F2"/>
            <w:tcMar>
              <w:top w:w="80" w:type="dxa"/>
              <w:left w:w="110" w:type="dxa"/>
              <w:bottom w:w="80" w:type="dxa"/>
              <w:right w:w="110" w:type="dxa"/>
            </w:tcMar>
            <w:vAlign w:val="center"/>
          </w:tcPr>
          <w:p w14:paraId="4DDC865D" w14:textId="77777777" w:rsidR="00BA69B6" w:rsidRPr="00C9716C" w:rsidRDefault="001E4D25">
            <w:pPr>
              <w:spacing w:after="20" w:line="240" w:lineRule="auto"/>
              <w:rPr>
                <w:rFonts w:ascii="Century Gothic" w:hAnsi="Century Gothic"/>
              </w:rPr>
            </w:pPr>
            <w:r w:rsidRPr="00C9716C">
              <w:rPr>
                <w:rFonts w:ascii="Century Gothic" w:hAnsi="Century Gothic"/>
                <w:sz w:val="18"/>
              </w:rPr>
              <w:t>Session; tool/ID; issuer; user/activity; time/condition out; time/condition in; safe storage</w:t>
            </w:r>
          </w:p>
        </w:tc>
        <w:tc>
          <w:tcPr>
            <w:tcW w:w="2740" w:type="dxa"/>
            <w:shd w:val="clear" w:color="auto" w:fill="F5F7F2"/>
            <w:tcMar>
              <w:top w:w="80" w:type="dxa"/>
              <w:left w:w="110" w:type="dxa"/>
              <w:bottom w:w="80" w:type="dxa"/>
              <w:right w:w="110" w:type="dxa"/>
            </w:tcMar>
            <w:vAlign w:val="center"/>
          </w:tcPr>
          <w:p w14:paraId="201B8D6E" w14:textId="77777777" w:rsidR="00BA69B6" w:rsidRPr="00C9716C" w:rsidRDefault="001E4D25">
            <w:pPr>
              <w:spacing w:after="20" w:line="240" w:lineRule="auto"/>
              <w:rPr>
                <w:rFonts w:ascii="Century Gothic" w:hAnsi="Century Gothic"/>
              </w:rPr>
            </w:pPr>
            <w:r w:rsidRPr="00C9716C">
              <w:rPr>
                <w:rFonts w:ascii="Century Gothic" w:hAnsi="Century Gothic"/>
                <w:sz w:val="18"/>
              </w:rPr>
              <w:t>Reconciled before session close; discrepancies escalated immediately</w:t>
            </w:r>
          </w:p>
        </w:tc>
      </w:tr>
      <w:tr w:rsidR="00BA69B6" w:rsidRPr="00C9716C" w14:paraId="7DA141E7" w14:textId="77777777">
        <w:tc>
          <w:tcPr>
            <w:tcW w:w="2300" w:type="dxa"/>
            <w:tcMar>
              <w:top w:w="80" w:type="dxa"/>
              <w:left w:w="110" w:type="dxa"/>
              <w:bottom w:w="80" w:type="dxa"/>
              <w:right w:w="110" w:type="dxa"/>
            </w:tcMar>
            <w:vAlign w:val="center"/>
          </w:tcPr>
          <w:p w14:paraId="0D20F7AF" w14:textId="77777777" w:rsidR="00BA69B6" w:rsidRPr="00C9716C" w:rsidRDefault="001E4D25">
            <w:pPr>
              <w:spacing w:after="20" w:line="240" w:lineRule="auto"/>
              <w:rPr>
                <w:rFonts w:ascii="Century Gothic" w:hAnsi="Century Gothic"/>
              </w:rPr>
            </w:pPr>
            <w:r w:rsidRPr="00C9716C">
              <w:rPr>
                <w:rFonts w:ascii="Century Gothic" w:hAnsi="Century Gothic"/>
                <w:sz w:val="18"/>
              </w:rPr>
              <w:t>Maintenance Book</w:t>
            </w:r>
          </w:p>
        </w:tc>
        <w:tc>
          <w:tcPr>
            <w:tcW w:w="4700" w:type="dxa"/>
            <w:tcMar>
              <w:top w:w="80" w:type="dxa"/>
              <w:left w:w="110" w:type="dxa"/>
              <w:bottom w:w="80" w:type="dxa"/>
              <w:right w:w="110" w:type="dxa"/>
            </w:tcMar>
            <w:vAlign w:val="center"/>
          </w:tcPr>
          <w:p w14:paraId="44CABCBB" w14:textId="77777777" w:rsidR="00BA69B6" w:rsidRPr="00C9716C" w:rsidRDefault="001E4D25">
            <w:pPr>
              <w:spacing w:after="20" w:line="240" w:lineRule="auto"/>
              <w:rPr>
                <w:rFonts w:ascii="Century Gothic" w:hAnsi="Century Gothic"/>
              </w:rPr>
            </w:pPr>
            <w:r w:rsidRPr="00C9716C">
              <w:rPr>
                <w:rFonts w:ascii="Century Gothic" w:hAnsi="Century Gothic"/>
                <w:sz w:val="18"/>
              </w:rPr>
              <w:t>Asset/location; defect/task; risk/interim control; owner; target; action/parts; completion; verification</w:t>
            </w:r>
          </w:p>
        </w:tc>
        <w:tc>
          <w:tcPr>
            <w:tcW w:w="2740" w:type="dxa"/>
            <w:tcMar>
              <w:top w:w="80" w:type="dxa"/>
              <w:left w:w="110" w:type="dxa"/>
              <w:bottom w:w="80" w:type="dxa"/>
              <w:right w:w="110" w:type="dxa"/>
            </w:tcMar>
            <w:vAlign w:val="center"/>
          </w:tcPr>
          <w:p w14:paraId="30B728B4" w14:textId="77777777" w:rsidR="00BA69B6" w:rsidRPr="00C9716C" w:rsidRDefault="001E4D25">
            <w:pPr>
              <w:spacing w:after="20" w:line="240" w:lineRule="auto"/>
              <w:rPr>
                <w:rFonts w:ascii="Century Gothic" w:hAnsi="Century Gothic"/>
              </w:rPr>
            </w:pPr>
            <w:r w:rsidRPr="00C9716C">
              <w:rPr>
                <w:rFonts w:ascii="Century Gothic" w:hAnsi="Century Gothic"/>
                <w:sz w:val="18"/>
              </w:rPr>
              <w:t>Open actions reviewed regularly; safety-critical items withdrawn until cleared</w:t>
            </w:r>
          </w:p>
        </w:tc>
      </w:tr>
      <w:tr w:rsidR="00BA69B6" w:rsidRPr="00C9716C" w14:paraId="69482C25" w14:textId="77777777">
        <w:tc>
          <w:tcPr>
            <w:tcW w:w="2300" w:type="dxa"/>
            <w:shd w:val="clear" w:color="auto" w:fill="F5F7F2"/>
            <w:tcMar>
              <w:top w:w="80" w:type="dxa"/>
              <w:left w:w="110" w:type="dxa"/>
              <w:bottom w:w="80" w:type="dxa"/>
              <w:right w:w="110" w:type="dxa"/>
            </w:tcMar>
            <w:vAlign w:val="center"/>
          </w:tcPr>
          <w:p w14:paraId="2E6A23D2" w14:textId="77777777" w:rsidR="00BA69B6" w:rsidRPr="00C9716C" w:rsidRDefault="001E4D25">
            <w:pPr>
              <w:spacing w:after="20" w:line="240" w:lineRule="auto"/>
              <w:rPr>
                <w:rFonts w:ascii="Century Gothic" w:hAnsi="Century Gothic"/>
              </w:rPr>
            </w:pPr>
            <w:r w:rsidRPr="00C9716C">
              <w:rPr>
                <w:rFonts w:ascii="Century Gothic" w:hAnsi="Century Gothic"/>
                <w:sz w:val="18"/>
              </w:rPr>
              <w:t>First Aid Record</w:t>
            </w:r>
          </w:p>
        </w:tc>
        <w:tc>
          <w:tcPr>
            <w:tcW w:w="4700" w:type="dxa"/>
            <w:shd w:val="clear" w:color="auto" w:fill="F5F7F2"/>
            <w:tcMar>
              <w:top w:w="80" w:type="dxa"/>
              <w:left w:w="110" w:type="dxa"/>
              <w:bottom w:w="80" w:type="dxa"/>
              <w:right w:w="110" w:type="dxa"/>
            </w:tcMar>
            <w:vAlign w:val="center"/>
          </w:tcPr>
          <w:p w14:paraId="38ECEE28" w14:textId="77777777" w:rsidR="00BA69B6" w:rsidRPr="00C9716C" w:rsidRDefault="001E4D25">
            <w:pPr>
              <w:spacing w:after="20" w:line="240" w:lineRule="auto"/>
              <w:rPr>
                <w:rFonts w:ascii="Century Gothic" w:hAnsi="Century Gothic"/>
              </w:rPr>
            </w:pPr>
            <w:r w:rsidRPr="00C9716C">
              <w:rPr>
                <w:rFonts w:ascii="Century Gothic" w:hAnsi="Century Gothic"/>
                <w:sz w:val="18"/>
              </w:rPr>
              <w:t>Person; date/time/place; event; injury/illness; treatment; outcome; first aider; notifications</w:t>
            </w:r>
          </w:p>
        </w:tc>
        <w:tc>
          <w:tcPr>
            <w:tcW w:w="2740" w:type="dxa"/>
            <w:shd w:val="clear" w:color="auto" w:fill="F5F7F2"/>
            <w:tcMar>
              <w:top w:w="80" w:type="dxa"/>
              <w:left w:w="110" w:type="dxa"/>
              <w:bottom w:w="80" w:type="dxa"/>
              <w:right w:w="110" w:type="dxa"/>
            </w:tcMar>
            <w:vAlign w:val="center"/>
          </w:tcPr>
          <w:p w14:paraId="74793737" w14:textId="77777777" w:rsidR="00BA69B6" w:rsidRPr="00C9716C" w:rsidRDefault="001E4D25">
            <w:pPr>
              <w:spacing w:after="20" w:line="240" w:lineRule="auto"/>
              <w:rPr>
                <w:rFonts w:ascii="Century Gothic" w:hAnsi="Century Gothic"/>
              </w:rPr>
            </w:pPr>
            <w:r w:rsidRPr="00C9716C">
              <w:rPr>
                <w:rFonts w:ascii="Century Gothic" w:hAnsi="Century Gothic"/>
                <w:sz w:val="18"/>
              </w:rPr>
              <w:t>Completed promptly; parent carer and commissioner notified as required</w:t>
            </w:r>
          </w:p>
        </w:tc>
      </w:tr>
      <w:tr w:rsidR="00BA69B6" w:rsidRPr="00C9716C" w14:paraId="4AA6D524" w14:textId="77777777">
        <w:tc>
          <w:tcPr>
            <w:tcW w:w="2300" w:type="dxa"/>
            <w:tcMar>
              <w:top w:w="80" w:type="dxa"/>
              <w:left w:w="110" w:type="dxa"/>
              <w:bottom w:w="80" w:type="dxa"/>
              <w:right w:w="110" w:type="dxa"/>
            </w:tcMar>
            <w:vAlign w:val="center"/>
          </w:tcPr>
          <w:p w14:paraId="10D26854" w14:textId="77777777" w:rsidR="00BA69B6" w:rsidRPr="00C9716C" w:rsidRDefault="001E4D25">
            <w:pPr>
              <w:spacing w:after="20" w:line="240" w:lineRule="auto"/>
              <w:rPr>
                <w:rFonts w:ascii="Century Gothic" w:hAnsi="Century Gothic"/>
              </w:rPr>
            </w:pPr>
            <w:r w:rsidRPr="00C9716C">
              <w:rPr>
                <w:rFonts w:ascii="Century Gothic" w:hAnsi="Century Gothic"/>
                <w:sz w:val="18"/>
              </w:rPr>
              <w:t>Accident/incident/near-miss record</w:t>
            </w:r>
          </w:p>
        </w:tc>
        <w:tc>
          <w:tcPr>
            <w:tcW w:w="4700" w:type="dxa"/>
            <w:tcMar>
              <w:top w:w="80" w:type="dxa"/>
              <w:left w:w="110" w:type="dxa"/>
              <w:bottom w:w="80" w:type="dxa"/>
              <w:right w:w="110" w:type="dxa"/>
            </w:tcMar>
            <w:vAlign w:val="center"/>
          </w:tcPr>
          <w:p w14:paraId="72F90CAB" w14:textId="77777777" w:rsidR="00BA69B6" w:rsidRPr="00C9716C" w:rsidRDefault="001E4D25">
            <w:pPr>
              <w:spacing w:after="20" w:line="240" w:lineRule="auto"/>
              <w:rPr>
                <w:rFonts w:ascii="Century Gothic" w:hAnsi="Century Gothic"/>
              </w:rPr>
            </w:pPr>
            <w:r w:rsidRPr="00C9716C">
              <w:rPr>
                <w:rFonts w:ascii="Century Gothic" w:hAnsi="Century Gothic"/>
                <w:sz w:val="18"/>
              </w:rPr>
              <w:t>Facts, witnesses, immediate action, notification, investigation, RIDDOR decision, corrective action</w:t>
            </w:r>
          </w:p>
        </w:tc>
        <w:tc>
          <w:tcPr>
            <w:tcW w:w="2740" w:type="dxa"/>
            <w:tcMar>
              <w:top w:w="80" w:type="dxa"/>
              <w:left w:w="110" w:type="dxa"/>
              <w:bottom w:w="80" w:type="dxa"/>
              <w:right w:w="110" w:type="dxa"/>
            </w:tcMar>
            <w:vAlign w:val="center"/>
          </w:tcPr>
          <w:p w14:paraId="5767F820" w14:textId="77777777" w:rsidR="00BA69B6" w:rsidRPr="00C9716C" w:rsidRDefault="001E4D25">
            <w:pPr>
              <w:spacing w:after="20" w:line="240" w:lineRule="auto"/>
              <w:rPr>
                <w:rFonts w:ascii="Century Gothic" w:hAnsi="Century Gothic"/>
              </w:rPr>
            </w:pPr>
            <w:r w:rsidRPr="00C9716C">
              <w:rPr>
                <w:rFonts w:ascii="Century Gothic" w:hAnsi="Century Gothic"/>
                <w:sz w:val="18"/>
              </w:rPr>
              <w:t>Monthly trend review and post-event reassessment</w:t>
            </w:r>
          </w:p>
        </w:tc>
      </w:tr>
      <w:tr w:rsidR="00BA69B6" w:rsidRPr="00C9716C" w14:paraId="699C9652" w14:textId="77777777">
        <w:tc>
          <w:tcPr>
            <w:tcW w:w="2300" w:type="dxa"/>
            <w:shd w:val="clear" w:color="auto" w:fill="F5F7F2"/>
            <w:tcMar>
              <w:top w:w="80" w:type="dxa"/>
              <w:left w:w="110" w:type="dxa"/>
              <w:bottom w:w="80" w:type="dxa"/>
              <w:right w:w="110" w:type="dxa"/>
            </w:tcMar>
            <w:vAlign w:val="center"/>
          </w:tcPr>
          <w:p w14:paraId="7D4BA708" w14:textId="77777777" w:rsidR="00BA69B6" w:rsidRPr="00C9716C" w:rsidRDefault="001E4D25">
            <w:pPr>
              <w:spacing w:after="20" w:line="240" w:lineRule="auto"/>
              <w:rPr>
                <w:rFonts w:ascii="Century Gothic" w:hAnsi="Century Gothic"/>
              </w:rPr>
            </w:pPr>
            <w:r w:rsidRPr="00C9716C">
              <w:rPr>
                <w:rFonts w:ascii="Century Gothic" w:hAnsi="Century Gothic"/>
                <w:sz w:val="18"/>
              </w:rPr>
              <w:t>Training matrix</w:t>
            </w:r>
          </w:p>
        </w:tc>
        <w:tc>
          <w:tcPr>
            <w:tcW w:w="4700" w:type="dxa"/>
            <w:shd w:val="clear" w:color="auto" w:fill="F5F7F2"/>
            <w:tcMar>
              <w:top w:w="80" w:type="dxa"/>
              <w:left w:w="110" w:type="dxa"/>
              <w:bottom w:w="80" w:type="dxa"/>
              <w:right w:w="110" w:type="dxa"/>
            </w:tcMar>
            <w:vAlign w:val="center"/>
          </w:tcPr>
          <w:p w14:paraId="5A53DFC1" w14:textId="77777777" w:rsidR="00BA69B6" w:rsidRPr="00C9716C" w:rsidRDefault="001E4D25">
            <w:pPr>
              <w:spacing w:after="20" w:line="240" w:lineRule="auto"/>
              <w:rPr>
                <w:rFonts w:ascii="Century Gothic" w:hAnsi="Century Gothic"/>
              </w:rPr>
            </w:pPr>
            <w:r w:rsidRPr="00C9716C">
              <w:rPr>
                <w:rFonts w:ascii="Century Gothic" w:hAnsi="Century Gothic"/>
                <w:sz w:val="18"/>
              </w:rPr>
              <w:t>Person; role; induction; training; provider; date; certificate; renewal; restrictions</w:t>
            </w:r>
          </w:p>
        </w:tc>
        <w:tc>
          <w:tcPr>
            <w:tcW w:w="2740" w:type="dxa"/>
            <w:shd w:val="clear" w:color="auto" w:fill="F5F7F2"/>
            <w:tcMar>
              <w:top w:w="80" w:type="dxa"/>
              <w:left w:w="110" w:type="dxa"/>
              <w:bottom w:w="80" w:type="dxa"/>
              <w:right w:w="110" w:type="dxa"/>
            </w:tcMar>
            <w:vAlign w:val="center"/>
          </w:tcPr>
          <w:p w14:paraId="5EBBE712" w14:textId="77777777" w:rsidR="00BA69B6" w:rsidRPr="00C9716C" w:rsidRDefault="001E4D25">
            <w:pPr>
              <w:spacing w:after="20" w:line="240" w:lineRule="auto"/>
              <w:rPr>
                <w:rFonts w:ascii="Century Gothic" w:hAnsi="Century Gothic"/>
              </w:rPr>
            </w:pPr>
            <w:r w:rsidRPr="00C9716C">
              <w:rPr>
                <w:rFonts w:ascii="Century Gothic" w:hAnsi="Century Gothic"/>
                <w:sz w:val="18"/>
              </w:rPr>
              <w:t>Checked before deployment and reviewed for annual INSET</w:t>
            </w:r>
          </w:p>
        </w:tc>
      </w:tr>
    </w:tbl>
    <w:p w14:paraId="373FC080" w14:textId="77777777" w:rsidR="00BA69B6" w:rsidRPr="00C9716C" w:rsidRDefault="00BA69B6">
      <w:pPr>
        <w:rPr>
          <w:rFonts w:ascii="Century Gothic" w:hAnsi="Century Gothic"/>
        </w:rPr>
      </w:pPr>
    </w:p>
    <w:tbl>
      <w:tblPr>
        <w:tblStyle w:val="TableGrid"/>
        <w:tblW w:w="9740" w:type="dxa"/>
        <w:tblLayout w:type="fixed"/>
        <w:tblLook w:val="04A0" w:firstRow="1" w:lastRow="0" w:firstColumn="1" w:lastColumn="0" w:noHBand="0" w:noVBand="1"/>
      </w:tblPr>
      <w:tblGrid>
        <w:gridCol w:w="9740"/>
      </w:tblGrid>
      <w:tr w:rsidR="00BA69B6" w:rsidRPr="00C9716C" w14:paraId="668FBC3C" w14:textId="77777777">
        <w:tc>
          <w:tcPr>
            <w:tcW w:w="9740" w:type="dxa"/>
            <w:shd w:val="clear" w:color="auto" w:fill="EAF1E7"/>
            <w:tcMar>
              <w:top w:w="80" w:type="dxa"/>
              <w:left w:w="110" w:type="dxa"/>
              <w:bottom w:w="80" w:type="dxa"/>
              <w:right w:w="110" w:type="dxa"/>
            </w:tcMar>
            <w:vAlign w:val="center"/>
          </w:tcPr>
          <w:p w14:paraId="23C8B9E1" w14:textId="77777777" w:rsidR="00BA69B6" w:rsidRPr="00C9716C" w:rsidRDefault="001E4D25">
            <w:pPr>
              <w:spacing w:after="20" w:line="240" w:lineRule="auto"/>
              <w:rPr>
                <w:rFonts w:ascii="Century Gothic" w:hAnsi="Century Gothic"/>
              </w:rPr>
            </w:pPr>
            <w:r w:rsidRPr="00C9716C">
              <w:rPr>
                <w:rFonts w:ascii="Century Gothic" w:hAnsi="Century Gothic"/>
                <w:b/>
                <w:color w:val="375A3B"/>
              </w:rPr>
              <w:t xml:space="preserve">Stop-work authority  </w:t>
            </w:r>
            <w:r w:rsidRPr="00C9716C">
              <w:rPr>
                <w:rFonts w:ascii="Century Gothic" w:hAnsi="Century Gothic"/>
              </w:rPr>
              <w:t>Every adult has authority and responsibility to stop or pause an activity where they reasonably believe there is a serious or imminent risk. Concerns must be reported to the Session Lead or Managing Partner and the activity must not restart until suitable controls are in place.</w:t>
            </w:r>
          </w:p>
        </w:tc>
      </w:tr>
    </w:tbl>
    <w:p w14:paraId="33353F49" w14:textId="77777777" w:rsidR="001E4D25" w:rsidRPr="00C9716C" w:rsidRDefault="001E4D25">
      <w:pPr>
        <w:rPr>
          <w:rFonts w:ascii="Century Gothic" w:hAnsi="Century Gothic"/>
        </w:rPr>
      </w:pPr>
    </w:p>
    <w:sectPr w:rsidR="001E4D25" w:rsidRPr="00C9716C" w:rsidSect="00034616">
      <w:headerReference w:type="default" r:id="rId8"/>
      <w:footerReference w:type="default" r:id="rId9"/>
      <w:pgSz w:w="11909" w:h="16834"/>
      <w:pgMar w:top="1037" w:right="1037" w:bottom="1037" w:left="1123"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DC246" w14:textId="77777777" w:rsidR="00F32941" w:rsidRDefault="00F32941">
      <w:pPr>
        <w:spacing w:after="0" w:line="240" w:lineRule="auto"/>
      </w:pPr>
      <w:r>
        <w:separator/>
      </w:r>
    </w:p>
  </w:endnote>
  <w:endnote w:type="continuationSeparator" w:id="0">
    <w:p w14:paraId="343F4343" w14:textId="77777777" w:rsidR="00F32941" w:rsidRDefault="00F329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2699A" w14:textId="77777777" w:rsidR="00BA69B6" w:rsidRDefault="001E4D25">
    <w:pPr>
      <w:pStyle w:val="Footer"/>
      <w:jc w:val="right"/>
    </w:pPr>
    <w:r>
      <w:rPr>
        <w:sz w:val="16"/>
      </w:rPr>
      <w:t xml:space="preserve">Controlled document • Review due August 2027     </w:t>
    </w:r>
    <w:r>
      <w:t xml:space="preserve">Page </w:t>
    </w:r>
    <w:r>
      <w:fldChar w:fldCharType="begin"/>
    </w:r>
    <w:r>
      <w:instrText>PAGE</w:instrText>
    </w:r>
    <w:r>
      <w:fldChar w:fldCharType="separate"/>
    </w:r>
    <w:r w:rsidR="00C9716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17FB1" w14:textId="77777777" w:rsidR="00F32941" w:rsidRDefault="00F32941">
      <w:pPr>
        <w:spacing w:after="0" w:line="240" w:lineRule="auto"/>
      </w:pPr>
      <w:r>
        <w:separator/>
      </w:r>
    </w:p>
  </w:footnote>
  <w:footnote w:type="continuationSeparator" w:id="0">
    <w:p w14:paraId="42B46939" w14:textId="77777777" w:rsidR="00F32941" w:rsidRDefault="00F329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E2229" w14:textId="30D4E93E" w:rsidR="007E3934" w:rsidRDefault="008E66CD">
    <w:pPr>
      <w:pStyle w:val="Header"/>
    </w:pPr>
    <w:r>
      <w:rPr>
        <w:noProof/>
      </w:rPr>
      <w:drawing>
        <wp:anchor distT="0" distB="0" distL="114300" distR="114300" simplePos="0" relativeHeight="251658752" behindDoc="0" locked="0" layoutInCell="1" allowOverlap="1" wp14:anchorId="79ADF7E1" wp14:editId="7A6D360B">
          <wp:simplePos x="0" y="0"/>
          <wp:positionH relativeFrom="page">
            <wp:posOffset>7620</wp:posOffset>
          </wp:positionH>
          <wp:positionV relativeFrom="paragraph">
            <wp:posOffset>-274320</wp:posOffset>
          </wp:positionV>
          <wp:extent cx="7559040" cy="2164080"/>
          <wp:effectExtent l="0" t="0" r="3810" b="7620"/>
          <wp:wrapSquare wrapText="bothSides"/>
          <wp:docPr id="12962459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245933" name="Picture 1296245933"/>
                  <pic:cNvPicPr/>
                </pic:nvPicPr>
                <pic:blipFill rotWithShape="1">
                  <a:blip r:embed="rId1">
                    <a:extLst>
                      <a:ext uri="{28A0092B-C50C-407E-A947-70E740481C1C}">
                        <a14:useLocalDpi xmlns:a14="http://schemas.microsoft.com/office/drawing/2010/main" val="0"/>
                      </a:ext>
                    </a:extLst>
                  </a:blip>
                  <a:srcRect b="22507"/>
                  <a:stretch>
                    <a:fillRect/>
                  </a:stretch>
                </pic:blipFill>
                <pic:spPr bwMode="auto">
                  <a:xfrm>
                    <a:off x="0" y="0"/>
                    <a:ext cx="7559040" cy="2164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257374E" w14:textId="77777777" w:rsidR="007E3934" w:rsidRDefault="007E39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20140458">
    <w:abstractNumId w:val="8"/>
  </w:num>
  <w:num w:numId="2" w16cid:durableId="132334117">
    <w:abstractNumId w:val="6"/>
  </w:num>
  <w:num w:numId="3" w16cid:durableId="984354413">
    <w:abstractNumId w:val="5"/>
  </w:num>
  <w:num w:numId="4" w16cid:durableId="2107997841">
    <w:abstractNumId w:val="4"/>
  </w:num>
  <w:num w:numId="5" w16cid:durableId="1387021696">
    <w:abstractNumId w:val="7"/>
  </w:num>
  <w:num w:numId="6" w16cid:durableId="1711371924">
    <w:abstractNumId w:val="3"/>
  </w:num>
  <w:num w:numId="7" w16cid:durableId="409083493">
    <w:abstractNumId w:val="2"/>
  </w:num>
  <w:num w:numId="8" w16cid:durableId="128860470">
    <w:abstractNumId w:val="1"/>
  </w:num>
  <w:num w:numId="9" w16cid:durableId="2142919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0744"/>
    <w:rsid w:val="001E4D25"/>
    <w:rsid w:val="0029639D"/>
    <w:rsid w:val="00326F90"/>
    <w:rsid w:val="005B69EE"/>
    <w:rsid w:val="007E3934"/>
    <w:rsid w:val="008E66CD"/>
    <w:rsid w:val="00AA1D8D"/>
    <w:rsid w:val="00B47730"/>
    <w:rsid w:val="00BA69B6"/>
    <w:rsid w:val="00C9716C"/>
    <w:rsid w:val="00CB0664"/>
    <w:rsid w:val="00F3294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9E9BF2"/>
  <w14:defaultImageDpi w14:val="300"/>
  <w15:docId w15:val="{4F4CA46D-4CAF-4FD6-888C-D058CD90B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color w:val="222222"/>
      <w:sz w:val="20"/>
    </w:rPr>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b/>
      <w:bCs/>
      <w:color w:val="375A3B"/>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66845F"/>
      <w:sz w:val="25"/>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b/>
      <w:bCs/>
      <w:color w:val="375A3B"/>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375A3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54" w:lineRule="auto"/>
      <w:ind w:left="403" w:hanging="23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54" w:lineRule="auto"/>
      <w:ind w:left="403" w:hanging="23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metadata">
    <w:name w:val="Policy metadata"/>
    <w:pPr>
      <w:spacing w:after="40"/>
    </w:pPr>
    <w:rPr>
      <w:rFonts w:ascii="Arial" w:hAnsi="Arial"/>
      <w:color w:val="666666"/>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3551</Words>
  <Characters>20241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TWiG Health and Safety Policy</vt:lpstr>
    </vt:vector>
  </TitlesOfParts>
  <Manager/>
  <Company/>
  <LinksUpToDate>false</LinksUpToDate>
  <CharactersWithSpaces>23745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TWiG Health and Safety Policy</dc:title>
  <dc:subject>Health and safety policy aligned to TWiG quality assurance requirements</dc:subject>
  <dc:creator>The Wilderness Grove Forest School</dc:creator>
  <cp:keywords>Health and safety, Forest School, first aid, tools, maintenance, risk assessment</cp:keywords>
  <dc:description>generated by python-docx</dc:description>
  <cp:lastModifiedBy>Cate Regi</cp:lastModifiedBy>
  <cp:revision>4</cp:revision>
  <dcterms:created xsi:type="dcterms:W3CDTF">2026-08-23T15:49:00Z</dcterms:created>
  <dcterms:modified xsi:type="dcterms:W3CDTF">2026-08-25T06:44:00Z</dcterms:modified>
  <cp:category/>
</cp:coreProperties>
</file>