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3FA1D" w14:textId="04A21E0A" w:rsidR="005846FF" w:rsidRPr="00041F63" w:rsidRDefault="004B6EF6" w:rsidP="00041F63">
      <w:pPr>
        <w:spacing w:after="60"/>
        <w:rPr>
          <w:rFonts w:ascii="Century Gothic" w:hAnsi="Century Gothic"/>
        </w:rPr>
      </w:pPr>
      <w:r w:rsidRPr="00041F63">
        <w:rPr>
          <w:rFonts w:ascii="Century Gothic" w:hAnsi="Century Gothic"/>
          <w:b/>
          <w:color w:val="1F4D78"/>
          <w:sz w:val="46"/>
        </w:rPr>
        <w:t>ANTI-BULLYING AND PEER HARM POLICY</w:t>
      </w:r>
    </w:p>
    <w:tbl>
      <w:tblPr>
        <w:tblStyle w:val="TableGrid"/>
        <w:tblW w:w="9240" w:type="dxa"/>
        <w:tblInd w:w="120" w:type="dxa"/>
        <w:tblLayout w:type="fixed"/>
        <w:tblLook w:val="04A0" w:firstRow="1" w:lastRow="0" w:firstColumn="1" w:lastColumn="0" w:noHBand="0" w:noVBand="1"/>
      </w:tblPr>
      <w:tblGrid>
        <w:gridCol w:w="2200"/>
        <w:gridCol w:w="7040"/>
      </w:tblGrid>
      <w:tr w:rsidR="005846FF" w:rsidRPr="00041F63" w14:paraId="7D25F1AB" w14:textId="77777777">
        <w:trPr>
          <w:cantSplit/>
          <w:tblHeader/>
        </w:trPr>
        <w:tc>
          <w:tcPr>
            <w:tcW w:w="2200" w:type="dxa"/>
            <w:shd w:val="clear" w:color="auto" w:fill="F2F4F7"/>
            <w:tcMar>
              <w:top w:w="90" w:type="dxa"/>
              <w:left w:w="120" w:type="dxa"/>
              <w:bottom w:w="90" w:type="dxa"/>
              <w:right w:w="120" w:type="dxa"/>
            </w:tcMar>
          </w:tcPr>
          <w:p w14:paraId="7D0F13CE" w14:textId="77777777" w:rsidR="005846FF" w:rsidRPr="00041F63" w:rsidRDefault="004B6EF6">
            <w:pPr>
              <w:rPr>
                <w:rFonts w:ascii="Century Gothic" w:hAnsi="Century Gothic"/>
              </w:rPr>
            </w:pPr>
            <w:r w:rsidRPr="00041F63">
              <w:rPr>
                <w:rFonts w:ascii="Century Gothic" w:hAnsi="Century Gothic"/>
                <w:b/>
                <w:color w:val="315B45"/>
                <w:sz w:val="18"/>
              </w:rPr>
              <w:t>Policy owner</w:t>
            </w:r>
          </w:p>
        </w:tc>
        <w:tc>
          <w:tcPr>
            <w:tcW w:w="7040" w:type="dxa"/>
            <w:tcMar>
              <w:top w:w="90" w:type="dxa"/>
              <w:left w:w="120" w:type="dxa"/>
              <w:bottom w:w="90" w:type="dxa"/>
              <w:right w:w="120" w:type="dxa"/>
            </w:tcMar>
          </w:tcPr>
          <w:p w14:paraId="4677CDFB" w14:textId="77777777" w:rsidR="005846FF" w:rsidRPr="00041F63" w:rsidRDefault="004B6EF6">
            <w:pPr>
              <w:rPr>
                <w:rFonts w:ascii="Century Gothic" w:hAnsi="Century Gothic"/>
              </w:rPr>
            </w:pPr>
            <w:r w:rsidRPr="00041F63">
              <w:rPr>
                <w:rFonts w:ascii="Century Gothic" w:hAnsi="Century Gothic"/>
                <w:color w:val="202622"/>
                <w:sz w:val="18"/>
              </w:rPr>
              <w:t>Managing Partners</w:t>
            </w:r>
          </w:p>
        </w:tc>
      </w:tr>
      <w:tr w:rsidR="005846FF" w:rsidRPr="00041F63" w14:paraId="50F0802D" w14:textId="77777777">
        <w:trPr>
          <w:cantSplit/>
        </w:trPr>
        <w:tc>
          <w:tcPr>
            <w:tcW w:w="2200" w:type="dxa"/>
            <w:shd w:val="clear" w:color="auto" w:fill="F2F4F7"/>
            <w:tcMar>
              <w:top w:w="90" w:type="dxa"/>
              <w:left w:w="120" w:type="dxa"/>
              <w:bottom w:w="90" w:type="dxa"/>
              <w:right w:w="120" w:type="dxa"/>
            </w:tcMar>
          </w:tcPr>
          <w:p w14:paraId="33B52502" w14:textId="77777777" w:rsidR="005846FF" w:rsidRPr="00041F63" w:rsidRDefault="004B6EF6">
            <w:pPr>
              <w:rPr>
                <w:rFonts w:ascii="Century Gothic" w:hAnsi="Century Gothic"/>
              </w:rPr>
            </w:pPr>
            <w:r w:rsidRPr="00041F63">
              <w:rPr>
                <w:rFonts w:ascii="Century Gothic" w:hAnsi="Century Gothic"/>
                <w:b/>
                <w:color w:val="315B45"/>
                <w:sz w:val="18"/>
              </w:rPr>
              <w:t>Safeguarding leads</w:t>
            </w:r>
          </w:p>
        </w:tc>
        <w:tc>
          <w:tcPr>
            <w:tcW w:w="7040" w:type="dxa"/>
            <w:tcMar>
              <w:top w:w="90" w:type="dxa"/>
              <w:left w:w="120" w:type="dxa"/>
              <w:bottom w:w="90" w:type="dxa"/>
              <w:right w:w="120" w:type="dxa"/>
            </w:tcMar>
          </w:tcPr>
          <w:p w14:paraId="4759892E" w14:textId="77777777" w:rsidR="005846FF" w:rsidRPr="00041F63" w:rsidRDefault="004B6EF6">
            <w:pPr>
              <w:rPr>
                <w:rFonts w:ascii="Century Gothic" w:hAnsi="Century Gothic"/>
              </w:rPr>
            </w:pPr>
            <w:r w:rsidRPr="00041F63">
              <w:rPr>
                <w:rFonts w:ascii="Century Gothic" w:hAnsi="Century Gothic"/>
                <w:color w:val="202622"/>
                <w:sz w:val="18"/>
              </w:rPr>
              <w:t>Catherine Regi and Thomas Wild — Designated Safeguarding Leads</w:t>
            </w:r>
          </w:p>
        </w:tc>
      </w:tr>
      <w:tr w:rsidR="005846FF" w:rsidRPr="00041F63" w14:paraId="4672DC3B" w14:textId="77777777">
        <w:trPr>
          <w:cantSplit/>
        </w:trPr>
        <w:tc>
          <w:tcPr>
            <w:tcW w:w="2200" w:type="dxa"/>
            <w:shd w:val="clear" w:color="auto" w:fill="F2F4F7"/>
            <w:tcMar>
              <w:top w:w="90" w:type="dxa"/>
              <w:left w:w="120" w:type="dxa"/>
              <w:bottom w:w="90" w:type="dxa"/>
              <w:right w:w="120" w:type="dxa"/>
            </w:tcMar>
          </w:tcPr>
          <w:p w14:paraId="35722FB7" w14:textId="77777777" w:rsidR="005846FF" w:rsidRPr="00041F63" w:rsidRDefault="004B6EF6">
            <w:pPr>
              <w:rPr>
                <w:rFonts w:ascii="Century Gothic" w:hAnsi="Century Gothic"/>
              </w:rPr>
            </w:pPr>
            <w:r w:rsidRPr="00041F63">
              <w:rPr>
                <w:rFonts w:ascii="Century Gothic" w:hAnsi="Century Gothic"/>
                <w:b/>
                <w:color w:val="315B45"/>
                <w:sz w:val="18"/>
              </w:rPr>
              <w:t>Approved</w:t>
            </w:r>
          </w:p>
        </w:tc>
        <w:tc>
          <w:tcPr>
            <w:tcW w:w="7040" w:type="dxa"/>
            <w:tcMar>
              <w:top w:w="90" w:type="dxa"/>
              <w:left w:w="120" w:type="dxa"/>
              <w:bottom w:w="90" w:type="dxa"/>
              <w:right w:w="120" w:type="dxa"/>
            </w:tcMar>
          </w:tcPr>
          <w:p w14:paraId="789D527F" w14:textId="77777777" w:rsidR="005846FF" w:rsidRPr="00041F63" w:rsidRDefault="004B6EF6">
            <w:pPr>
              <w:rPr>
                <w:rFonts w:ascii="Century Gothic" w:hAnsi="Century Gothic"/>
              </w:rPr>
            </w:pPr>
            <w:r w:rsidRPr="00041F63">
              <w:rPr>
                <w:rFonts w:ascii="Century Gothic" w:hAnsi="Century Gothic"/>
                <w:color w:val="202622"/>
                <w:sz w:val="18"/>
              </w:rPr>
              <w:t>25 August 2026</w:t>
            </w:r>
          </w:p>
        </w:tc>
      </w:tr>
      <w:tr w:rsidR="005846FF" w:rsidRPr="00041F63" w14:paraId="7E1413F4" w14:textId="77777777">
        <w:trPr>
          <w:cantSplit/>
        </w:trPr>
        <w:tc>
          <w:tcPr>
            <w:tcW w:w="2200" w:type="dxa"/>
            <w:shd w:val="clear" w:color="auto" w:fill="F2F4F7"/>
            <w:tcMar>
              <w:top w:w="90" w:type="dxa"/>
              <w:left w:w="120" w:type="dxa"/>
              <w:bottom w:w="90" w:type="dxa"/>
              <w:right w:w="120" w:type="dxa"/>
            </w:tcMar>
          </w:tcPr>
          <w:p w14:paraId="3F779448" w14:textId="77777777" w:rsidR="005846FF" w:rsidRPr="00041F63" w:rsidRDefault="004B6EF6">
            <w:pPr>
              <w:rPr>
                <w:rFonts w:ascii="Century Gothic" w:hAnsi="Century Gothic"/>
              </w:rPr>
            </w:pPr>
            <w:r w:rsidRPr="00041F63">
              <w:rPr>
                <w:rFonts w:ascii="Century Gothic" w:hAnsi="Century Gothic"/>
                <w:b/>
                <w:color w:val="315B45"/>
                <w:sz w:val="18"/>
              </w:rPr>
              <w:t>Review date</w:t>
            </w:r>
          </w:p>
        </w:tc>
        <w:tc>
          <w:tcPr>
            <w:tcW w:w="7040" w:type="dxa"/>
            <w:tcMar>
              <w:top w:w="90" w:type="dxa"/>
              <w:left w:w="120" w:type="dxa"/>
              <w:bottom w:w="90" w:type="dxa"/>
              <w:right w:w="120" w:type="dxa"/>
            </w:tcMar>
          </w:tcPr>
          <w:p w14:paraId="6980679E" w14:textId="77777777" w:rsidR="005846FF" w:rsidRPr="00041F63" w:rsidRDefault="004B6EF6">
            <w:pPr>
              <w:rPr>
                <w:rFonts w:ascii="Century Gothic" w:hAnsi="Century Gothic"/>
              </w:rPr>
            </w:pPr>
            <w:r w:rsidRPr="00041F63">
              <w:rPr>
                <w:rFonts w:ascii="Century Gothic" w:hAnsi="Century Gothic"/>
                <w:color w:val="202622"/>
                <w:sz w:val="18"/>
              </w:rPr>
              <w:t>August 2027, or sooner following a serious incident, pattern or guidance change</w:t>
            </w:r>
          </w:p>
        </w:tc>
      </w:tr>
      <w:tr w:rsidR="005846FF" w:rsidRPr="00041F63" w14:paraId="323C9A0A" w14:textId="77777777">
        <w:trPr>
          <w:cantSplit/>
        </w:trPr>
        <w:tc>
          <w:tcPr>
            <w:tcW w:w="2200" w:type="dxa"/>
            <w:shd w:val="clear" w:color="auto" w:fill="F2F4F7"/>
            <w:tcMar>
              <w:top w:w="90" w:type="dxa"/>
              <w:left w:w="120" w:type="dxa"/>
              <w:bottom w:w="90" w:type="dxa"/>
              <w:right w:w="120" w:type="dxa"/>
            </w:tcMar>
          </w:tcPr>
          <w:p w14:paraId="634E65A2" w14:textId="77777777" w:rsidR="005846FF" w:rsidRPr="00041F63" w:rsidRDefault="004B6EF6">
            <w:pPr>
              <w:rPr>
                <w:rFonts w:ascii="Century Gothic" w:hAnsi="Century Gothic"/>
              </w:rPr>
            </w:pPr>
            <w:r w:rsidRPr="00041F63">
              <w:rPr>
                <w:rFonts w:ascii="Century Gothic" w:hAnsi="Century Gothic"/>
                <w:b/>
                <w:color w:val="315B45"/>
                <w:sz w:val="18"/>
              </w:rPr>
              <w:t>Applies to</w:t>
            </w:r>
          </w:p>
        </w:tc>
        <w:tc>
          <w:tcPr>
            <w:tcW w:w="7040" w:type="dxa"/>
            <w:tcMar>
              <w:top w:w="90" w:type="dxa"/>
              <w:left w:w="120" w:type="dxa"/>
              <w:bottom w:w="90" w:type="dxa"/>
              <w:right w:w="120" w:type="dxa"/>
            </w:tcMar>
          </w:tcPr>
          <w:p w14:paraId="519DEA91" w14:textId="77777777" w:rsidR="005846FF" w:rsidRPr="00041F63" w:rsidRDefault="004B6EF6">
            <w:pPr>
              <w:rPr>
                <w:rFonts w:ascii="Century Gothic" w:hAnsi="Century Gothic"/>
              </w:rPr>
            </w:pPr>
            <w:r w:rsidRPr="00041F63">
              <w:rPr>
                <w:rFonts w:ascii="Century Gothic" w:hAnsi="Century Gothic"/>
                <w:color w:val="202622"/>
                <w:sz w:val="18"/>
              </w:rPr>
              <w:t>All children and young people attending TWiG, including commissioned alternative provision and home-education/community sessions</w:t>
            </w:r>
          </w:p>
        </w:tc>
      </w:tr>
      <w:tr w:rsidR="005846FF" w:rsidRPr="00041F63" w14:paraId="00C205B6" w14:textId="77777777">
        <w:trPr>
          <w:cantSplit/>
        </w:trPr>
        <w:tc>
          <w:tcPr>
            <w:tcW w:w="2200" w:type="dxa"/>
            <w:shd w:val="clear" w:color="auto" w:fill="F2F4F7"/>
            <w:tcMar>
              <w:top w:w="90" w:type="dxa"/>
              <w:left w:w="120" w:type="dxa"/>
              <w:bottom w:w="90" w:type="dxa"/>
              <w:right w:w="120" w:type="dxa"/>
            </w:tcMar>
          </w:tcPr>
          <w:p w14:paraId="59EE318C" w14:textId="77777777" w:rsidR="005846FF" w:rsidRPr="00041F63" w:rsidRDefault="004B6EF6">
            <w:pPr>
              <w:rPr>
                <w:rFonts w:ascii="Century Gothic" w:hAnsi="Century Gothic"/>
              </w:rPr>
            </w:pPr>
            <w:r w:rsidRPr="00041F63">
              <w:rPr>
                <w:rFonts w:ascii="Century Gothic" w:hAnsi="Century Gothic"/>
                <w:b/>
                <w:color w:val="315B45"/>
                <w:sz w:val="18"/>
              </w:rPr>
              <w:t>Related documents</w:t>
            </w:r>
          </w:p>
        </w:tc>
        <w:tc>
          <w:tcPr>
            <w:tcW w:w="7040" w:type="dxa"/>
            <w:tcMar>
              <w:top w:w="90" w:type="dxa"/>
              <w:left w:w="120" w:type="dxa"/>
              <w:bottom w:w="90" w:type="dxa"/>
              <w:right w:w="120" w:type="dxa"/>
            </w:tcMar>
          </w:tcPr>
          <w:p w14:paraId="21EF9F61" w14:textId="77777777" w:rsidR="005846FF" w:rsidRPr="00041F63" w:rsidRDefault="004B6EF6">
            <w:pPr>
              <w:rPr>
                <w:rFonts w:ascii="Century Gothic" w:hAnsi="Century Gothic"/>
              </w:rPr>
            </w:pPr>
            <w:r w:rsidRPr="00041F63">
              <w:rPr>
                <w:rFonts w:ascii="Century Gothic" w:hAnsi="Century Gothic"/>
                <w:color w:val="202622"/>
                <w:sz w:val="18"/>
              </w:rPr>
              <w:t>Safeguarding and Child Protection; Behaviour, Relationships and Regulation; Single Equality; Online Safety and Technology; Staff Code of Conduct; Complaints; Attendance; Missing Children; Data Protection</w:t>
            </w:r>
          </w:p>
        </w:tc>
      </w:tr>
    </w:tbl>
    <w:p w14:paraId="2E61D6CF" w14:textId="77777777" w:rsidR="005846FF" w:rsidRPr="00041F63" w:rsidRDefault="004B6EF6">
      <w:pPr>
        <w:pStyle w:val="Callout"/>
        <w:pBdr>
          <w:left w:val="single" w:sz="18" w:space="8" w:color="315B45"/>
        </w:pBdr>
        <w:shd w:val="clear" w:color="auto" w:fill="F2F4F7"/>
        <w:rPr>
          <w:rFonts w:ascii="Century Gothic" w:hAnsi="Century Gothic"/>
        </w:rPr>
      </w:pPr>
      <w:r w:rsidRPr="00041F63">
        <w:rPr>
          <w:rFonts w:ascii="Century Gothic" w:hAnsi="Century Gothic"/>
          <w:b/>
          <w:color w:val="315B45"/>
        </w:rPr>
        <w:t xml:space="preserve">Our position  </w:t>
      </w:r>
      <w:r w:rsidRPr="00041F63">
        <w:rPr>
          <w:rFonts w:ascii="Century Gothic" w:hAnsi="Century Gothic"/>
          <w:color w:val="202124"/>
        </w:rPr>
        <w:t>Bullying and peer harm are never accepted as “banter”, a normal part of growing up or an inevitable consequence of distress. Behaviour may communicate need, but understanding its meaning does not excuse harm. TWiG protects the child who has been harmed and helps every child develop safer ways of relating.</w:t>
      </w:r>
    </w:p>
    <w:p w14:paraId="7A7A85CF" w14:textId="77777777" w:rsidR="005846FF" w:rsidRPr="00041F63" w:rsidRDefault="004B6EF6">
      <w:pPr>
        <w:pStyle w:val="Heading1"/>
        <w:rPr>
          <w:rFonts w:ascii="Century Gothic" w:hAnsi="Century Gothic"/>
        </w:rPr>
      </w:pPr>
      <w:r w:rsidRPr="00041F63">
        <w:rPr>
          <w:rFonts w:ascii="Century Gothic" w:hAnsi="Century Gothic"/>
        </w:rPr>
        <w:t>1. Purpose and framework</w:t>
      </w:r>
    </w:p>
    <w:p w14:paraId="496C4DE6" w14:textId="77777777" w:rsidR="005846FF" w:rsidRPr="00041F63" w:rsidRDefault="004B6EF6">
      <w:pPr>
        <w:rPr>
          <w:rFonts w:ascii="Century Gothic" w:hAnsi="Century Gothic"/>
        </w:rPr>
      </w:pPr>
      <w:r w:rsidRPr="00041F63">
        <w:rPr>
          <w:rFonts w:ascii="Century Gothic" w:hAnsi="Century Gothic"/>
        </w:rPr>
        <w:t>This policy explains how TWiG prevents, identifies and responds to bullying, cyberbullying, prejudice-based behaviour and other peer harm. It reflects TWiG’s holistic, trauma-informed and Forest School ethos while maintaining clear boundaries that protect safety, dignity, equality and access to learning.</w:t>
      </w:r>
    </w:p>
    <w:p w14:paraId="5AF53DCE" w14:textId="77777777" w:rsidR="005846FF" w:rsidRPr="00041F63" w:rsidRDefault="004B6EF6">
      <w:pPr>
        <w:rPr>
          <w:rFonts w:ascii="Century Gothic" w:hAnsi="Century Gothic"/>
        </w:rPr>
      </w:pPr>
      <w:r w:rsidRPr="00041F63">
        <w:rPr>
          <w:rFonts w:ascii="Century Gothic" w:hAnsi="Century Gothic"/>
        </w:rPr>
        <w:t>TWiG is a non-school alternative provision rather than a registered school. It uses the Department for Education’s bullying advice, Keeping Children Safe in Education 2026 and the Non-school Alternative Provision Voluntary National Standards as relevant good-practice and safeguarding benchmarks, alongside the Equality Act 2010 and local safeguarding procedures.</w:t>
      </w:r>
    </w:p>
    <w:p w14:paraId="0D50EC18" w14:textId="77777777" w:rsidR="005846FF" w:rsidRPr="00041F63" w:rsidRDefault="004B6EF6">
      <w:pPr>
        <w:pStyle w:val="Heading1"/>
        <w:rPr>
          <w:rFonts w:ascii="Century Gothic" w:hAnsi="Century Gothic"/>
        </w:rPr>
      </w:pPr>
      <w:r w:rsidRPr="00041F63">
        <w:rPr>
          <w:rFonts w:ascii="Century Gothic" w:hAnsi="Century Gothic"/>
        </w:rPr>
        <w:lastRenderedPageBreak/>
        <w:t>2. Definition and important distinctions</w:t>
      </w:r>
    </w:p>
    <w:p w14:paraId="747E098A" w14:textId="77777777" w:rsidR="005846FF" w:rsidRPr="00041F63" w:rsidRDefault="004B6EF6">
      <w:pPr>
        <w:pStyle w:val="Callout"/>
        <w:pBdr>
          <w:left w:val="single" w:sz="18" w:space="8" w:color="2E74B5"/>
        </w:pBdr>
        <w:shd w:val="clear" w:color="auto" w:fill="E8EEF5"/>
        <w:rPr>
          <w:rFonts w:ascii="Century Gothic" w:hAnsi="Century Gothic"/>
        </w:rPr>
      </w:pPr>
      <w:r w:rsidRPr="00041F63">
        <w:rPr>
          <w:rFonts w:ascii="Century Gothic" w:hAnsi="Century Gothic"/>
          <w:b/>
          <w:color w:val="2E74B5"/>
        </w:rPr>
        <w:t xml:space="preserve">Bullying  </w:t>
      </w:r>
      <w:r w:rsidRPr="00041F63">
        <w:rPr>
          <w:rFonts w:ascii="Century Gothic" w:hAnsi="Century Gothic"/>
          <w:color w:val="202124"/>
        </w:rPr>
        <w:t>Bullying is the repeated, intentional hurting of a person or group where there is an imbalance of power. It may be physical, verbal, emotional, relational, sexual, discriminatory, material or online. Power may arise from strength, status, popularity, age, information, numbers, communication, disability, vulnerability or control of a relationship.</w:t>
      </w:r>
    </w:p>
    <w:p w14:paraId="2240F583" w14:textId="77777777" w:rsidR="005846FF" w:rsidRPr="00041F63" w:rsidRDefault="004B6EF6">
      <w:pPr>
        <w:pStyle w:val="Heading2"/>
        <w:rPr>
          <w:rFonts w:ascii="Century Gothic" w:hAnsi="Century Gothic"/>
        </w:rPr>
      </w:pPr>
      <w:r w:rsidRPr="00041F63">
        <w:rPr>
          <w:rFonts w:ascii="Century Gothic" w:hAnsi="Century Gothic"/>
        </w:rPr>
        <w:t>Bullying, conflict and one-off harm</w:t>
      </w:r>
    </w:p>
    <w:tbl>
      <w:tblPr>
        <w:tblStyle w:val="TableGrid"/>
        <w:tblW w:w="9360" w:type="dxa"/>
        <w:tblInd w:w="120" w:type="dxa"/>
        <w:tblLayout w:type="fixed"/>
        <w:tblLook w:val="04A0" w:firstRow="1" w:lastRow="0" w:firstColumn="1" w:lastColumn="0" w:noHBand="0" w:noVBand="1"/>
      </w:tblPr>
      <w:tblGrid>
        <w:gridCol w:w="1750"/>
        <w:gridCol w:w="3800"/>
        <w:gridCol w:w="3810"/>
      </w:tblGrid>
      <w:tr w:rsidR="005846FF" w:rsidRPr="00041F63" w14:paraId="1F3AF79D" w14:textId="77777777">
        <w:trPr>
          <w:cantSplit/>
          <w:tblHeader/>
        </w:trPr>
        <w:tc>
          <w:tcPr>
            <w:tcW w:w="1750" w:type="dxa"/>
            <w:shd w:val="clear" w:color="auto" w:fill="E8EEF5"/>
            <w:tcMar>
              <w:top w:w="90" w:type="dxa"/>
              <w:left w:w="120" w:type="dxa"/>
              <w:bottom w:w="90" w:type="dxa"/>
              <w:right w:w="120" w:type="dxa"/>
            </w:tcMar>
          </w:tcPr>
          <w:p w14:paraId="3117582A" w14:textId="77777777" w:rsidR="005846FF" w:rsidRPr="00041F63" w:rsidRDefault="004B6EF6">
            <w:pPr>
              <w:rPr>
                <w:rFonts w:ascii="Century Gothic" w:hAnsi="Century Gothic"/>
              </w:rPr>
            </w:pPr>
            <w:r w:rsidRPr="00041F63">
              <w:rPr>
                <w:rFonts w:ascii="Century Gothic" w:hAnsi="Century Gothic"/>
                <w:b/>
                <w:color w:val="1F4D78"/>
                <w:sz w:val="17"/>
              </w:rPr>
              <w:t>Situation</w:t>
            </w:r>
          </w:p>
        </w:tc>
        <w:tc>
          <w:tcPr>
            <w:tcW w:w="3800" w:type="dxa"/>
            <w:shd w:val="clear" w:color="auto" w:fill="E8EEF5"/>
            <w:tcMar>
              <w:top w:w="90" w:type="dxa"/>
              <w:left w:w="120" w:type="dxa"/>
              <w:bottom w:w="90" w:type="dxa"/>
              <w:right w:w="120" w:type="dxa"/>
            </w:tcMar>
          </w:tcPr>
          <w:p w14:paraId="679E1839" w14:textId="77777777" w:rsidR="005846FF" w:rsidRPr="00041F63" w:rsidRDefault="004B6EF6">
            <w:pPr>
              <w:rPr>
                <w:rFonts w:ascii="Century Gothic" w:hAnsi="Century Gothic"/>
              </w:rPr>
            </w:pPr>
            <w:r w:rsidRPr="00041F63">
              <w:rPr>
                <w:rFonts w:ascii="Century Gothic" w:hAnsi="Century Gothic"/>
                <w:b/>
                <w:color w:val="1F4D78"/>
                <w:sz w:val="17"/>
              </w:rPr>
              <w:t>How TWiG understands it</w:t>
            </w:r>
          </w:p>
        </w:tc>
        <w:tc>
          <w:tcPr>
            <w:tcW w:w="3810" w:type="dxa"/>
            <w:shd w:val="clear" w:color="auto" w:fill="E8EEF5"/>
            <w:tcMar>
              <w:top w:w="90" w:type="dxa"/>
              <w:left w:w="120" w:type="dxa"/>
              <w:bottom w:w="90" w:type="dxa"/>
              <w:right w:w="120" w:type="dxa"/>
            </w:tcMar>
          </w:tcPr>
          <w:p w14:paraId="37144229" w14:textId="77777777" w:rsidR="005846FF" w:rsidRPr="00041F63" w:rsidRDefault="004B6EF6">
            <w:pPr>
              <w:rPr>
                <w:rFonts w:ascii="Century Gothic" w:hAnsi="Century Gothic"/>
              </w:rPr>
            </w:pPr>
            <w:r w:rsidRPr="00041F63">
              <w:rPr>
                <w:rFonts w:ascii="Century Gothic" w:hAnsi="Century Gothic"/>
                <w:b/>
                <w:color w:val="1F4D78"/>
                <w:sz w:val="17"/>
              </w:rPr>
              <w:t>Response</w:t>
            </w:r>
          </w:p>
        </w:tc>
      </w:tr>
      <w:tr w:rsidR="005846FF" w:rsidRPr="00041F63" w14:paraId="0BA065A7" w14:textId="77777777">
        <w:tc>
          <w:tcPr>
            <w:tcW w:w="1750" w:type="dxa"/>
          </w:tcPr>
          <w:p w14:paraId="3439F7E9" w14:textId="77777777" w:rsidR="005846FF" w:rsidRPr="00041F63" w:rsidRDefault="004B6EF6">
            <w:pPr>
              <w:rPr>
                <w:rFonts w:ascii="Century Gothic" w:hAnsi="Century Gothic"/>
              </w:rPr>
            </w:pPr>
            <w:r w:rsidRPr="00041F63">
              <w:rPr>
                <w:rFonts w:ascii="Century Gothic" w:hAnsi="Century Gothic"/>
                <w:sz w:val="17"/>
              </w:rPr>
              <w:t>Bullying</w:t>
            </w:r>
          </w:p>
        </w:tc>
        <w:tc>
          <w:tcPr>
            <w:tcW w:w="3800" w:type="dxa"/>
          </w:tcPr>
          <w:p w14:paraId="2EE87020" w14:textId="77777777" w:rsidR="005846FF" w:rsidRPr="00041F63" w:rsidRDefault="004B6EF6">
            <w:pPr>
              <w:rPr>
                <w:rFonts w:ascii="Century Gothic" w:hAnsi="Century Gothic"/>
              </w:rPr>
            </w:pPr>
            <w:r w:rsidRPr="00041F63">
              <w:rPr>
                <w:rFonts w:ascii="Century Gothic" w:hAnsi="Century Gothic"/>
                <w:sz w:val="17"/>
              </w:rPr>
              <w:t>Repeated intentional harm involving an imbalance of power. A repeated pattern may consist of different acts rather than the same act each time.</w:t>
            </w:r>
          </w:p>
        </w:tc>
        <w:tc>
          <w:tcPr>
            <w:tcW w:w="3810" w:type="dxa"/>
          </w:tcPr>
          <w:p w14:paraId="2622443B" w14:textId="77777777" w:rsidR="005846FF" w:rsidRPr="00041F63" w:rsidRDefault="004B6EF6">
            <w:pPr>
              <w:rPr>
                <w:rFonts w:ascii="Century Gothic" w:hAnsi="Century Gothic"/>
              </w:rPr>
            </w:pPr>
            <w:r w:rsidRPr="00041F63">
              <w:rPr>
                <w:rFonts w:ascii="Century Gothic" w:hAnsi="Century Gothic"/>
                <w:sz w:val="17"/>
              </w:rPr>
              <w:t>Anti-bullying response, safety plan, investigation, family/commissioner communication and monitoring.</w:t>
            </w:r>
          </w:p>
        </w:tc>
      </w:tr>
      <w:tr w:rsidR="005846FF" w:rsidRPr="00041F63" w14:paraId="23EA5BC5" w14:textId="77777777">
        <w:tc>
          <w:tcPr>
            <w:tcW w:w="1750" w:type="dxa"/>
          </w:tcPr>
          <w:p w14:paraId="23685F75" w14:textId="77777777" w:rsidR="005846FF" w:rsidRPr="00041F63" w:rsidRDefault="004B6EF6">
            <w:pPr>
              <w:rPr>
                <w:rFonts w:ascii="Century Gothic" w:hAnsi="Century Gothic"/>
              </w:rPr>
            </w:pPr>
            <w:r w:rsidRPr="00041F63">
              <w:rPr>
                <w:rFonts w:ascii="Century Gothic" w:hAnsi="Century Gothic"/>
                <w:sz w:val="17"/>
              </w:rPr>
              <w:t>Relational conflict</w:t>
            </w:r>
          </w:p>
        </w:tc>
        <w:tc>
          <w:tcPr>
            <w:tcW w:w="3800" w:type="dxa"/>
          </w:tcPr>
          <w:p w14:paraId="7622D049" w14:textId="77777777" w:rsidR="005846FF" w:rsidRPr="00041F63" w:rsidRDefault="004B6EF6">
            <w:pPr>
              <w:rPr>
                <w:rFonts w:ascii="Century Gothic" w:hAnsi="Century Gothic"/>
              </w:rPr>
            </w:pPr>
            <w:r w:rsidRPr="00041F63">
              <w:rPr>
                <w:rFonts w:ascii="Century Gothic" w:hAnsi="Century Gothic"/>
                <w:sz w:val="17"/>
              </w:rPr>
              <w:t>A disagreement or rupture where power is relatively balanced and both children can express a view and seek resolution.</w:t>
            </w:r>
          </w:p>
        </w:tc>
        <w:tc>
          <w:tcPr>
            <w:tcW w:w="3810" w:type="dxa"/>
          </w:tcPr>
          <w:p w14:paraId="309D76FC" w14:textId="77777777" w:rsidR="005846FF" w:rsidRPr="00041F63" w:rsidRDefault="004B6EF6">
            <w:pPr>
              <w:rPr>
                <w:rFonts w:ascii="Century Gothic" w:hAnsi="Century Gothic"/>
              </w:rPr>
            </w:pPr>
            <w:r w:rsidRPr="00041F63">
              <w:rPr>
                <w:rFonts w:ascii="Century Gothic" w:hAnsi="Century Gothic"/>
                <w:sz w:val="17"/>
              </w:rPr>
              <w:t>Co-regulation, boundaries, problem-solving and repair when everyone is ready.</w:t>
            </w:r>
          </w:p>
        </w:tc>
      </w:tr>
      <w:tr w:rsidR="005846FF" w:rsidRPr="00041F63" w14:paraId="4327B9AD" w14:textId="77777777">
        <w:tc>
          <w:tcPr>
            <w:tcW w:w="1750" w:type="dxa"/>
          </w:tcPr>
          <w:p w14:paraId="70CF4D36" w14:textId="77777777" w:rsidR="005846FF" w:rsidRPr="00041F63" w:rsidRDefault="004B6EF6">
            <w:pPr>
              <w:rPr>
                <w:rFonts w:ascii="Century Gothic" w:hAnsi="Century Gothic"/>
              </w:rPr>
            </w:pPr>
            <w:r w:rsidRPr="00041F63">
              <w:rPr>
                <w:rFonts w:ascii="Century Gothic" w:hAnsi="Century Gothic"/>
                <w:sz w:val="17"/>
              </w:rPr>
              <w:t>One-off harmful incident</w:t>
            </w:r>
          </w:p>
        </w:tc>
        <w:tc>
          <w:tcPr>
            <w:tcW w:w="3800" w:type="dxa"/>
          </w:tcPr>
          <w:p w14:paraId="5BD1F6BE" w14:textId="77777777" w:rsidR="005846FF" w:rsidRPr="00041F63" w:rsidRDefault="004B6EF6">
            <w:pPr>
              <w:rPr>
                <w:rFonts w:ascii="Century Gothic" w:hAnsi="Century Gothic"/>
              </w:rPr>
            </w:pPr>
            <w:r w:rsidRPr="00041F63">
              <w:rPr>
                <w:rFonts w:ascii="Century Gothic" w:hAnsi="Century Gothic"/>
                <w:sz w:val="17"/>
              </w:rPr>
              <w:t>May not meet the definition of bullying but can still be serious, discriminatory, abusive or traumatic.</w:t>
            </w:r>
          </w:p>
        </w:tc>
        <w:tc>
          <w:tcPr>
            <w:tcW w:w="3810" w:type="dxa"/>
          </w:tcPr>
          <w:p w14:paraId="20F3C70B" w14:textId="77777777" w:rsidR="005846FF" w:rsidRPr="00041F63" w:rsidRDefault="004B6EF6">
            <w:pPr>
              <w:rPr>
                <w:rFonts w:ascii="Century Gothic" w:hAnsi="Century Gothic"/>
              </w:rPr>
            </w:pPr>
            <w:r w:rsidRPr="00041F63">
              <w:rPr>
                <w:rFonts w:ascii="Century Gothic" w:hAnsi="Century Gothic"/>
                <w:sz w:val="17"/>
              </w:rPr>
              <w:t>Stop the harm, support those affected, record and assess safeguarding/risk. Do not wait for repetition.</w:t>
            </w:r>
          </w:p>
        </w:tc>
      </w:tr>
      <w:tr w:rsidR="005846FF" w:rsidRPr="00041F63" w14:paraId="5E4C59E8" w14:textId="77777777">
        <w:tc>
          <w:tcPr>
            <w:tcW w:w="1750" w:type="dxa"/>
          </w:tcPr>
          <w:p w14:paraId="660B0307" w14:textId="77777777" w:rsidR="005846FF" w:rsidRPr="00041F63" w:rsidRDefault="004B6EF6">
            <w:pPr>
              <w:rPr>
                <w:rFonts w:ascii="Century Gothic" w:hAnsi="Century Gothic"/>
              </w:rPr>
            </w:pPr>
            <w:r w:rsidRPr="00041F63">
              <w:rPr>
                <w:rFonts w:ascii="Century Gothic" w:hAnsi="Century Gothic"/>
                <w:sz w:val="17"/>
              </w:rPr>
              <w:t>Child-on-child abuse</w:t>
            </w:r>
          </w:p>
        </w:tc>
        <w:tc>
          <w:tcPr>
            <w:tcW w:w="3800" w:type="dxa"/>
          </w:tcPr>
          <w:p w14:paraId="4F8013EF" w14:textId="77777777" w:rsidR="005846FF" w:rsidRPr="00041F63" w:rsidRDefault="004B6EF6">
            <w:pPr>
              <w:rPr>
                <w:rFonts w:ascii="Century Gothic" w:hAnsi="Century Gothic"/>
              </w:rPr>
            </w:pPr>
            <w:r w:rsidRPr="00041F63">
              <w:rPr>
                <w:rFonts w:ascii="Century Gothic" w:hAnsi="Century Gothic"/>
                <w:sz w:val="17"/>
              </w:rPr>
              <w:t>Harm that meets or may meet a safeguarding threshold, including serious bullying, sexual violence/harassment, coercion, exploitation, harmful sexual behaviour or serious physical abuse.</w:t>
            </w:r>
          </w:p>
        </w:tc>
        <w:tc>
          <w:tcPr>
            <w:tcW w:w="3810" w:type="dxa"/>
          </w:tcPr>
          <w:p w14:paraId="7F89A358" w14:textId="77777777" w:rsidR="005846FF" w:rsidRPr="00041F63" w:rsidRDefault="004B6EF6">
            <w:pPr>
              <w:rPr>
                <w:rFonts w:ascii="Century Gothic" w:hAnsi="Century Gothic"/>
              </w:rPr>
            </w:pPr>
            <w:r w:rsidRPr="00041F63">
              <w:rPr>
                <w:rFonts w:ascii="Century Gothic" w:hAnsi="Century Gothic"/>
                <w:sz w:val="17"/>
              </w:rPr>
              <w:t>Safeguarding Policy takes precedence; report immediately to a DSL and follow referral/safety procedures.</w:t>
            </w:r>
          </w:p>
        </w:tc>
      </w:tr>
      <w:tr w:rsidR="005846FF" w:rsidRPr="00041F63" w14:paraId="671AF5B6" w14:textId="77777777">
        <w:tc>
          <w:tcPr>
            <w:tcW w:w="1750" w:type="dxa"/>
          </w:tcPr>
          <w:p w14:paraId="32220BB3" w14:textId="77777777" w:rsidR="005846FF" w:rsidRPr="00041F63" w:rsidRDefault="004B6EF6">
            <w:pPr>
              <w:rPr>
                <w:rFonts w:ascii="Century Gothic" w:hAnsi="Century Gothic"/>
              </w:rPr>
            </w:pPr>
            <w:r w:rsidRPr="00041F63">
              <w:rPr>
                <w:rFonts w:ascii="Century Gothic" w:hAnsi="Century Gothic"/>
                <w:sz w:val="17"/>
              </w:rPr>
              <w:t>Adult behaviour towards a child</w:t>
            </w:r>
          </w:p>
        </w:tc>
        <w:tc>
          <w:tcPr>
            <w:tcW w:w="3800" w:type="dxa"/>
          </w:tcPr>
          <w:p w14:paraId="5F279383" w14:textId="77777777" w:rsidR="005846FF" w:rsidRPr="00041F63" w:rsidRDefault="004B6EF6">
            <w:pPr>
              <w:rPr>
                <w:rFonts w:ascii="Century Gothic" w:hAnsi="Century Gothic"/>
              </w:rPr>
            </w:pPr>
            <w:r w:rsidRPr="00041F63">
              <w:rPr>
                <w:rFonts w:ascii="Century Gothic" w:hAnsi="Century Gothic"/>
                <w:sz w:val="17"/>
              </w:rPr>
              <w:t>Bullying, intimidation, humiliation, discrimination or abuse by an adult is a professional-conduct and potentially safeguarding matter.</w:t>
            </w:r>
          </w:p>
        </w:tc>
        <w:tc>
          <w:tcPr>
            <w:tcW w:w="3810" w:type="dxa"/>
          </w:tcPr>
          <w:p w14:paraId="0C52FF5B" w14:textId="77777777" w:rsidR="005846FF" w:rsidRPr="00041F63" w:rsidRDefault="004B6EF6">
            <w:pPr>
              <w:rPr>
                <w:rFonts w:ascii="Century Gothic" w:hAnsi="Century Gothic"/>
              </w:rPr>
            </w:pPr>
            <w:r w:rsidRPr="00041F63">
              <w:rPr>
                <w:rFonts w:ascii="Century Gothic" w:hAnsi="Century Gothic"/>
                <w:sz w:val="17"/>
              </w:rPr>
              <w:t>Report to a Managing Partner/DSL; follow allegations, low-level concerns, whistleblowing or complaints procedures as appropriate.</w:t>
            </w:r>
          </w:p>
        </w:tc>
      </w:tr>
    </w:tbl>
    <w:p w14:paraId="1051350A" w14:textId="77777777" w:rsidR="005846FF" w:rsidRPr="00041F63" w:rsidRDefault="004B6EF6">
      <w:pPr>
        <w:rPr>
          <w:rFonts w:ascii="Century Gothic" w:hAnsi="Century Gothic"/>
        </w:rPr>
      </w:pPr>
      <w:r w:rsidRPr="00041F63">
        <w:rPr>
          <w:rFonts w:ascii="Century Gothic" w:hAnsi="Century Gothic"/>
        </w:rPr>
        <w:t>Intent is considered but is not the only factor. A child may not fully understand the impact of their behaviour; adults still stop harm and teach safer alternatives. Equally, an affected child does not have to prove intent before receiving protection and support.</w:t>
      </w:r>
    </w:p>
    <w:p w14:paraId="166C8605" w14:textId="77777777" w:rsidR="005846FF" w:rsidRPr="00041F63" w:rsidRDefault="004B6EF6">
      <w:pPr>
        <w:pStyle w:val="Heading1"/>
        <w:rPr>
          <w:rFonts w:ascii="Century Gothic" w:hAnsi="Century Gothic"/>
        </w:rPr>
      </w:pPr>
      <w:r w:rsidRPr="00041F63">
        <w:rPr>
          <w:rFonts w:ascii="Century Gothic" w:hAnsi="Century Gothic"/>
        </w:rPr>
        <w:t>3. Forms of bullying and peer harm</w:t>
      </w:r>
    </w:p>
    <w:p w14:paraId="5C5E28EF"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Physical: </w:t>
      </w:r>
      <w:r w:rsidRPr="00041F63">
        <w:rPr>
          <w:rFonts w:ascii="Century Gothic" w:hAnsi="Century Gothic"/>
          <w:color w:val="202622"/>
          <w:sz w:val="20"/>
        </w:rPr>
        <w:t>hitting, kicking, pushing, biting, restraining, damaging belongings, unsafe interference with tools, fire, structures or play, or encouraging others to cause harm.</w:t>
      </w:r>
    </w:p>
    <w:p w14:paraId="23553EBB"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Verbal: </w:t>
      </w:r>
      <w:r w:rsidRPr="00041F63">
        <w:rPr>
          <w:rFonts w:ascii="Century Gothic" w:hAnsi="Century Gothic"/>
          <w:color w:val="202622"/>
          <w:sz w:val="20"/>
        </w:rPr>
        <w:t>name-calling, threats, mocking, humiliation, repeated teasing, hostile “jokes”, rumours or comments about ability, appearance, family or identity.</w:t>
      </w:r>
    </w:p>
    <w:p w14:paraId="1854409C"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lastRenderedPageBreak/>
        <w:t xml:space="preserve">Relational or emotional: </w:t>
      </w:r>
      <w:r w:rsidRPr="00041F63">
        <w:rPr>
          <w:rFonts w:ascii="Century Gothic" w:hAnsi="Century Gothic"/>
          <w:color w:val="202622"/>
          <w:sz w:val="20"/>
        </w:rPr>
        <w:t>deliberate exclusion, coercive friendship, controlling who someone sees or speaks to, silent treatment, manipulation, intimidation, exposing secrets or recruiting others against a person.</w:t>
      </w:r>
    </w:p>
    <w:p w14:paraId="733F6EBF"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Material or extortion: </w:t>
      </w:r>
      <w:r w:rsidRPr="00041F63">
        <w:rPr>
          <w:rFonts w:ascii="Century Gothic" w:hAnsi="Century Gothic"/>
          <w:color w:val="202622"/>
          <w:sz w:val="20"/>
        </w:rPr>
        <w:t>taking, hiding or damaging belongings; demanding money, food, items, favours, images or actions through pressure or threats.</w:t>
      </w:r>
    </w:p>
    <w:p w14:paraId="63887990"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Online: </w:t>
      </w:r>
      <w:r w:rsidRPr="00041F63">
        <w:rPr>
          <w:rFonts w:ascii="Century Gothic" w:hAnsi="Century Gothic"/>
          <w:color w:val="202622"/>
          <w:sz w:val="20"/>
        </w:rPr>
        <w:t>harm through messages, group chats, gaming, social media, images, videos, impersonation, exclusion, doxxing, sharing personal information, threats or repeated contact.</w:t>
      </w:r>
    </w:p>
    <w:p w14:paraId="05AC83F9"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Sexual or sexist: </w:t>
      </w:r>
      <w:r w:rsidRPr="00041F63">
        <w:rPr>
          <w:rFonts w:ascii="Century Gothic" w:hAnsi="Century Gothic"/>
          <w:color w:val="202622"/>
          <w:sz w:val="20"/>
        </w:rPr>
        <w:t>sexual comments, jokes, gestures, rumours, unwanted contact, coercion, image-based abuse, harassment linked to sex, or harmful behaviour in an intimate peer relationship.</w:t>
      </w:r>
    </w:p>
    <w:p w14:paraId="464FA832"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Prejudice-based and discriminatory: </w:t>
      </w:r>
      <w:r w:rsidRPr="00041F63">
        <w:rPr>
          <w:rFonts w:ascii="Century Gothic" w:hAnsi="Century Gothic"/>
          <w:color w:val="202622"/>
          <w:sz w:val="20"/>
        </w:rPr>
        <w:t>harm connected to actual or perceived disability, race, ethnicity, nationality, religion or belief, sex, sexual orientation, gender reassignment, pregnancy/maternity, marriage/civil partnership, age or another aspect of identity.</w:t>
      </w:r>
    </w:p>
    <w:p w14:paraId="78F45D9A"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Hazing or initiation: </w:t>
      </w:r>
      <w:r w:rsidRPr="00041F63">
        <w:rPr>
          <w:rFonts w:ascii="Century Gothic" w:hAnsi="Century Gothic"/>
          <w:color w:val="202622"/>
          <w:sz w:val="20"/>
        </w:rPr>
        <w:t>pressure, humiliation, violence or risky acts presented as a condition of belonging.</w:t>
      </w:r>
    </w:p>
    <w:p w14:paraId="51B7DC2C"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Bystander or assistant behaviour: </w:t>
      </w:r>
      <w:r w:rsidRPr="00041F63">
        <w:rPr>
          <w:rFonts w:ascii="Century Gothic" w:hAnsi="Century Gothic"/>
          <w:color w:val="202622"/>
          <w:sz w:val="20"/>
        </w:rPr>
        <w:t>joining in, filming, forwarding, laughing, providing an audience, deliberately withholding help or retaliating against someone who reports.</w:t>
      </w:r>
    </w:p>
    <w:p w14:paraId="15866E4F" w14:textId="77777777" w:rsidR="005846FF" w:rsidRPr="00041F63" w:rsidRDefault="004B6EF6">
      <w:pPr>
        <w:pStyle w:val="Callout"/>
        <w:pBdr>
          <w:left w:val="single" w:sz="18" w:space="8" w:color="2E74B5"/>
        </w:pBdr>
        <w:shd w:val="clear" w:color="auto" w:fill="E8EEF5"/>
        <w:rPr>
          <w:rFonts w:ascii="Century Gothic" w:hAnsi="Century Gothic"/>
        </w:rPr>
      </w:pPr>
      <w:r w:rsidRPr="00041F63">
        <w:rPr>
          <w:rFonts w:ascii="Century Gothic" w:hAnsi="Century Gothic"/>
          <w:b/>
          <w:color w:val="2E74B5"/>
        </w:rPr>
        <w:t xml:space="preserve">Online and off-site harm  </w:t>
      </w:r>
      <w:r w:rsidRPr="00041F63">
        <w:rPr>
          <w:rFonts w:ascii="Century Gothic" w:hAnsi="Century Gothic"/>
          <w:color w:val="202124"/>
        </w:rPr>
        <w:t>TWiG responds where behaviour outside session time or online affects a child’s safety, wellbeing, relationships or access to TWiG. We work with families, commissioners and statutory services as appropriate; we do not require a harmed child to repeatedly view or reproduce upsetting content.</w:t>
      </w:r>
    </w:p>
    <w:p w14:paraId="61429CDF" w14:textId="77777777" w:rsidR="005846FF" w:rsidRPr="00041F63" w:rsidRDefault="004B6EF6">
      <w:pPr>
        <w:pStyle w:val="Heading1"/>
        <w:rPr>
          <w:rFonts w:ascii="Century Gothic" w:hAnsi="Century Gothic"/>
        </w:rPr>
      </w:pPr>
      <w:r w:rsidRPr="00041F63">
        <w:rPr>
          <w:rFonts w:ascii="Century Gothic" w:hAnsi="Century Gothic"/>
        </w:rPr>
        <w:t>4. Vulnerability, equality and power</w:t>
      </w:r>
    </w:p>
    <w:p w14:paraId="5388FE7D" w14:textId="77777777" w:rsidR="005846FF" w:rsidRPr="00041F63" w:rsidRDefault="004B6EF6">
      <w:pPr>
        <w:rPr>
          <w:rFonts w:ascii="Century Gothic" w:hAnsi="Century Gothic"/>
        </w:rPr>
      </w:pPr>
      <w:r w:rsidRPr="00041F63">
        <w:rPr>
          <w:rFonts w:ascii="Century Gothic" w:hAnsi="Century Gothic"/>
        </w:rPr>
        <w:t>Any child can experience or display bullying behaviour. Some children may face increased risk or reduced ability to report, including children with SEND or communication differences; care-experienced children; young carers; children experiencing poverty, bereavement or family difficulty; children from minority ethnic or faith groups; children who are or are perceived to be LGBT+; and children who are isolated, new to a group or dependent on one friendship.</w:t>
      </w:r>
    </w:p>
    <w:p w14:paraId="4997D554"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Adults notice subtle power imbalances, including speaking for another child, controlling shared choices, gatekeeping friendships, using private information or exploiting communication differences.</w:t>
      </w:r>
    </w:p>
    <w:p w14:paraId="60DFE223"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Reasonable adjustments make reporting, investigation and support accessible. Behaviour arising from disability is understood in context, but another child is not expected to tolerate harm.</w:t>
      </w:r>
    </w:p>
    <w:p w14:paraId="07F344C4"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Prejudice-related language or conduct is challenged even when the speaker says it was a joke, copied from elsewhere or not intended to offend.</w:t>
      </w:r>
    </w:p>
    <w:p w14:paraId="1AA1C3D6"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lastRenderedPageBreak/>
        <w:t>Records identify discriminatory elements and are reviewed for patterns; relevant safeguarding, commissioner and equality action follows.</w:t>
      </w:r>
    </w:p>
    <w:p w14:paraId="4AE297CC" w14:textId="77777777" w:rsidR="005846FF" w:rsidRPr="00041F63" w:rsidRDefault="004B6EF6">
      <w:pPr>
        <w:pStyle w:val="Heading1"/>
        <w:rPr>
          <w:rFonts w:ascii="Century Gothic" w:hAnsi="Century Gothic"/>
        </w:rPr>
      </w:pPr>
      <w:r w:rsidRPr="00041F63">
        <w:rPr>
          <w:rFonts w:ascii="Century Gothic" w:hAnsi="Century Gothic"/>
        </w:rPr>
        <w:t>5. Prevention through relationships and curriculum</w:t>
      </w:r>
    </w:p>
    <w:p w14:paraId="71E649A5" w14:textId="77777777" w:rsidR="005846FF" w:rsidRPr="00041F63" w:rsidRDefault="004B6EF6">
      <w:pPr>
        <w:rPr>
          <w:rFonts w:ascii="Century Gothic" w:hAnsi="Century Gothic"/>
        </w:rPr>
      </w:pPr>
      <w:r w:rsidRPr="00041F63">
        <w:rPr>
          <w:rFonts w:ascii="Century Gothic" w:hAnsi="Century Gothic"/>
        </w:rPr>
        <w:t>TWiG’s primary prevention is a safe, well-supervised, relational environment. Adults combine warmth and co-regulation with unambiguous safety boundaries.</w:t>
      </w:r>
    </w:p>
    <w:p w14:paraId="2AA4254C"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Model respect, consent, turn-taking, repair, curiosity about difference and appropriate challenge to harmful language.</w:t>
      </w:r>
    </w:p>
    <w:p w14:paraId="76378CE1"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Build predictable relationships so children know which adults will listen and what will happen after a report.</w:t>
      </w:r>
    </w:p>
    <w:p w14:paraId="4C247D63"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Use individual risk assessments, learning programmes and supervision arrangements to anticipate vulnerability, triggers, unsafe dynamics and transitions.</w:t>
      </w:r>
    </w:p>
    <w:p w14:paraId="2EEB1D4D"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Provide meaningful choice without allowing one child to dominate another’s voice, activity, belongings or relationships.</w:t>
      </w:r>
    </w:p>
    <w:p w14:paraId="0CCFE0C0"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Plan cooperative woodland activity, practical problem-solving and shared responsibility that develop empathy, communication and balanced leadership.</w:t>
      </w:r>
    </w:p>
    <w:p w14:paraId="1DEDEE0F"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Teach boundaries, body autonomy, healthy friendship, online safety, discrimination, help-seeking and bystander action in developmentally appropriate ways.</w:t>
      </w:r>
    </w:p>
    <w:p w14:paraId="4BD273CA"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Use dynamic risk assessment and active positioning in higher-risk areas such as swings, aerial equipment, tool work, fire, secluded woodland and transitions.</w:t>
      </w:r>
    </w:p>
    <w:p w14:paraId="63B0EB04"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Check children’s sense of safety through ordinary conversation, observation, learner voice and private opportunities to speak—not only through formal surveys.</w:t>
      </w:r>
    </w:p>
    <w:p w14:paraId="1534E21B"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Share expectations during induction without requiring children to sign a behaviour contract.</w:t>
      </w:r>
    </w:p>
    <w:p w14:paraId="28D2DDA2" w14:textId="77777777" w:rsidR="005846FF" w:rsidRPr="00041F63" w:rsidRDefault="004B6EF6">
      <w:pPr>
        <w:pStyle w:val="Heading1"/>
        <w:rPr>
          <w:rFonts w:ascii="Century Gothic" w:hAnsi="Century Gothic"/>
        </w:rPr>
      </w:pPr>
      <w:r w:rsidRPr="00041F63">
        <w:rPr>
          <w:rFonts w:ascii="Century Gothic" w:hAnsi="Century Gothic"/>
        </w:rPr>
        <w:t>6. Recognising possible bullying</w:t>
      </w:r>
    </w:p>
    <w:p w14:paraId="3C8D4FB1" w14:textId="77777777" w:rsidR="005846FF" w:rsidRPr="00041F63" w:rsidRDefault="004B6EF6">
      <w:pPr>
        <w:rPr>
          <w:rFonts w:ascii="Century Gothic" w:hAnsi="Century Gothic"/>
        </w:rPr>
      </w:pPr>
      <w:r w:rsidRPr="00041F63">
        <w:rPr>
          <w:rFonts w:ascii="Century Gothic" w:hAnsi="Century Gothic"/>
        </w:rPr>
        <w:t>A child may not use the word “bullying”. Adults remain professionally curious about changes such as reluctance or refusal to attend, distress before or after sessions, unexplained injuries or damaged belongings, withdrawal, loss of confidence, changes in eating or sleep, increased dysregulation, somatic complaints, avoidance of a person/place/activity, sudden device anxiety, self-harm language or loss of friendships.</w:t>
      </w:r>
    </w:p>
    <w:p w14:paraId="143709DA" w14:textId="77777777" w:rsidR="005846FF" w:rsidRPr="00041F63" w:rsidRDefault="004B6EF6">
      <w:pPr>
        <w:rPr>
          <w:rFonts w:ascii="Century Gothic" w:hAnsi="Century Gothic"/>
        </w:rPr>
      </w:pPr>
      <w:r w:rsidRPr="00041F63">
        <w:rPr>
          <w:rFonts w:ascii="Century Gothic" w:hAnsi="Century Gothic"/>
        </w:rPr>
        <w:t>These signs can have many causes and are not proof. Adults listen, observe patterns, seek the child’s view safely and report safeguarding concerns rather than conducting leading questioning.</w:t>
      </w:r>
    </w:p>
    <w:p w14:paraId="1E81ADCA" w14:textId="77777777" w:rsidR="005846FF" w:rsidRPr="00041F63" w:rsidRDefault="004B6EF6">
      <w:pPr>
        <w:pStyle w:val="Heading1"/>
        <w:rPr>
          <w:rFonts w:ascii="Century Gothic" w:hAnsi="Century Gothic"/>
        </w:rPr>
      </w:pPr>
      <w:r w:rsidRPr="00041F63">
        <w:rPr>
          <w:rFonts w:ascii="Century Gothic" w:hAnsi="Century Gothic"/>
        </w:rPr>
        <w:lastRenderedPageBreak/>
        <w:t>7. Reporting and help-seeking</w:t>
      </w:r>
    </w:p>
    <w:p w14:paraId="6FF4DDB2"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A child may tell any TWiG adult, a parent/carer, commissioner or another trusted person. They may speak, write, draw, use symbols, show a message or ask someone to report for them.</w:t>
      </w:r>
    </w:p>
    <w:p w14:paraId="1FE9E22A"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A witness is encouraged to seek adult help, stay with the affected child if safe, avoid joining or forwarding content, and preserve evidence without sharing it further.</w:t>
      </w:r>
    </w:p>
    <w:p w14:paraId="6A961955"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Parents/carers and commissioners should contact a Managing Partner or DSL promptly and avoid confronting another child or family directly.</w:t>
      </w:r>
    </w:p>
    <w:p w14:paraId="1B56B4F0"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Anonymous information is considered according to credibility, detail, pattern and risk.</w:t>
      </w:r>
    </w:p>
    <w:p w14:paraId="6868139B"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No person is criticised for reporting in good faith, even if the concern is not substantiated. Retaliation is treated as a further concern.</w:t>
      </w:r>
    </w:p>
    <w:p w14:paraId="7BC518E4" w14:textId="77777777" w:rsidR="005846FF" w:rsidRPr="00041F63" w:rsidRDefault="004B6EF6">
      <w:pPr>
        <w:pStyle w:val="Callout"/>
        <w:pBdr>
          <w:left w:val="single" w:sz="18" w:space="8" w:color="315B45"/>
        </w:pBdr>
        <w:shd w:val="clear" w:color="auto" w:fill="F2F4F7"/>
        <w:rPr>
          <w:rFonts w:ascii="Century Gothic" w:hAnsi="Century Gothic"/>
        </w:rPr>
      </w:pPr>
      <w:r w:rsidRPr="00041F63">
        <w:rPr>
          <w:rFonts w:ascii="Century Gothic" w:hAnsi="Century Gothic"/>
          <w:b/>
          <w:color w:val="315B45"/>
        </w:rPr>
        <w:t xml:space="preserve">What adults say  </w:t>
      </w:r>
      <w:r w:rsidRPr="00041F63">
        <w:rPr>
          <w:rFonts w:ascii="Century Gothic" w:hAnsi="Century Gothic"/>
          <w:color w:val="202124"/>
        </w:rPr>
        <w:t>“I’m glad you told me. This is not your fault. I will take it seriously. I cannot promise to keep it secret, because I may need to share it with people who can help, but I will only tell those who need to know.”</w:t>
      </w:r>
    </w:p>
    <w:p w14:paraId="5358DF22" w14:textId="77777777" w:rsidR="005846FF" w:rsidRPr="00041F63" w:rsidRDefault="004B6EF6">
      <w:pPr>
        <w:pStyle w:val="Heading1"/>
        <w:rPr>
          <w:rFonts w:ascii="Century Gothic" w:hAnsi="Century Gothic"/>
        </w:rPr>
      </w:pPr>
      <w:r w:rsidRPr="00041F63">
        <w:rPr>
          <w:rFonts w:ascii="Century Gothic" w:hAnsi="Century Gothic"/>
        </w:rPr>
        <w:t>8. Immediate adult response</w:t>
      </w:r>
    </w:p>
    <w:p w14:paraId="13750262" w14:textId="77777777" w:rsidR="005846FF" w:rsidRPr="00041F63" w:rsidRDefault="004B6EF6">
      <w:pPr>
        <w:pStyle w:val="ListNumber"/>
        <w:rPr>
          <w:rFonts w:ascii="Century Gothic" w:hAnsi="Century Gothic"/>
        </w:rPr>
      </w:pPr>
      <w:r w:rsidRPr="00041F63">
        <w:rPr>
          <w:rFonts w:ascii="Century Gothic" w:hAnsi="Century Gothic"/>
          <w:b/>
          <w:color w:val="1F4D78"/>
        </w:rPr>
        <w:t xml:space="preserve">Stop and secure: </w:t>
      </w:r>
      <w:r w:rsidRPr="00041F63">
        <w:rPr>
          <w:rFonts w:ascii="Century Gothic" w:hAnsi="Century Gothic"/>
        </w:rPr>
        <w:t>Interrupt harmful behaviour calmly. Separate children where needed, remove an audience or hazard, attend to injury and increase supervision.</w:t>
      </w:r>
    </w:p>
    <w:p w14:paraId="0AE913B7" w14:textId="77777777" w:rsidR="005846FF" w:rsidRPr="00041F63" w:rsidRDefault="004B6EF6">
      <w:pPr>
        <w:pStyle w:val="ListNumber"/>
        <w:rPr>
          <w:rFonts w:ascii="Century Gothic" w:hAnsi="Century Gothic"/>
        </w:rPr>
      </w:pPr>
      <w:r w:rsidRPr="00041F63">
        <w:rPr>
          <w:rFonts w:ascii="Century Gothic" w:hAnsi="Century Gothic"/>
          <w:b/>
          <w:color w:val="1F4D78"/>
        </w:rPr>
        <w:t xml:space="preserve">Listen: </w:t>
      </w:r>
      <w:r w:rsidRPr="00041F63">
        <w:rPr>
          <w:rFonts w:ascii="Century Gothic" w:hAnsi="Century Gothic"/>
        </w:rPr>
        <w:t>Hear the child without disbelief, blame or leading questions. Record their words accurately and do not require a detailed account in front of peers.</w:t>
      </w:r>
    </w:p>
    <w:p w14:paraId="2AA60A1B" w14:textId="77777777" w:rsidR="005846FF" w:rsidRPr="00041F63" w:rsidRDefault="004B6EF6">
      <w:pPr>
        <w:pStyle w:val="ListNumber"/>
        <w:rPr>
          <w:rFonts w:ascii="Century Gothic" w:hAnsi="Century Gothic"/>
        </w:rPr>
      </w:pPr>
      <w:r w:rsidRPr="00041F63">
        <w:rPr>
          <w:rFonts w:ascii="Century Gothic" w:hAnsi="Century Gothic"/>
          <w:b/>
          <w:color w:val="1F4D78"/>
        </w:rPr>
        <w:t xml:space="preserve">Reassure: </w:t>
      </w:r>
      <w:r w:rsidRPr="00041F63">
        <w:rPr>
          <w:rFonts w:ascii="Century Gothic" w:hAnsi="Century Gothic"/>
        </w:rPr>
        <w:t>State clearly that the harm is not acceptable and the child was right to tell. Do not promise a particular sanction or absolute confidentiality.</w:t>
      </w:r>
    </w:p>
    <w:p w14:paraId="3EDE713F" w14:textId="77777777" w:rsidR="005846FF" w:rsidRPr="00041F63" w:rsidRDefault="004B6EF6">
      <w:pPr>
        <w:pStyle w:val="ListNumber"/>
        <w:rPr>
          <w:rFonts w:ascii="Century Gothic" w:hAnsi="Century Gothic"/>
        </w:rPr>
      </w:pPr>
      <w:r w:rsidRPr="00041F63">
        <w:rPr>
          <w:rFonts w:ascii="Century Gothic" w:hAnsi="Century Gothic"/>
          <w:b/>
          <w:color w:val="1F4D78"/>
        </w:rPr>
        <w:t xml:space="preserve">Safeguarding check: </w:t>
      </w:r>
      <w:r w:rsidRPr="00041F63">
        <w:rPr>
          <w:rFonts w:ascii="Century Gothic" w:hAnsi="Century Gothic"/>
        </w:rPr>
        <w:t>Consider immediate danger, injury, sexual harm, coercion, exploitation, hate crime, self-harm, missing risk, retaliation and whether another child may also be at risk. Contact a DSL promptly.</w:t>
      </w:r>
    </w:p>
    <w:p w14:paraId="76AB43A4" w14:textId="77777777" w:rsidR="005846FF" w:rsidRPr="00041F63" w:rsidRDefault="004B6EF6">
      <w:pPr>
        <w:pStyle w:val="ListNumber"/>
        <w:rPr>
          <w:rFonts w:ascii="Century Gothic" w:hAnsi="Century Gothic"/>
        </w:rPr>
      </w:pPr>
      <w:r w:rsidRPr="00041F63">
        <w:rPr>
          <w:rFonts w:ascii="Century Gothic" w:hAnsi="Century Gothic"/>
          <w:b/>
          <w:color w:val="1F4D78"/>
        </w:rPr>
        <w:t xml:space="preserve">Preserve evidence: </w:t>
      </w:r>
      <w:r w:rsidRPr="00041F63">
        <w:rPr>
          <w:rFonts w:ascii="Century Gothic" w:hAnsi="Century Gothic"/>
        </w:rPr>
        <w:t>Retain relevant messages, screenshots, dates, witness information or damaged property safely. Do not circulate harmful content or ask a child to download illegal imagery.</w:t>
      </w:r>
    </w:p>
    <w:p w14:paraId="234EEEE7" w14:textId="77777777" w:rsidR="005846FF" w:rsidRPr="00041F63" w:rsidRDefault="004B6EF6">
      <w:pPr>
        <w:pStyle w:val="ListNumber"/>
        <w:rPr>
          <w:rFonts w:ascii="Century Gothic" w:hAnsi="Century Gothic"/>
        </w:rPr>
      </w:pPr>
      <w:r w:rsidRPr="00041F63">
        <w:rPr>
          <w:rFonts w:ascii="Century Gothic" w:hAnsi="Century Gothic"/>
          <w:b/>
          <w:color w:val="1F4D78"/>
        </w:rPr>
        <w:t xml:space="preserve">Inform and plan: </w:t>
      </w:r>
      <w:r w:rsidRPr="00041F63">
        <w:rPr>
          <w:rFonts w:ascii="Century Gothic" w:hAnsi="Century Gothic"/>
        </w:rPr>
        <w:t>Agree immediate safety measures, identify a trusted adult and decide family/commissioner notification. Do not arrange face-to-face reconciliation while anyone is distressed or unsafe.</w:t>
      </w:r>
    </w:p>
    <w:p w14:paraId="262FE55E" w14:textId="77777777" w:rsidR="005846FF" w:rsidRPr="00041F63" w:rsidRDefault="004B6EF6">
      <w:pPr>
        <w:pStyle w:val="ListNumber"/>
        <w:rPr>
          <w:rFonts w:ascii="Century Gothic" w:hAnsi="Century Gothic"/>
        </w:rPr>
      </w:pPr>
      <w:r w:rsidRPr="00041F63">
        <w:rPr>
          <w:rFonts w:ascii="Century Gothic" w:hAnsi="Century Gothic"/>
          <w:b/>
          <w:color w:val="1F4D78"/>
        </w:rPr>
        <w:t xml:space="preserve">Record: </w:t>
      </w:r>
      <w:r w:rsidRPr="00041F63">
        <w:rPr>
          <w:rFonts w:ascii="Century Gothic" w:hAnsi="Century Gothic"/>
        </w:rPr>
        <w:t>Complete the appropriate incident and/or safeguarding record before leaving wherever practicable; distinguish observation, direct quotation and professional interpretation.</w:t>
      </w:r>
    </w:p>
    <w:p w14:paraId="167F0BA3" w14:textId="77777777" w:rsidR="005846FF" w:rsidRPr="00041F63" w:rsidRDefault="004B6EF6">
      <w:pPr>
        <w:pStyle w:val="Heading1"/>
        <w:rPr>
          <w:rFonts w:ascii="Century Gothic" w:hAnsi="Century Gothic"/>
        </w:rPr>
      </w:pPr>
      <w:r w:rsidRPr="00041F63">
        <w:rPr>
          <w:rFonts w:ascii="Century Gothic" w:hAnsi="Century Gothic"/>
        </w:rPr>
        <w:lastRenderedPageBreak/>
        <w:t>9. Assessment and investigation</w:t>
      </w:r>
    </w:p>
    <w:p w14:paraId="22EE2071" w14:textId="77777777" w:rsidR="005846FF" w:rsidRPr="00041F63" w:rsidRDefault="004B6EF6">
      <w:pPr>
        <w:rPr>
          <w:rFonts w:ascii="Century Gothic" w:hAnsi="Century Gothic"/>
        </w:rPr>
      </w:pPr>
      <w:r w:rsidRPr="00041F63">
        <w:rPr>
          <w:rFonts w:ascii="Century Gothic" w:hAnsi="Century Gothic"/>
        </w:rPr>
        <w:t>The session lead and DSL/Managing Partner decide how the concern will be assessed. Safeguarding action is not delayed while determining whether the definition of bullying is met.</w:t>
      </w:r>
    </w:p>
    <w:p w14:paraId="245F59AE"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Speak separately with the children involved and relevant witnesses, using accessible communication and avoiding repeated accounts.</w:t>
      </w:r>
    </w:p>
    <w:p w14:paraId="79003EC0"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Review frequency, duration, intent, impact, power imbalance, group dynamics, locations, online elements, protected characteristics, previous incidents and vulnerability.</w:t>
      </w:r>
    </w:p>
    <w:p w14:paraId="19744416"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Consider whether apparent “mutual conflict” masks coercion, fear, dependency or one child controlling the narrative.</w:t>
      </w:r>
    </w:p>
    <w:p w14:paraId="1C64CF0B"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Check records, individual plans, supervision, environmental factors and information from families/commissioners.</w:t>
      </w:r>
    </w:p>
    <w:p w14:paraId="6267A4AC"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Reach a proportionate finding: bullying substantiated; harmful incident not meeting the bullying definition; concern not substantiated on available evidence; or safeguarding/other procedure required.</w:t>
      </w:r>
    </w:p>
    <w:p w14:paraId="3D2545DB"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Tell each family and the commissioner what they need to know, without disclosing another child’s confidential information or detailed support/disciplinary action.</w:t>
      </w:r>
    </w:p>
    <w:p w14:paraId="59F5C790" w14:textId="77777777" w:rsidR="005846FF" w:rsidRPr="00041F63" w:rsidRDefault="004B6EF6">
      <w:pPr>
        <w:pStyle w:val="Heading1"/>
        <w:rPr>
          <w:rFonts w:ascii="Century Gothic" w:hAnsi="Century Gothic"/>
        </w:rPr>
      </w:pPr>
      <w:r w:rsidRPr="00041F63">
        <w:rPr>
          <w:rFonts w:ascii="Century Gothic" w:hAnsi="Century Gothic"/>
        </w:rPr>
        <w:t>10. Supporting the child who has been harmed</w:t>
      </w:r>
    </w:p>
    <w:p w14:paraId="44F5B375"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Ask what would help them feel safe and involve them in a written or accessible safety plan.</w:t>
      </w:r>
    </w:p>
    <w:p w14:paraId="20F268AC"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Provide a named trusted adult, predictable check-ins and safe ways to leave or seek help.</w:t>
      </w:r>
    </w:p>
    <w:p w14:paraId="0EA647CF"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Adjust supervision, grouping, transitions, activities, seating/rest areas or online/device access without placing the burden on the harmed child.</w:t>
      </w:r>
    </w:p>
    <w:p w14:paraId="1C1D81F4"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Offer emotional regulation, relational and learning support; consider medical, mental-health, safeguarding or advocacy referral where appropriate.</w:t>
      </w:r>
    </w:p>
    <w:p w14:paraId="330F387F"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Protect against retaliation, social pressure and repeated questioning.</w:t>
      </w:r>
    </w:p>
    <w:p w14:paraId="69F72538"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Do not require forgiveness, an apology meeting, mediation or restorative conversation.</w:t>
      </w:r>
    </w:p>
    <w:p w14:paraId="495BC151"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Review whether attendance, engagement or progress has been affected and work with the commissioner to restore access and support.</w:t>
      </w:r>
    </w:p>
    <w:p w14:paraId="60141073"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Continue follow-up until the child reports and adults observe that the harm has stopped and safety is sustained.</w:t>
      </w:r>
    </w:p>
    <w:p w14:paraId="7CC7E550" w14:textId="77777777" w:rsidR="005846FF" w:rsidRPr="00041F63" w:rsidRDefault="004B6EF6">
      <w:pPr>
        <w:pStyle w:val="Heading1"/>
        <w:rPr>
          <w:rFonts w:ascii="Century Gothic" w:hAnsi="Century Gothic"/>
        </w:rPr>
      </w:pPr>
      <w:r w:rsidRPr="00041F63">
        <w:rPr>
          <w:rFonts w:ascii="Century Gothic" w:hAnsi="Century Gothic"/>
        </w:rPr>
        <w:lastRenderedPageBreak/>
        <w:t>11. Supporting and holding accountable the child displaying harm</w:t>
      </w:r>
    </w:p>
    <w:p w14:paraId="1BB53097" w14:textId="77777777" w:rsidR="005846FF" w:rsidRPr="00041F63" w:rsidRDefault="004B6EF6">
      <w:pPr>
        <w:rPr>
          <w:rFonts w:ascii="Century Gothic" w:hAnsi="Century Gothic"/>
        </w:rPr>
      </w:pPr>
      <w:r w:rsidRPr="00041F63">
        <w:rPr>
          <w:rFonts w:ascii="Century Gothic" w:hAnsi="Century Gothic"/>
        </w:rPr>
        <w:t>TWiG separates the child from the behaviour: the behaviour must stop, its impact is taken seriously, and the child is supported to understand need, choice, responsibility and safer alternatives. Trauma, SEND, communication or regulation needs inform the response but do not remove another child’s right to safety.</w:t>
      </w:r>
    </w:p>
    <w:p w14:paraId="1115D485"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Set clear, calm boundaries and increase supervision or temporarily restrict a specific activity, area, device or peer contact where necessary for safety.</w:t>
      </w:r>
    </w:p>
    <w:p w14:paraId="0D86A69F"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Explore triggers, beliefs, peer status, online influence, attachment, communication, sensory need, shame, discrimination, coercion, exploitation or experiences of being harmed.</w:t>
      </w:r>
    </w:p>
    <w:p w14:paraId="01B2CD00"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Teach and rehearse consent, perspective-taking, emotional regulation, communication, repair and safe use of power or leadership.</w:t>
      </w:r>
    </w:p>
    <w:p w14:paraId="436F250F"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Update the individual risk assessment, learning programme and support/safety plan with family and commissioner involvement.</w:t>
      </w:r>
    </w:p>
    <w:p w14:paraId="19ED82CD"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Use logical, proportionate responses linked to safety and repair; do not humiliate, publicly shame or withdraw food, warmth, trusted relationships or regulation support.</w:t>
      </w:r>
    </w:p>
    <w:p w14:paraId="47BFAE7D"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Consider whether the child is also at risk and requires safeguarding referral or specialist assessment.</w:t>
      </w:r>
    </w:p>
    <w:p w14:paraId="1F95DE35"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Monitor behaviour across adults, peers, settings and online contexts rather than relying on a verbal promise.</w:t>
      </w:r>
    </w:p>
    <w:p w14:paraId="537A6734" w14:textId="77777777" w:rsidR="005846FF" w:rsidRPr="00041F63" w:rsidRDefault="004B6EF6">
      <w:pPr>
        <w:pStyle w:val="Callout"/>
        <w:pBdr>
          <w:left w:val="single" w:sz="18" w:space="8" w:color="2E74B5"/>
        </w:pBdr>
        <w:shd w:val="clear" w:color="auto" w:fill="E8EEF5"/>
        <w:rPr>
          <w:rFonts w:ascii="Century Gothic" w:hAnsi="Century Gothic"/>
        </w:rPr>
      </w:pPr>
      <w:r w:rsidRPr="00041F63">
        <w:rPr>
          <w:rFonts w:ascii="Century Gothic" w:hAnsi="Century Gothic"/>
          <w:b/>
          <w:color w:val="2E74B5"/>
        </w:rPr>
        <w:t xml:space="preserve">Restorative work  </w:t>
      </w:r>
      <w:r w:rsidRPr="00041F63">
        <w:rPr>
          <w:rFonts w:ascii="Century Gothic" w:hAnsi="Century Gothic"/>
          <w:color w:val="202124"/>
        </w:rPr>
        <w:t>Repair is offered only when the harmed child wants it, everyone is sufficiently regulated, risk has reduced and a skilled adult judges it safe. An apology is not forced and does not replace monitoring or protection.</w:t>
      </w:r>
    </w:p>
    <w:p w14:paraId="19D60877" w14:textId="77777777" w:rsidR="005846FF" w:rsidRPr="00041F63" w:rsidRDefault="004B6EF6">
      <w:pPr>
        <w:pStyle w:val="Heading1"/>
        <w:rPr>
          <w:rFonts w:ascii="Century Gothic" w:hAnsi="Century Gothic"/>
        </w:rPr>
      </w:pPr>
      <w:r w:rsidRPr="00041F63">
        <w:rPr>
          <w:rFonts w:ascii="Century Gothic" w:hAnsi="Century Gothic"/>
        </w:rPr>
        <w:t>12. Bystanders, groups and wider culture</w:t>
      </w:r>
    </w:p>
    <w:p w14:paraId="430F7726" w14:textId="77777777" w:rsidR="005846FF" w:rsidRPr="00041F63" w:rsidRDefault="004B6EF6">
      <w:pPr>
        <w:rPr>
          <w:rFonts w:ascii="Century Gothic" w:hAnsi="Century Gothic"/>
        </w:rPr>
      </w:pPr>
      <w:r w:rsidRPr="00041F63">
        <w:rPr>
          <w:rFonts w:ascii="Century Gothic" w:hAnsi="Century Gothic"/>
        </w:rPr>
        <w:t>Adults support witnesses to understand that seeking help is protective, not “snitching”. Children who joined in, filmed, forwarded, laughed, excluded or remained silent through fear receive a response proportionate to their role, understanding and risk. Whole-group work may address themes without identifying, blaming or requiring disclosure from individual children.</w:t>
      </w:r>
    </w:p>
    <w:p w14:paraId="435AD64E" w14:textId="77777777" w:rsidR="005846FF" w:rsidRPr="00041F63" w:rsidRDefault="004B6EF6">
      <w:pPr>
        <w:pStyle w:val="Heading1"/>
        <w:rPr>
          <w:rFonts w:ascii="Century Gothic" w:hAnsi="Century Gothic"/>
        </w:rPr>
      </w:pPr>
      <w:r w:rsidRPr="00041F63">
        <w:rPr>
          <w:rFonts w:ascii="Century Gothic" w:hAnsi="Century Gothic"/>
        </w:rPr>
        <w:lastRenderedPageBreak/>
        <w:t>13. Recording, communication and monitoring</w:t>
      </w:r>
    </w:p>
    <w:tbl>
      <w:tblPr>
        <w:tblStyle w:val="TableGrid"/>
        <w:tblW w:w="9360" w:type="dxa"/>
        <w:tblInd w:w="120" w:type="dxa"/>
        <w:tblLayout w:type="fixed"/>
        <w:tblLook w:val="04A0" w:firstRow="1" w:lastRow="0" w:firstColumn="1" w:lastColumn="0" w:noHBand="0" w:noVBand="1"/>
      </w:tblPr>
      <w:tblGrid>
        <w:gridCol w:w="2600"/>
        <w:gridCol w:w="6760"/>
      </w:tblGrid>
      <w:tr w:rsidR="005846FF" w:rsidRPr="00041F63" w14:paraId="39707F34" w14:textId="77777777">
        <w:trPr>
          <w:cantSplit/>
          <w:tblHeader/>
        </w:trPr>
        <w:tc>
          <w:tcPr>
            <w:tcW w:w="2600" w:type="dxa"/>
            <w:shd w:val="clear" w:color="auto" w:fill="E8EEF5"/>
            <w:tcMar>
              <w:top w:w="90" w:type="dxa"/>
              <w:left w:w="120" w:type="dxa"/>
              <w:bottom w:w="90" w:type="dxa"/>
              <w:right w:w="120" w:type="dxa"/>
            </w:tcMar>
          </w:tcPr>
          <w:p w14:paraId="0EDC3E96" w14:textId="77777777" w:rsidR="005846FF" w:rsidRPr="00041F63" w:rsidRDefault="004B6EF6">
            <w:pPr>
              <w:rPr>
                <w:rFonts w:ascii="Century Gothic" w:hAnsi="Century Gothic"/>
              </w:rPr>
            </w:pPr>
            <w:r w:rsidRPr="00041F63">
              <w:rPr>
                <w:rFonts w:ascii="Century Gothic" w:hAnsi="Century Gothic"/>
                <w:b/>
                <w:color w:val="1F4D78"/>
                <w:sz w:val="18"/>
              </w:rPr>
              <w:t>Record</w:t>
            </w:r>
          </w:p>
        </w:tc>
        <w:tc>
          <w:tcPr>
            <w:tcW w:w="6760" w:type="dxa"/>
            <w:shd w:val="clear" w:color="auto" w:fill="E8EEF5"/>
            <w:tcMar>
              <w:top w:w="90" w:type="dxa"/>
              <w:left w:w="120" w:type="dxa"/>
              <w:bottom w:w="90" w:type="dxa"/>
              <w:right w:w="120" w:type="dxa"/>
            </w:tcMar>
          </w:tcPr>
          <w:p w14:paraId="3259C893" w14:textId="77777777" w:rsidR="005846FF" w:rsidRPr="00041F63" w:rsidRDefault="004B6EF6">
            <w:pPr>
              <w:rPr>
                <w:rFonts w:ascii="Century Gothic" w:hAnsi="Century Gothic"/>
              </w:rPr>
            </w:pPr>
            <w:r w:rsidRPr="00041F63">
              <w:rPr>
                <w:rFonts w:ascii="Century Gothic" w:hAnsi="Century Gothic"/>
                <w:b/>
                <w:color w:val="1F4D78"/>
                <w:sz w:val="18"/>
              </w:rPr>
              <w:t>Minimum content</w:t>
            </w:r>
          </w:p>
        </w:tc>
      </w:tr>
      <w:tr w:rsidR="005846FF" w:rsidRPr="00041F63" w14:paraId="2CC05EA4" w14:textId="77777777">
        <w:tc>
          <w:tcPr>
            <w:tcW w:w="2600" w:type="dxa"/>
          </w:tcPr>
          <w:p w14:paraId="2BCCB287" w14:textId="77777777" w:rsidR="005846FF" w:rsidRPr="00041F63" w:rsidRDefault="004B6EF6">
            <w:pPr>
              <w:rPr>
                <w:rFonts w:ascii="Century Gothic" w:hAnsi="Century Gothic"/>
              </w:rPr>
            </w:pPr>
            <w:r w:rsidRPr="00041F63">
              <w:rPr>
                <w:rFonts w:ascii="Century Gothic" w:hAnsi="Century Gothic"/>
                <w:sz w:val="18"/>
              </w:rPr>
              <w:t>Incident / behaviour record</w:t>
            </w:r>
          </w:p>
        </w:tc>
        <w:tc>
          <w:tcPr>
            <w:tcW w:w="6760" w:type="dxa"/>
          </w:tcPr>
          <w:p w14:paraId="66E9A734" w14:textId="77777777" w:rsidR="005846FF" w:rsidRPr="00041F63" w:rsidRDefault="004B6EF6">
            <w:pPr>
              <w:rPr>
                <w:rFonts w:ascii="Century Gothic" w:hAnsi="Century Gothic"/>
              </w:rPr>
            </w:pPr>
            <w:r w:rsidRPr="00041F63">
              <w:rPr>
                <w:rFonts w:ascii="Century Gothic" w:hAnsi="Century Gothic"/>
                <w:sz w:val="18"/>
              </w:rPr>
              <w:t>Date, time, location, people present, observable behaviour, exact words, immediate action, injury/damage and notifications.</w:t>
            </w:r>
          </w:p>
        </w:tc>
      </w:tr>
      <w:tr w:rsidR="005846FF" w:rsidRPr="00041F63" w14:paraId="7FAC3A99" w14:textId="77777777">
        <w:tc>
          <w:tcPr>
            <w:tcW w:w="2600" w:type="dxa"/>
          </w:tcPr>
          <w:p w14:paraId="6AFB90DE" w14:textId="77777777" w:rsidR="005846FF" w:rsidRPr="00041F63" w:rsidRDefault="004B6EF6">
            <w:pPr>
              <w:rPr>
                <w:rFonts w:ascii="Century Gothic" w:hAnsi="Century Gothic"/>
              </w:rPr>
            </w:pPr>
            <w:r w:rsidRPr="00041F63">
              <w:rPr>
                <w:rFonts w:ascii="Century Gothic" w:hAnsi="Century Gothic"/>
                <w:sz w:val="18"/>
              </w:rPr>
              <w:t>Safeguarding record</w:t>
            </w:r>
          </w:p>
        </w:tc>
        <w:tc>
          <w:tcPr>
            <w:tcW w:w="6760" w:type="dxa"/>
          </w:tcPr>
          <w:p w14:paraId="4FF185F0" w14:textId="77777777" w:rsidR="005846FF" w:rsidRPr="00041F63" w:rsidRDefault="004B6EF6">
            <w:pPr>
              <w:rPr>
                <w:rFonts w:ascii="Century Gothic" w:hAnsi="Century Gothic"/>
              </w:rPr>
            </w:pPr>
            <w:r w:rsidRPr="00041F63">
              <w:rPr>
                <w:rFonts w:ascii="Century Gothic" w:hAnsi="Century Gothic"/>
                <w:sz w:val="18"/>
              </w:rPr>
              <w:t>Concern, child’s words, risk assessment, DSL decision, referral/advice, safety action and outcome where the threshold is met or suspected.</w:t>
            </w:r>
          </w:p>
        </w:tc>
      </w:tr>
      <w:tr w:rsidR="005846FF" w:rsidRPr="00041F63" w14:paraId="68B0DFFC" w14:textId="77777777">
        <w:tc>
          <w:tcPr>
            <w:tcW w:w="2600" w:type="dxa"/>
          </w:tcPr>
          <w:p w14:paraId="0D510DCD" w14:textId="77777777" w:rsidR="005846FF" w:rsidRPr="00041F63" w:rsidRDefault="004B6EF6">
            <w:pPr>
              <w:rPr>
                <w:rFonts w:ascii="Century Gothic" w:hAnsi="Century Gothic"/>
              </w:rPr>
            </w:pPr>
            <w:r w:rsidRPr="00041F63">
              <w:rPr>
                <w:rFonts w:ascii="Century Gothic" w:hAnsi="Century Gothic"/>
                <w:sz w:val="18"/>
              </w:rPr>
              <w:t>Safety/support plan</w:t>
            </w:r>
          </w:p>
        </w:tc>
        <w:tc>
          <w:tcPr>
            <w:tcW w:w="6760" w:type="dxa"/>
          </w:tcPr>
          <w:p w14:paraId="798B1BA7" w14:textId="77777777" w:rsidR="005846FF" w:rsidRPr="00041F63" w:rsidRDefault="004B6EF6">
            <w:pPr>
              <w:rPr>
                <w:rFonts w:ascii="Century Gothic" w:hAnsi="Century Gothic"/>
              </w:rPr>
            </w:pPr>
            <w:r w:rsidRPr="00041F63">
              <w:rPr>
                <w:rFonts w:ascii="Century Gothic" w:hAnsi="Century Gothic"/>
                <w:sz w:val="18"/>
              </w:rPr>
              <w:t>Risks, triggers, early signs, supervision, environmental adjustments, trusted adults, reporting route, family/commissioner roles and review date.</w:t>
            </w:r>
          </w:p>
        </w:tc>
      </w:tr>
      <w:tr w:rsidR="005846FF" w:rsidRPr="00041F63" w14:paraId="5D4FC01C" w14:textId="77777777">
        <w:tc>
          <w:tcPr>
            <w:tcW w:w="2600" w:type="dxa"/>
          </w:tcPr>
          <w:p w14:paraId="648DAC5F" w14:textId="77777777" w:rsidR="005846FF" w:rsidRPr="00041F63" w:rsidRDefault="004B6EF6">
            <w:pPr>
              <w:rPr>
                <w:rFonts w:ascii="Century Gothic" w:hAnsi="Century Gothic"/>
              </w:rPr>
            </w:pPr>
            <w:r w:rsidRPr="00041F63">
              <w:rPr>
                <w:rFonts w:ascii="Century Gothic" w:hAnsi="Century Gothic"/>
                <w:sz w:val="18"/>
              </w:rPr>
              <w:t>Pattern monitoring</w:t>
            </w:r>
          </w:p>
        </w:tc>
        <w:tc>
          <w:tcPr>
            <w:tcW w:w="6760" w:type="dxa"/>
          </w:tcPr>
          <w:p w14:paraId="2A1AB2F2" w14:textId="77777777" w:rsidR="005846FF" w:rsidRPr="00041F63" w:rsidRDefault="004B6EF6">
            <w:pPr>
              <w:rPr>
                <w:rFonts w:ascii="Century Gothic" w:hAnsi="Century Gothic"/>
              </w:rPr>
            </w:pPr>
            <w:r w:rsidRPr="00041F63">
              <w:rPr>
                <w:rFonts w:ascii="Century Gothic" w:hAnsi="Century Gothic"/>
                <w:sz w:val="18"/>
              </w:rPr>
              <w:t>Repeated locations, times, relationships, online links, discriminatory themes, effectiveness of controls, attendance and learner voice.</w:t>
            </w:r>
          </w:p>
        </w:tc>
      </w:tr>
    </w:tbl>
    <w:p w14:paraId="5789D5FA" w14:textId="77777777" w:rsidR="005846FF" w:rsidRPr="00041F63" w:rsidRDefault="004B6EF6">
      <w:pPr>
        <w:rPr>
          <w:rFonts w:ascii="Century Gothic" w:hAnsi="Century Gothic"/>
        </w:rPr>
      </w:pPr>
      <w:r w:rsidRPr="00041F63">
        <w:rPr>
          <w:rFonts w:ascii="Century Gothic" w:hAnsi="Century Gothic"/>
        </w:rPr>
        <w:t>Records are factual, secure and shared on a need-to-know basis. The harmed child’s information is not included unnecessarily in another child’s routine record. Parents/carers are normally informed promptly, unless doing so may increase risk or conflict with safeguarding advice. Commissioners are informed without delay where safety, attendance, placement suitability or agreed outcomes are affected.</w:t>
      </w:r>
    </w:p>
    <w:p w14:paraId="5DE2AF8F" w14:textId="77777777" w:rsidR="005846FF" w:rsidRPr="00041F63" w:rsidRDefault="004B6EF6">
      <w:pPr>
        <w:pStyle w:val="Heading2"/>
        <w:rPr>
          <w:rFonts w:ascii="Century Gothic" w:hAnsi="Century Gothic"/>
        </w:rPr>
      </w:pPr>
      <w:r w:rsidRPr="00041F63">
        <w:rPr>
          <w:rFonts w:ascii="Century Gothic" w:hAnsi="Century Gothic"/>
        </w:rPr>
        <w:t>Follow-up schedule</w:t>
      </w:r>
    </w:p>
    <w:p w14:paraId="5C75F5B0" w14:textId="77777777" w:rsidR="005846FF" w:rsidRPr="00041F63" w:rsidRDefault="004B6EF6">
      <w:pPr>
        <w:pStyle w:val="ListBullet"/>
        <w:keepLines/>
        <w:rPr>
          <w:rFonts w:ascii="Century Gothic" w:hAnsi="Century Gothic"/>
        </w:rPr>
      </w:pPr>
      <w:r w:rsidRPr="00041F63">
        <w:rPr>
          <w:rFonts w:ascii="Century Gothic" w:hAnsi="Century Gothic"/>
          <w:color w:val="202622"/>
          <w:sz w:val="20"/>
        </w:rPr>
        <w:t>The lead sets review points proportionate to risk—for example after the next session, within one week and at an agreed longer-term review. The case is not closed simply because no further incident has been reported; adults seek the child’s view, observe interaction and confirm controls are working.</w:t>
      </w:r>
    </w:p>
    <w:p w14:paraId="345F3AA1" w14:textId="77777777" w:rsidR="005846FF" w:rsidRPr="00041F63" w:rsidRDefault="004B6EF6">
      <w:pPr>
        <w:pStyle w:val="Heading1"/>
        <w:rPr>
          <w:rFonts w:ascii="Century Gothic" w:hAnsi="Century Gothic"/>
        </w:rPr>
      </w:pPr>
      <w:r w:rsidRPr="00041F63">
        <w:rPr>
          <w:rFonts w:ascii="Century Gothic" w:hAnsi="Century Gothic"/>
        </w:rPr>
        <w:t>14. Escalation and placement decisions</w:t>
      </w:r>
    </w:p>
    <w:p w14:paraId="4458F639" w14:textId="77777777" w:rsidR="005846FF" w:rsidRPr="00041F63" w:rsidRDefault="004B6EF6">
      <w:pPr>
        <w:rPr>
          <w:rFonts w:ascii="Century Gothic" w:hAnsi="Century Gothic"/>
        </w:rPr>
      </w:pPr>
      <w:r w:rsidRPr="00041F63">
        <w:rPr>
          <w:rFonts w:ascii="Century Gothic" w:hAnsi="Century Gothic"/>
        </w:rPr>
        <w:t>Repeated or serious harm may require increased staffing, changed attendance arrangements, separation, specialist advice, statutory referral, police involvement or commissioner review. Emergency services are contacted where there is immediate danger or serious injury.</w:t>
      </w:r>
    </w:p>
    <w:p w14:paraId="23EACA57" w14:textId="77777777" w:rsidR="005846FF" w:rsidRPr="00041F63" w:rsidRDefault="004B6EF6">
      <w:pPr>
        <w:rPr>
          <w:rFonts w:ascii="Century Gothic" w:hAnsi="Century Gothic"/>
        </w:rPr>
      </w:pPr>
      <w:r w:rsidRPr="00041F63">
        <w:rPr>
          <w:rFonts w:ascii="Century Gothic" w:hAnsi="Century Gothic"/>
        </w:rPr>
        <w:t>Ending or suspending a placement is not an automatic punishment and is never used to remove the child who has been harmed for organisational convenience. It is a last-resort safety and suitability decision made with the commissioner, family and child’s welfare in mind, with transition planning and clear written reasons. TWiG may end a session early where risk cannot be safely managed with available controls.</w:t>
      </w:r>
    </w:p>
    <w:p w14:paraId="01613916" w14:textId="77777777" w:rsidR="005846FF" w:rsidRPr="00041F63" w:rsidRDefault="004B6EF6">
      <w:pPr>
        <w:pStyle w:val="Heading1"/>
        <w:rPr>
          <w:rFonts w:ascii="Century Gothic" w:hAnsi="Century Gothic"/>
        </w:rPr>
      </w:pPr>
      <w:r w:rsidRPr="00041F63">
        <w:rPr>
          <w:rFonts w:ascii="Century Gothic" w:hAnsi="Century Gothic"/>
        </w:rPr>
        <w:lastRenderedPageBreak/>
        <w:t>15. Responsibilities</w:t>
      </w:r>
    </w:p>
    <w:p w14:paraId="09D7AD6E"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Managing Partners: </w:t>
      </w:r>
      <w:r w:rsidRPr="00041F63">
        <w:rPr>
          <w:rFonts w:ascii="Century Gothic" w:hAnsi="Century Gothic"/>
          <w:color w:val="202622"/>
          <w:sz w:val="20"/>
        </w:rPr>
        <w:t>ensure this policy is implemented, staffed, trained, monitored and reviewed; inform commissioners of material risk and oversee placement decisions.</w:t>
      </w:r>
    </w:p>
    <w:p w14:paraId="3224FD6D"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DSLs: </w:t>
      </w:r>
      <w:r w:rsidRPr="00041F63">
        <w:rPr>
          <w:rFonts w:ascii="Century Gothic" w:hAnsi="Century Gothic"/>
          <w:color w:val="202622"/>
          <w:sz w:val="20"/>
        </w:rPr>
        <w:t>assess safeguarding thresholds, advise on child-on-child abuse, referrals, information sharing and safety planning, and maintain safeguarding records.</w:t>
      </w:r>
    </w:p>
    <w:p w14:paraId="501B00DF"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Associates and volunteers: </w:t>
      </w:r>
      <w:r w:rsidRPr="00041F63">
        <w:rPr>
          <w:rFonts w:ascii="Century Gothic" w:hAnsi="Century Gothic"/>
          <w:color w:val="202622"/>
          <w:sz w:val="20"/>
        </w:rPr>
        <w:t>model respectful relationships, know individual plans, supervise actively, intervene early, report and record concerns, and never dismiss harm as banter.</w:t>
      </w:r>
    </w:p>
    <w:p w14:paraId="36FD4B08"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Parents/carers: </w:t>
      </w:r>
      <w:r w:rsidRPr="00041F63">
        <w:rPr>
          <w:rFonts w:ascii="Century Gothic" w:hAnsi="Century Gothic"/>
          <w:color w:val="202622"/>
          <w:sz w:val="20"/>
        </w:rPr>
        <w:t>share relevant information, reinforce safe help-seeking, preserve online evidence safely and work through TWiG rather than confronting another child/family.</w:t>
      </w:r>
    </w:p>
    <w:p w14:paraId="2E345629"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Commissioners/referring settings: </w:t>
      </w:r>
      <w:r w:rsidRPr="00041F63">
        <w:rPr>
          <w:rFonts w:ascii="Century Gothic" w:hAnsi="Century Gothic"/>
          <w:color w:val="202622"/>
          <w:sz w:val="20"/>
        </w:rPr>
        <w:t>share known risks and effective strategies, participate in safety and placement review, and retain safeguarding oversight for commissioned learners.</w:t>
      </w:r>
    </w:p>
    <w:p w14:paraId="28DA3E16" w14:textId="77777777" w:rsidR="005846FF" w:rsidRPr="00041F63" w:rsidRDefault="004B6EF6">
      <w:pPr>
        <w:pStyle w:val="ListBullet"/>
        <w:keepLines/>
        <w:rPr>
          <w:rFonts w:ascii="Century Gothic" w:hAnsi="Century Gothic"/>
        </w:rPr>
      </w:pPr>
      <w:r w:rsidRPr="00041F63">
        <w:rPr>
          <w:rFonts w:ascii="Century Gothic" w:hAnsi="Century Gothic"/>
          <w:b/>
          <w:color w:val="202622"/>
          <w:sz w:val="20"/>
        </w:rPr>
        <w:t xml:space="preserve">Children and young people: </w:t>
      </w:r>
      <w:r w:rsidRPr="00041F63">
        <w:rPr>
          <w:rFonts w:ascii="Century Gothic" w:hAnsi="Century Gothic"/>
          <w:color w:val="202622"/>
          <w:sz w:val="20"/>
        </w:rPr>
        <w:t>are supported—not contractually required—to seek help, respect boundaries, avoid joining/forwarding harm and contribute to repair when safe and willing.</w:t>
      </w:r>
    </w:p>
    <w:p w14:paraId="578C87A4" w14:textId="77777777" w:rsidR="005846FF" w:rsidRPr="00041F63" w:rsidRDefault="004B6EF6">
      <w:pPr>
        <w:pStyle w:val="Heading1"/>
        <w:rPr>
          <w:rFonts w:ascii="Century Gothic" w:hAnsi="Century Gothic"/>
        </w:rPr>
      </w:pPr>
      <w:r w:rsidRPr="00041F63">
        <w:rPr>
          <w:rFonts w:ascii="Century Gothic" w:hAnsi="Century Gothic"/>
        </w:rPr>
        <w:t>16. Complaints and external help</w:t>
      </w:r>
    </w:p>
    <w:p w14:paraId="453C7A84" w14:textId="77777777" w:rsidR="005846FF" w:rsidRPr="00041F63" w:rsidRDefault="004B6EF6">
      <w:pPr>
        <w:rPr>
          <w:rFonts w:ascii="Century Gothic" w:hAnsi="Century Gothic"/>
        </w:rPr>
      </w:pPr>
      <w:r w:rsidRPr="00041F63">
        <w:rPr>
          <w:rFonts w:ascii="Century Gothic" w:hAnsi="Century Gothic"/>
        </w:rPr>
        <w:t>A parent/carer, learner or commissioner who believes TWiG has not responded appropriately may use the Complaints Policy. This does not prevent immediate contact with children’s social care, police or another statutory service. Online content may also be reported to the relevant platform; illegal or sexual imagery is handled under safeguarding and police guidance rather than copied or circulated.</w:t>
      </w:r>
    </w:p>
    <w:p w14:paraId="3C34EEEC" w14:textId="77777777" w:rsidR="005846FF" w:rsidRPr="00041F63" w:rsidRDefault="004B6EF6">
      <w:pPr>
        <w:pStyle w:val="Heading1"/>
        <w:rPr>
          <w:rFonts w:ascii="Century Gothic" w:hAnsi="Century Gothic"/>
        </w:rPr>
      </w:pPr>
      <w:r w:rsidRPr="00041F63">
        <w:rPr>
          <w:rFonts w:ascii="Century Gothic" w:hAnsi="Century Gothic"/>
        </w:rPr>
        <w:t>17. Training and policy assurance</w:t>
      </w:r>
    </w:p>
    <w:p w14:paraId="55BEACD3" w14:textId="77777777" w:rsidR="005846FF" w:rsidRPr="00041F63" w:rsidRDefault="004B6EF6">
      <w:pPr>
        <w:rPr>
          <w:rFonts w:ascii="Century Gothic" w:hAnsi="Century Gothic"/>
        </w:rPr>
      </w:pPr>
      <w:r w:rsidRPr="00041F63">
        <w:rPr>
          <w:rFonts w:ascii="Century Gothic" w:hAnsi="Century Gothic"/>
        </w:rPr>
        <w:t>All adults receive induction and refresher learning on the definition and signs of bullying; child-on-child abuse; prejudice and discrimination; online harm; professional curiosity; trauma-informed response; recording; safeguarding referral and safe restorative practice. The Managing Partners review incident and safeguarding themes at least termly, including repeat locations, children, protected characteristics, online factors, attendance impact, response times and whether support has stopped the harm.</w:t>
      </w:r>
    </w:p>
    <w:p w14:paraId="0EF8F35F" w14:textId="77777777" w:rsidR="005846FF" w:rsidRPr="00041F63" w:rsidRDefault="004B6EF6">
      <w:pPr>
        <w:pStyle w:val="Heading1"/>
        <w:rPr>
          <w:rFonts w:ascii="Century Gothic" w:hAnsi="Century Gothic"/>
        </w:rPr>
      </w:pPr>
      <w:r w:rsidRPr="00041F63">
        <w:rPr>
          <w:rFonts w:ascii="Century Gothic" w:hAnsi="Century Gothic"/>
        </w:rPr>
        <w:t>Appendix A — Adult response checklist</w:t>
      </w:r>
    </w:p>
    <w:tbl>
      <w:tblPr>
        <w:tblStyle w:val="TableGrid"/>
        <w:tblW w:w="9360" w:type="dxa"/>
        <w:tblInd w:w="120" w:type="dxa"/>
        <w:tblLayout w:type="fixed"/>
        <w:tblLook w:val="04A0" w:firstRow="1" w:lastRow="0" w:firstColumn="1" w:lastColumn="0" w:noHBand="0" w:noVBand="1"/>
      </w:tblPr>
      <w:tblGrid>
        <w:gridCol w:w="5650"/>
        <w:gridCol w:w="3710"/>
      </w:tblGrid>
      <w:tr w:rsidR="005846FF" w:rsidRPr="00041F63" w14:paraId="5A6DBF2B" w14:textId="77777777">
        <w:trPr>
          <w:cantSplit/>
          <w:tblHeader/>
        </w:trPr>
        <w:tc>
          <w:tcPr>
            <w:tcW w:w="5650" w:type="dxa"/>
            <w:shd w:val="clear" w:color="auto" w:fill="E8EEF5"/>
            <w:tcMar>
              <w:top w:w="90" w:type="dxa"/>
              <w:left w:w="120" w:type="dxa"/>
              <w:bottom w:w="90" w:type="dxa"/>
              <w:right w:w="120" w:type="dxa"/>
            </w:tcMar>
          </w:tcPr>
          <w:p w14:paraId="7F9D3962" w14:textId="77777777" w:rsidR="005846FF" w:rsidRPr="00041F63" w:rsidRDefault="004B6EF6">
            <w:pPr>
              <w:rPr>
                <w:rFonts w:ascii="Century Gothic" w:hAnsi="Century Gothic"/>
              </w:rPr>
            </w:pPr>
            <w:r w:rsidRPr="00041F63">
              <w:rPr>
                <w:rFonts w:ascii="Century Gothic" w:hAnsi="Century Gothic"/>
                <w:b/>
                <w:color w:val="1F4D78"/>
                <w:sz w:val="18"/>
              </w:rPr>
              <w:t>Check</w:t>
            </w:r>
          </w:p>
        </w:tc>
        <w:tc>
          <w:tcPr>
            <w:tcW w:w="3710" w:type="dxa"/>
            <w:shd w:val="clear" w:color="auto" w:fill="E8EEF5"/>
            <w:tcMar>
              <w:top w:w="90" w:type="dxa"/>
              <w:left w:w="120" w:type="dxa"/>
              <w:bottom w:w="90" w:type="dxa"/>
              <w:right w:w="120" w:type="dxa"/>
            </w:tcMar>
          </w:tcPr>
          <w:p w14:paraId="4DAF5571" w14:textId="77777777" w:rsidR="005846FF" w:rsidRPr="00041F63" w:rsidRDefault="004B6EF6">
            <w:pPr>
              <w:rPr>
                <w:rFonts w:ascii="Century Gothic" w:hAnsi="Century Gothic"/>
              </w:rPr>
            </w:pPr>
            <w:r w:rsidRPr="00041F63">
              <w:rPr>
                <w:rFonts w:ascii="Century Gothic" w:hAnsi="Century Gothic"/>
                <w:b/>
                <w:color w:val="1F4D78"/>
                <w:sz w:val="18"/>
              </w:rPr>
              <w:t>Complete / record</w:t>
            </w:r>
          </w:p>
        </w:tc>
      </w:tr>
      <w:tr w:rsidR="005846FF" w:rsidRPr="00041F63" w14:paraId="26A0A6A4" w14:textId="77777777">
        <w:tc>
          <w:tcPr>
            <w:tcW w:w="5650" w:type="dxa"/>
          </w:tcPr>
          <w:p w14:paraId="3F4BBCC6" w14:textId="77777777" w:rsidR="005846FF" w:rsidRPr="00041F63" w:rsidRDefault="004B6EF6">
            <w:pPr>
              <w:rPr>
                <w:rFonts w:ascii="Century Gothic" w:hAnsi="Century Gothic"/>
              </w:rPr>
            </w:pPr>
            <w:r w:rsidRPr="00041F63">
              <w:rPr>
                <w:rFonts w:ascii="Century Gothic" w:hAnsi="Century Gothic"/>
                <w:sz w:val="18"/>
              </w:rPr>
              <w:t>Immediate harm stopped and injury/medical need addressed</w:t>
            </w:r>
          </w:p>
        </w:tc>
        <w:tc>
          <w:tcPr>
            <w:tcW w:w="3710" w:type="dxa"/>
          </w:tcPr>
          <w:p w14:paraId="5795BDD6" w14:textId="77777777" w:rsidR="005846FF" w:rsidRPr="00041F63" w:rsidRDefault="005846FF">
            <w:pPr>
              <w:rPr>
                <w:rFonts w:ascii="Century Gothic" w:hAnsi="Century Gothic"/>
              </w:rPr>
            </w:pPr>
          </w:p>
        </w:tc>
      </w:tr>
      <w:tr w:rsidR="005846FF" w:rsidRPr="00041F63" w14:paraId="190B0B88" w14:textId="77777777">
        <w:tc>
          <w:tcPr>
            <w:tcW w:w="5650" w:type="dxa"/>
          </w:tcPr>
          <w:p w14:paraId="7C25AAA1" w14:textId="77777777" w:rsidR="005846FF" w:rsidRPr="00041F63" w:rsidRDefault="004B6EF6">
            <w:pPr>
              <w:rPr>
                <w:rFonts w:ascii="Century Gothic" w:hAnsi="Century Gothic"/>
              </w:rPr>
            </w:pPr>
            <w:r w:rsidRPr="00041F63">
              <w:rPr>
                <w:rFonts w:ascii="Century Gothic" w:hAnsi="Century Gothic"/>
                <w:sz w:val="18"/>
              </w:rPr>
              <w:lastRenderedPageBreak/>
              <w:t>Affected child listened to, reassured and not blamed</w:t>
            </w:r>
          </w:p>
        </w:tc>
        <w:tc>
          <w:tcPr>
            <w:tcW w:w="3710" w:type="dxa"/>
          </w:tcPr>
          <w:p w14:paraId="4C0FE683" w14:textId="77777777" w:rsidR="005846FF" w:rsidRPr="00041F63" w:rsidRDefault="005846FF">
            <w:pPr>
              <w:rPr>
                <w:rFonts w:ascii="Century Gothic" w:hAnsi="Century Gothic"/>
              </w:rPr>
            </w:pPr>
          </w:p>
        </w:tc>
      </w:tr>
      <w:tr w:rsidR="005846FF" w:rsidRPr="00041F63" w14:paraId="3CC5206D" w14:textId="77777777">
        <w:tc>
          <w:tcPr>
            <w:tcW w:w="5650" w:type="dxa"/>
          </w:tcPr>
          <w:p w14:paraId="57C60F03" w14:textId="77777777" w:rsidR="005846FF" w:rsidRPr="00041F63" w:rsidRDefault="004B6EF6">
            <w:pPr>
              <w:rPr>
                <w:rFonts w:ascii="Century Gothic" w:hAnsi="Century Gothic"/>
              </w:rPr>
            </w:pPr>
            <w:r w:rsidRPr="00041F63">
              <w:rPr>
                <w:rFonts w:ascii="Century Gothic" w:hAnsi="Century Gothic"/>
                <w:sz w:val="18"/>
              </w:rPr>
              <w:t>DSL informed and safeguarding threshold considered</w:t>
            </w:r>
          </w:p>
        </w:tc>
        <w:tc>
          <w:tcPr>
            <w:tcW w:w="3710" w:type="dxa"/>
          </w:tcPr>
          <w:p w14:paraId="643ABF2D" w14:textId="77777777" w:rsidR="005846FF" w:rsidRPr="00041F63" w:rsidRDefault="005846FF">
            <w:pPr>
              <w:rPr>
                <w:rFonts w:ascii="Century Gothic" w:hAnsi="Century Gothic"/>
              </w:rPr>
            </w:pPr>
          </w:p>
        </w:tc>
      </w:tr>
      <w:tr w:rsidR="005846FF" w:rsidRPr="00041F63" w14:paraId="19FB5877" w14:textId="77777777">
        <w:tc>
          <w:tcPr>
            <w:tcW w:w="5650" w:type="dxa"/>
          </w:tcPr>
          <w:p w14:paraId="7179D1D5" w14:textId="77777777" w:rsidR="005846FF" w:rsidRPr="00041F63" w:rsidRDefault="004B6EF6">
            <w:pPr>
              <w:rPr>
                <w:rFonts w:ascii="Century Gothic" w:hAnsi="Century Gothic"/>
              </w:rPr>
            </w:pPr>
            <w:r w:rsidRPr="00041F63">
              <w:rPr>
                <w:rFonts w:ascii="Century Gothic" w:hAnsi="Century Gothic"/>
                <w:sz w:val="18"/>
              </w:rPr>
              <w:t>Retaliation, online, discriminatory and wider-child risks assessed</w:t>
            </w:r>
          </w:p>
        </w:tc>
        <w:tc>
          <w:tcPr>
            <w:tcW w:w="3710" w:type="dxa"/>
          </w:tcPr>
          <w:p w14:paraId="6973C938" w14:textId="77777777" w:rsidR="005846FF" w:rsidRPr="00041F63" w:rsidRDefault="005846FF">
            <w:pPr>
              <w:rPr>
                <w:rFonts w:ascii="Century Gothic" w:hAnsi="Century Gothic"/>
              </w:rPr>
            </w:pPr>
          </w:p>
        </w:tc>
      </w:tr>
      <w:tr w:rsidR="005846FF" w:rsidRPr="00041F63" w14:paraId="60F83D1A" w14:textId="77777777">
        <w:tc>
          <w:tcPr>
            <w:tcW w:w="5650" w:type="dxa"/>
          </w:tcPr>
          <w:p w14:paraId="5A7D8F04" w14:textId="77777777" w:rsidR="005846FF" w:rsidRPr="00041F63" w:rsidRDefault="004B6EF6">
            <w:pPr>
              <w:rPr>
                <w:rFonts w:ascii="Century Gothic" w:hAnsi="Century Gothic"/>
              </w:rPr>
            </w:pPr>
            <w:r w:rsidRPr="00041F63">
              <w:rPr>
                <w:rFonts w:ascii="Century Gothic" w:hAnsi="Century Gothic"/>
                <w:sz w:val="18"/>
              </w:rPr>
              <w:t>Relevant evidence preserved without recirculation</w:t>
            </w:r>
          </w:p>
        </w:tc>
        <w:tc>
          <w:tcPr>
            <w:tcW w:w="3710" w:type="dxa"/>
          </w:tcPr>
          <w:p w14:paraId="1DE478BA" w14:textId="77777777" w:rsidR="005846FF" w:rsidRPr="00041F63" w:rsidRDefault="005846FF">
            <w:pPr>
              <w:rPr>
                <w:rFonts w:ascii="Century Gothic" w:hAnsi="Century Gothic"/>
              </w:rPr>
            </w:pPr>
          </w:p>
        </w:tc>
      </w:tr>
      <w:tr w:rsidR="005846FF" w:rsidRPr="00041F63" w14:paraId="4262F3B4" w14:textId="77777777">
        <w:tc>
          <w:tcPr>
            <w:tcW w:w="5650" w:type="dxa"/>
          </w:tcPr>
          <w:p w14:paraId="2E4CFDDD" w14:textId="77777777" w:rsidR="005846FF" w:rsidRPr="00041F63" w:rsidRDefault="004B6EF6">
            <w:pPr>
              <w:rPr>
                <w:rFonts w:ascii="Century Gothic" w:hAnsi="Century Gothic"/>
              </w:rPr>
            </w:pPr>
            <w:r w:rsidRPr="00041F63">
              <w:rPr>
                <w:rFonts w:ascii="Century Gothic" w:hAnsi="Century Gothic"/>
                <w:sz w:val="18"/>
              </w:rPr>
              <w:t>Parents/carers and commissioner informed or rationale recorded</w:t>
            </w:r>
          </w:p>
        </w:tc>
        <w:tc>
          <w:tcPr>
            <w:tcW w:w="3710" w:type="dxa"/>
          </w:tcPr>
          <w:p w14:paraId="5AB3E4F2" w14:textId="77777777" w:rsidR="005846FF" w:rsidRPr="00041F63" w:rsidRDefault="005846FF">
            <w:pPr>
              <w:rPr>
                <w:rFonts w:ascii="Century Gothic" w:hAnsi="Century Gothic"/>
              </w:rPr>
            </w:pPr>
          </w:p>
        </w:tc>
      </w:tr>
      <w:tr w:rsidR="005846FF" w:rsidRPr="00041F63" w14:paraId="12CDE1A5" w14:textId="77777777">
        <w:tc>
          <w:tcPr>
            <w:tcW w:w="5650" w:type="dxa"/>
          </w:tcPr>
          <w:p w14:paraId="692C076C" w14:textId="77777777" w:rsidR="005846FF" w:rsidRPr="00041F63" w:rsidRDefault="004B6EF6">
            <w:pPr>
              <w:rPr>
                <w:rFonts w:ascii="Century Gothic" w:hAnsi="Century Gothic"/>
              </w:rPr>
            </w:pPr>
            <w:r w:rsidRPr="00041F63">
              <w:rPr>
                <w:rFonts w:ascii="Century Gothic" w:hAnsi="Century Gothic"/>
                <w:sz w:val="18"/>
              </w:rPr>
              <w:t>Incident/safeguarding records completed</w:t>
            </w:r>
          </w:p>
        </w:tc>
        <w:tc>
          <w:tcPr>
            <w:tcW w:w="3710" w:type="dxa"/>
          </w:tcPr>
          <w:p w14:paraId="59259B91" w14:textId="77777777" w:rsidR="005846FF" w:rsidRPr="00041F63" w:rsidRDefault="005846FF">
            <w:pPr>
              <w:rPr>
                <w:rFonts w:ascii="Century Gothic" w:hAnsi="Century Gothic"/>
              </w:rPr>
            </w:pPr>
          </w:p>
        </w:tc>
      </w:tr>
      <w:tr w:rsidR="005846FF" w:rsidRPr="00041F63" w14:paraId="7149F81B" w14:textId="77777777">
        <w:tc>
          <w:tcPr>
            <w:tcW w:w="5650" w:type="dxa"/>
          </w:tcPr>
          <w:p w14:paraId="7F5633DB" w14:textId="77777777" w:rsidR="005846FF" w:rsidRPr="00041F63" w:rsidRDefault="004B6EF6">
            <w:pPr>
              <w:rPr>
                <w:rFonts w:ascii="Century Gothic" w:hAnsi="Century Gothic"/>
              </w:rPr>
            </w:pPr>
            <w:r w:rsidRPr="00041F63">
              <w:rPr>
                <w:rFonts w:ascii="Century Gothic" w:hAnsi="Century Gothic"/>
                <w:sz w:val="18"/>
              </w:rPr>
              <w:t>Safety plan and supervision changes implemented</w:t>
            </w:r>
          </w:p>
        </w:tc>
        <w:tc>
          <w:tcPr>
            <w:tcW w:w="3710" w:type="dxa"/>
          </w:tcPr>
          <w:p w14:paraId="29104C40" w14:textId="77777777" w:rsidR="005846FF" w:rsidRPr="00041F63" w:rsidRDefault="005846FF">
            <w:pPr>
              <w:rPr>
                <w:rFonts w:ascii="Century Gothic" w:hAnsi="Century Gothic"/>
              </w:rPr>
            </w:pPr>
          </w:p>
        </w:tc>
      </w:tr>
      <w:tr w:rsidR="005846FF" w:rsidRPr="00041F63" w14:paraId="295C7C05" w14:textId="77777777">
        <w:tc>
          <w:tcPr>
            <w:tcW w:w="5650" w:type="dxa"/>
          </w:tcPr>
          <w:p w14:paraId="3DC0213D" w14:textId="77777777" w:rsidR="005846FF" w:rsidRPr="00041F63" w:rsidRDefault="004B6EF6">
            <w:pPr>
              <w:rPr>
                <w:rFonts w:ascii="Century Gothic" w:hAnsi="Century Gothic"/>
              </w:rPr>
            </w:pPr>
            <w:r w:rsidRPr="00041F63">
              <w:rPr>
                <w:rFonts w:ascii="Century Gothic" w:hAnsi="Century Gothic"/>
                <w:sz w:val="18"/>
              </w:rPr>
              <w:t>Support for harmed child and child displaying harm agreed</w:t>
            </w:r>
          </w:p>
        </w:tc>
        <w:tc>
          <w:tcPr>
            <w:tcW w:w="3710" w:type="dxa"/>
          </w:tcPr>
          <w:p w14:paraId="0EC7FDB3" w14:textId="77777777" w:rsidR="005846FF" w:rsidRPr="00041F63" w:rsidRDefault="005846FF">
            <w:pPr>
              <w:rPr>
                <w:rFonts w:ascii="Century Gothic" w:hAnsi="Century Gothic"/>
              </w:rPr>
            </w:pPr>
          </w:p>
        </w:tc>
      </w:tr>
      <w:tr w:rsidR="005846FF" w:rsidRPr="00041F63" w14:paraId="763382FB" w14:textId="77777777">
        <w:tc>
          <w:tcPr>
            <w:tcW w:w="5650" w:type="dxa"/>
          </w:tcPr>
          <w:p w14:paraId="5C0E83F0" w14:textId="77777777" w:rsidR="005846FF" w:rsidRPr="00041F63" w:rsidRDefault="004B6EF6">
            <w:pPr>
              <w:rPr>
                <w:rFonts w:ascii="Century Gothic" w:hAnsi="Century Gothic"/>
              </w:rPr>
            </w:pPr>
            <w:r w:rsidRPr="00041F63">
              <w:rPr>
                <w:rFonts w:ascii="Century Gothic" w:hAnsi="Century Gothic"/>
                <w:sz w:val="18"/>
              </w:rPr>
              <w:t>Review dates and named lead recorded</w:t>
            </w:r>
          </w:p>
        </w:tc>
        <w:tc>
          <w:tcPr>
            <w:tcW w:w="3710" w:type="dxa"/>
          </w:tcPr>
          <w:p w14:paraId="33E869E7" w14:textId="77777777" w:rsidR="005846FF" w:rsidRPr="00041F63" w:rsidRDefault="005846FF">
            <w:pPr>
              <w:rPr>
                <w:rFonts w:ascii="Century Gothic" w:hAnsi="Century Gothic"/>
              </w:rPr>
            </w:pPr>
          </w:p>
        </w:tc>
      </w:tr>
      <w:tr w:rsidR="005846FF" w:rsidRPr="00041F63" w14:paraId="5506D561" w14:textId="77777777">
        <w:tc>
          <w:tcPr>
            <w:tcW w:w="5650" w:type="dxa"/>
          </w:tcPr>
          <w:p w14:paraId="3134BCA3" w14:textId="77777777" w:rsidR="005846FF" w:rsidRPr="00041F63" w:rsidRDefault="004B6EF6">
            <w:pPr>
              <w:rPr>
                <w:rFonts w:ascii="Century Gothic" w:hAnsi="Century Gothic"/>
              </w:rPr>
            </w:pPr>
            <w:r w:rsidRPr="00041F63">
              <w:rPr>
                <w:rFonts w:ascii="Century Gothic" w:hAnsi="Century Gothic"/>
                <w:sz w:val="18"/>
              </w:rPr>
              <w:t>Child’s views and evidence that harm has stopped obtained</w:t>
            </w:r>
          </w:p>
        </w:tc>
        <w:tc>
          <w:tcPr>
            <w:tcW w:w="3710" w:type="dxa"/>
          </w:tcPr>
          <w:p w14:paraId="4F3590F5" w14:textId="77777777" w:rsidR="005846FF" w:rsidRPr="00041F63" w:rsidRDefault="005846FF">
            <w:pPr>
              <w:rPr>
                <w:rFonts w:ascii="Century Gothic" w:hAnsi="Century Gothic"/>
              </w:rPr>
            </w:pPr>
          </w:p>
        </w:tc>
      </w:tr>
    </w:tbl>
    <w:p w14:paraId="0234C3EE" w14:textId="77777777" w:rsidR="005846FF" w:rsidRPr="00041F63" w:rsidRDefault="004B6EF6">
      <w:pPr>
        <w:pStyle w:val="Heading1"/>
        <w:rPr>
          <w:rFonts w:ascii="Century Gothic" w:hAnsi="Century Gothic"/>
        </w:rPr>
      </w:pPr>
      <w:r w:rsidRPr="00041F63">
        <w:rPr>
          <w:rFonts w:ascii="Century Gothic" w:hAnsi="Century Gothic"/>
        </w:rPr>
        <w:t>Appendix B — Child-friendly message</w:t>
      </w:r>
    </w:p>
    <w:p w14:paraId="3D4D4532" w14:textId="77777777" w:rsidR="005846FF" w:rsidRPr="00041F63" w:rsidRDefault="004B6EF6">
      <w:pPr>
        <w:pStyle w:val="Callout"/>
        <w:pBdr>
          <w:left w:val="single" w:sz="18" w:space="8" w:color="315B45"/>
        </w:pBdr>
        <w:shd w:val="clear" w:color="auto" w:fill="F2F4F7"/>
        <w:rPr>
          <w:rFonts w:ascii="Century Gothic" w:hAnsi="Century Gothic"/>
        </w:rPr>
      </w:pPr>
      <w:r w:rsidRPr="00041F63">
        <w:rPr>
          <w:rFonts w:ascii="Century Gothic" w:hAnsi="Century Gothic"/>
          <w:b/>
          <w:color w:val="315B45"/>
        </w:rPr>
        <w:t xml:space="preserve">At TWiG  </w:t>
      </w:r>
      <w:r w:rsidRPr="00041F63">
        <w:rPr>
          <w:rFonts w:ascii="Century Gothic" w:hAnsi="Century Gothic"/>
          <w:color w:val="202124"/>
        </w:rPr>
        <w:t>You have the right to feel safe and be treated with respect. If someone keeps hurting, frightening, controlling, excluding or embarrassing you—in person or online—tell any adult you trust. You can use words, drawing, messages or ask someone to help. We will listen, help make you safe and tell you what happens next. It is never your fault for asking for help.</w:t>
      </w:r>
    </w:p>
    <w:p w14:paraId="586470CC" w14:textId="77777777" w:rsidR="005846FF" w:rsidRPr="00041F63" w:rsidRDefault="004B6EF6">
      <w:pPr>
        <w:pStyle w:val="Heading1"/>
        <w:rPr>
          <w:rFonts w:ascii="Century Gothic" w:hAnsi="Century Gothic"/>
        </w:rPr>
      </w:pPr>
      <w:r w:rsidRPr="00041F63">
        <w:rPr>
          <w:rFonts w:ascii="Century Gothic" w:hAnsi="Century Gothic"/>
        </w:rPr>
        <w:t>Document control</w:t>
      </w:r>
    </w:p>
    <w:p w14:paraId="20482697" w14:textId="77777777" w:rsidR="005846FF" w:rsidRDefault="004B6EF6">
      <w:pPr>
        <w:spacing w:after="0"/>
      </w:pPr>
      <w:r w:rsidRPr="00041F63">
        <w:rPr>
          <w:rFonts w:ascii="Century Gothic" w:hAnsi="Century Gothic"/>
          <w:b/>
          <w:color w:val="1F4D78"/>
          <w:sz w:val="19"/>
        </w:rPr>
        <w:t xml:space="preserve">Version: </w:t>
      </w:r>
      <w:r w:rsidRPr="00041F63">
        <w:rPr>
          <w:rFonts w:ascii="Century Gothic" w:hAnsi="Century Gothic"/>
          <w:sz w:val="19"/>
        </w:rPr>
        <w:t xml:space="preserve">1.0 — 2026–2027   </w:t>
      </w:r>
      <w:r w:rsidRPr="00041F63">
        <w:rPr>
          <w:rFonts w:ascii="Century Gothic" w:hAnsi="Century Gothic"/>
          <w:b/>
          <w:color w:val="1F4D78"/>
          <w:sz w:val="19"/>
        </w:rPr>
        <w:t xml:space="preserve">Replaces: </w:t>
      </w:r>
      <w:r w:rsidRPr="00041F63">
        <w:rPr>
          <w:rFonts w:ascii="Century Gothic" w:hAnsi="Century Gothic"/>
          <w:sz w:val="19"/>
        </w:rPr>
        <w:t xml:space="preserve">Anti-Bullying Policy 09/25   </w:t>
      </w:r>
      <w:r w:rsidRPr="00041F63">
        <w:rPr>
          <w:rFonts w:ascii="Century Gothic" w:hAnsi="Century Gothic"/>
          <w:b/>
          <w:color w:val="1F4D78"/>
          <w:sz w:val="19"/>
        </w:rPr>
        <w:t xml:space="preserve">Owner: </w:t>
      </w:r>
      <w:r w:rsidRPr="00041F63">
        <w:rPr>
          <w:rFonts w:ascii="Century Gothic" w:hAnsi="Century Gothic"/>
          <w:sz w:val="19"/>
        </w:rPr>
        <w:t>Managing Partne</w:t>
      </w:r>
      <w:r>
        <w:rPr>
          <w:sz w:val="19"/>
        </w:rPr>
        <w:t xml:space="preserve">rs   </w:t>
      </w:r>
      <w:r>
        <w:rPr>
          <w:b/>
          <w:color w:val="1F4D78"/>
          <w:sz w:val="19"/>
        </w:rPr>
        <w:t xml:space="preserve">Next review: </w:t>
      </w:r>
      <w:r>
        <w:rPr>
          <w:sz w:val="19"/>
        </w:rPr>
        <w:t xml:space="preserve">August 2027   </w:t>
      </w:r>
    </w:p>
    <w:sectPr w:rsidR="005846FF" w:rsidSect="00034616">
      <w:headerReference w:type="default" r:id="rId8"/>
      <w:footerReference w:type="default" r:id="rId9"/>
      <w:pgSz w:w="12240" w:h="15840"/>
      <w:pgMar w:top="1224" w:right="1224" w:bottom="1224"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8A377" w14:textId="77777777" w:rsidR="004B6EF6" w:rsidRDefault="004B6EF6">
      <w:pPr>
        <w:spacing w:after="0" w:line="240" w:lineRule="auto"/>
      </w:pPr>
      <w:r>
        <w:separator/>
      </w:r>
    </w:p>
  </w:endnote>
  <w:endnote w:type="continuationSeparator" w:id="0">
    <w:p w14:paraId="38738B7D" w14:textId="77777777" w:rsidR="004B6EF6" w:rsidRDefault="004B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5FDE" w14:textId="77777777" w:rsidR="005846FF" w:rsidRDefault="004B6EF6">
    <w:pPr>
      <w:pStyle w:val="Footer"/>
      <w:jc w:val="right"/>
    </w:pPr>
    <w:r>
      <w:rPr>
        <w:color w:val="5F6368"/>
        <w:sz w:val="16"/>
      </w:rPr>
      <w:t xml:space="preserve">Review August </w:t>
    </w:r>
    <w:proofErr w:type="gramStart"/>
    <w:r>
      <w:rPr>
        <w:color w:val="5F6368"/>
        <w:sz w:val="16"/>
      </w:rPr>
      <w:t>2027  |</w:t>
    </w:r>
    <w:proofErr w:type="gramEnd"/>
    <w:r>
      <w:rPr>
        <w:color w:val="5F6368"/>
        <w:sz w:val="16"/>
      </w:rPr>
      <w:t xml:space="preserve">  Page </w:t>
    </w:r>
    <w:r>
      <w:fldChar w:fldCharType="begin"/>
    </w:r>
    <w:r>
      <w:instrText>PAGE</w:instrText>
    </w:r>
    <w:r>
      <w:fldChar w:fldCharType="separate"/>
    </w:r>
    <w:r w:rsidR="00041F6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A469A" w14:textId="77777777" w:rsidR="004B6EF6" w:rsidRDefault="004B6EF6">
      <w:pPr>
        <w:spacing w:after="0" w:line="240" w:lineRule="auto"/>
      </w:pPr>
      <w:r>
        <w:separator/>
      </w:r>
    </w:p>
  </w:footnote>
  <w:footnote w:type="continuationSeparator" w:id="0">
    <w:p w14:paraId="37D743FA" w14:textId="77777777" w:rsidR="004B6EF6" w:rsidRDefault="004B6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C961" w14:textId="5C738453" w:rsidR="005846FF" w:rsidRDefault="00041F63">
    <w:pPr>
      <w:pStyle w:val="Header"/>
    </w:pPr>
    <w:r>
      <w:rPr>
        <w:noProof/>
      </w:rPr>
      <w:drawing>
        <wp:anchor distT="0" distB="0" distL="114300" distR="114300" simplePos="0" relativeHeight="251659264" behindDoc="0" locked="0" layoutInCell="1" allowOverlap="1" wp14:anchorId="56A843FC" wp14:editId="544B23A1">
          <wp:simplePos x="0" y="0"/>
          <wp:positionH relativeFrom="page">
            <wp:align>right</wp:align>
          </wp:positionH>
          <wp:positionV relativeFrom="paragraph">
            <wp:posOffset>-320040</wp:posOffset>
          </wp:positionV>
          <wp:extent cx="7772400" cy="2164080"/>
          <wp:effectExtent l="0" t="0" r="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77240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9165092">
    <w:abstractNumId w:val="8"/>
  </w:num>
  <w:num w:numId="2" w16cid:durableId="399988633">
    <w:abstractNumId w:val="6"/>
  </w:num>
  <w:num w:numId="3" w16cid:durableId="1737126914">
    <w:abstractNumId w:val="5"/>
  </w:num>
  <w:num w:numId="4" w16cid:durableId="749428848">
    <w:abstractNumId w:val="4"/>
  </w:num>
  <w:num w:numId="5" w16cid:durableId="65610712">
    <w:abstractNumId w:val="7"/>
  </w:num>
  <w:num w:numId="6" w16cid:durableId="2110854397">
    <w:abstractNumId w:val="3"/>
  </w:num>
  <w:num w:numId="7" w16cid:durableId="1080952253">
    <w:abstractNumId w:val="2"/>
  </w:num>
  <w:num w:numId="8" w16cid:durableId="1102452119">
    <w:abstractNumId w:val="1"/>
  </w:num>
  <w:num w:numId="9" w16cid:durableId="845093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F63"/>
    <w:rsid w:val="0006063C"/>
    <w:rsid w:val="0015074B"/>
    <w:rsid w:val="001822D4"/>
    <w:rsid w:val="001A1EB9"/>
    <w:rsid w:val="0029639D"/>
    <w:rsid w:val="00326F90"/>
    <w:rsid w:val="004B6EF6"/>
    <w:rsid w:val="005846F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8B9131"/>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4" w:lineRule="auto"/>
    </w:pPr>
    <w:rPr>
      <w:rFonts w:ascii="Calibri" w:hAnsi="Calibri"/>
      <w:color w:val="202124"/>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547" w:hanging="274"/>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547" w:hanging="274"/>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40" w:line="264" w:lineRule="auto"/>
      <w:ind w:left="115" w:right="115"/>
    </w:pPr>
    <w:rPr>
      <w:rFonts w:ascii="Calibri" w:hAnsi="Calibr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3069</Words>
  <Characters>17495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Anti-Bullying and Peer Harm Policy 2026–2027</dc:title>
  <dc:subject>Bullying, cyberbullying, discriminatory bullying and peer harm</dc:subject>
  <dc:creator>The Wilderness Grove (TWiG)</dc:creator>
  <cp:keywords/>
  <dc:description>generated by python-docx</dc:description>
  <cp:lastModifiedBy>Cate Regi</cp:lastModifiedBy>
  <cp:revision>3</cp:revision>
  <dcterms:created xsi:type="dcterms:W3CDTF">2026-08-25T12:30:00Z</dcterms:created>
  <dcterms:modified xsi:type="dcterms:W3CDTF">2026-08-25T12:30:00Z</dcterms:modified>
  <cp:category/>
</cp:coreProperties>
</file>