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313C" w14:textId="7FFF7E75" w:rsidR="00916620" w:rsidRDefault="00F85A48">
      <w:r>
        <w:rPr>
          <w:b/>
          <w:sz w:val="32"/>
        </w:rPr>
        <w:t xml:space="preserve">TSEF </w:t>
      </w:r>
      <w:r w:rsidR="00CB515A">
        <w:rPr>
          <w:b/>
          <w:sz w:val="32"/>
        </w:rPr>
        <w:t>Food Waste</w:t>
      </w:r>
      <w:r w:rsidR="00E525C6">
        <w:rPr>
          <w:b/>
          <w:sz w:val="32"/>
        </w:rPr>
        <w:t xml:space="preserve"> – Planner Toolkit</w:t>
      </w:r>
    </w:p>
    <w:p w14:paraId="148A9EB8" w14:textId="0D2793CC" w:rsidR="00916620" w:rsidRDefault="00CB515A">
      <w:r>
        <w:t>Companion</w:t>
      </w:r>
      <w:r w:rsidR="00E525C6">
        <w:t xml:space="preserve"> guide</w:t>
      </w:r>
      <w:r>
        <w:t xml:space="preserve"> to “From Menu to Mission: Tackling Food Waste at Events.” </w:t>
      </w:r>
      <w:r w:rsidR="00E335AD">
        <w:t xml:space="preserve">Check out the article at CMEE </w:t>
      </w:r>
      <w:r w:rsidR="00E56CD9">
        <w:t xml:space="preserve">News </w:t>
      </w:r>
      <w:hyperlink r:id="rId6" w:history="1">
        <w:r w:rsidR="00E56CD9" w:rsidRPr="00F85A48">
          <w:rPr>
            <w:rStyle w:val="Hyperlink"/>
          </w:rPr>
          <w:t>here</w:t>
        </w:r>
      </w:hyperlink>
      <w:r w:rsidR="00E56CD9">
        <w:t xml:space="preserve">. </w:t>
      </w:r>
    </w:p>
    <w:p w14:paraId="4F1E7A7E" w14:textId="1344D82F" w:rsidR="00916620" w:rsidRDefault="00CB515A">
      <w:r>
        <w:rPr>
          <w:b/>
        </w:rPr>
        <w:t>1) Your High‑Impact Planning Moves (What YOU Control)</w:t>
      </w:r>
      <w:r w:rsidR="00E525C6">
        <w:t xml:space="preserve"> </w:t>
      </w:r>
      <w:r w:rsidR="00E525C6">
        <w:br/>
      </w:r>
      <w:r>
        <w:t>Add these to every RFP (copy‑paste):</w:t>
      </w:r>
    </w:p>
    <w:p w14:paraId="5F4E0AC3" w14:textId="5B34641E" w:rsidR="00916620" w:rsidRDefault="00CB515A">
      <w:pPr>
        <w:pStyle w:val="ListBullet"/>
      </w:pPr>
      <w:r>
        <w:t>“Please outline your food waste prevention practices (portioning, menu strategies, overset percentages).”</w:t>
      </w:r>
    </w:p>
    <w:p w14:paraId="4FFFD69F" w14:textId="4327A00A" w:rsidR="00916620" w:rsidRDefault="00CB515A">
      <w:pPr>
        <w:pStyle w:val="ListBullet"/>
      </w:pPr>
      <w:r>
        <w:t xml:space="preserve">“Confirm your food donation </w:t>
      </w:r>
      <w:r w:rsidR="00E525C6">
        <w:t xml:space="preserve">partner </w:t>
      </w:r>
      <w:r>
        <w:t>program for safe, unserved surplus</w:t>
      </w:r>
      <w:r w:rsidR="00E525C6">
        <w:t>.”</w:t>
      </w:r>
    </w:p>
    <w:p w14:paraId="24D96E4D" w14:textId="4AEDC1D2" w:rsidR="00916620" w:rsidRDefault="00CB515A">
      <w:pPr>
        <w:pStyle w:val="ListBullet"/>
      </w:pPr>
      <w:r>
        <w:t>“Detail your organics diversion program and any reporting available.”</w:t>
      </w:r>
    </w:p>
    <w:p w14:paraId="14C79EDB" w14:textId="77777777" w:rsidR="00916620" w:rsidRDefault="00CB515A">
      <w:r>
        <w:t>Add these to your BEO (they trigger action):</w:t>
      </w:r>
    </w:p>
    <w:p w14:paraId="4925ECE8" w14:textId="054BA087" w:rsidR="00916620" w:rsidRDefault="00CB515A">
      <w:pPr>
        <w:pStyle w:val="ListBullet"/>
      </w:pPr>
      <w:r>
        <w:t xml:space="preserve">Donation: “Venue/caterer will coordinate same‑day donation of safe, unserved surplus via </w:t>
      </w:r>
      <w:r w:rsidR="00E525C6">
        <w:t>food recovery a</w:t>
      </w:r>
      <w:r>
        <w:t>gency</w:t>
      </w:r>
      <w:r w:rsidR="00E525C6">
        <w:t xml:space="preserve">, adhering to agency’s food handling requirements. </w:t>
      </w:r>
    </w:p>
    <w:p w14:paraId="4EFE66B5" w14:textId="357BE68B" w:rsidR="00916620" w:rsidRDefault="00E525C6">
      <w:pPr>
        <w:pStyle w:val="ListBullet"/>
      </w:pPr>
      <w:r>
        <w:t>Sorting: “</w:t>
      </w:r>
      <w:r w:rsidR="00CB515A">
        <w:t xml:space="preserve">Recycling, organics, and landfill </w:t>
      </w:r>
      <w:r>
        <w:t xml:space="preserve">sorting </w:t>
      </w:r>
      <w:r w:rsidR="00CB515A">
        <w:t>required BOH &amp; FOH.”</w:t>
      </w:r>
    </w:p>
    <w:p w14:paraId="56B24780" w14:textId="5C3A56F1" w:rsidR="00810C81" w:rsidRDefault="00810C81" w:rsidP="00810C81">
      <w:pPr>
        <w:pStyle w:val="ListBullet"/>
        <w:tabs>
          <w:tab w:val="clear" w:pos="360"/>
          <w:tab w:val="num" w:pos="720"/>
        </w:tabs>
        <w:ind w:left="720"/>
      </w:pPr>
      <w:r>
        <w:t xml:space="preserve">If </w:t>
      </w:r>
      <w:r w:rsidR="00933A08">
        <w:t xml:space="preserve">municipal </w:t>
      </w:r>
      <w:r>
        <w:t>organic</w:t>
      </w:r>
      <w:r w:rsidR="00AE2936">
        <w:t xml:space="preserve"> </w:t>
      </w:r>
      <w:r w:rsidR="00933A08">
        <w:t xml:space="preserve">waste </w:t>
      </w:r>
      <w:r w:rsidR="00AE2936">
        <w:t xml:space="preserve">collection is not available, third party vendors can be contracted to provide, collect and report </w:t>
      </w:r>
      <w:r w:rsidR="00933A08">
        <w:t xml:space="preserve">on </w:t>
      </w:r>
      <w:r w:rsidR="00AE2936">
        <w:t>organic waste.</w:t>
      </w:r>
      <w:r w:rsidR="00C13B88">
        <w:t xml:space="preserve"> Eg. Compost Winnipeg</w:t>
      </w:r>
      <w:r w:rsidR="00AE2936">
        <w:t xml:space="preserve"> </w:t>
      </w:r>
    </w:p>
    <w:p w14:paraId="10B71336" w14:textId="56C15676" w:rsidR="00916620" w:rsidRDefault="00CB515A">
      <w:pPr>
        <w:pStyle w:val="ListBullet"/>
      </w:pPr>
      <w:r>
        <w:t>Post‑Event Reporting: “Provide prepared vs. served vs. donated vs. composted/other diversion quantities</w:t>
      </w:r>
      <w:r w:rsidR="00E525C6">
        <w:t>, and top 3 leftover items</w:t>
      </w:r>
      <w:r>
        <w:t xml:space="preserve"> within 48 hours.”</w:t>
      </w:r>
    </w:p>
    <w:p w14:paraId="579EFF17" w14:textId="77777777" w:rsidR="00916620" w:rsidRDefault="00CB515A">
      <w:r>
        <w:rPr>
          <w:b/>
        </w:rPr>
        <w:t>2) Upstream Prevention Checklist (Non‑Negotiables)</w:t>
      </w:r>
    </w:p>
    <w:p w14:paraId="09AD0813" w14:textId="77777777" w:rsidR="00916620" w:rsidRDefault="00CB515A">
      <w:pPr>
        <w:pStyle w:val="ListBullet"/>
      </w:pPr>
      <w:r>
        <w:t>Meal opt‑ins in registration; use past consumption to right‑size guarantees.</w:t>
      </w:r>
    </w:p>
    <w:p w14:paraId="4E1B77E6" w14:textId="77777777" w:rsidR="00916620" w:rsidRDefault="00CB515A">
      <w:pPr>
        <w:pStyle w:val="ListBullet"/>
      </w:pPr>
      <w:r>
        <w:t>Menus that hold well and repurpose safely; avoid fragile, waste‑prone items.</w:t>
      </w:r>
    </w:p>
    <w:p w14:paraId="0ED398D6" w14:textId="150AB392" w:rsidR="00916620" w:rsidRDefault="00CB515A">
      <w:pPr>
        <w:pStyle w:val="ListBullet"/>
      </w:pPr>
      <w:r>
        <w:t xml:space="preserve">Smaller buffet plates; staged replenishment; </w:t>
      </w:r>
      <w:r w:rsidR="00AA1EB3">
        <w:t xml:space="preserve">smaller </w:t>
      </w:r>
      <w:r>
        <w:t>bulk containers (sugar, milk etc.)</w:t>
      </w:r>
    </w:p>
    <w:p w14:paraId="669AFAE5" w14:textId="36D7E285" w:rsidR="00916620" w:rsidRDefault="00AA1EB3">
      <w:pPr>
        <w:pStyle w:val="ListBullet"/>
      </w:pPr>
      <w:r>
        <w:t>Buffet</w:t>
      </w:r>
      <w:r w:rsidR="00CB515A">
        <w:t xml:space="preserve"> signage: “Take </w:t>
      </w:r>
      <w:r w:rsidR="00E525C6">
        <w:t xml:space="preserve">only </w:t>
      </w:r>
      <w:r w:rsidR="00CB515A">
        <w:t>what you’ll eat</w:t>
      </w:r>
      <w:r w:rsidR="00E525C6">
        <w:t xml:space="preserve">, come back for </w:t>
      </w:r>
      <w:r w:rsidR="00CB515A">
        <w:t>seconds</w:t>
      </w:r>
      <w:r w:rsidR="00E525C6">
        <w:t>.”</w:t>
      </w:r>
    </w:p>
    <w:p w14:paraId="62980306" w14:textId="246BF85B" w:rsidR="00916620" w:rsidRDefault="00CB515A">
      <w:r>
        <w:rPr>
          <w:b/>
        </w:rPr>
        <w:t>3) Donation is the Default</w:t>
      </w:r>
    </w:p>
    <w:p w14:paraId="7CB8E33B" w14:textId="77777777" w:rsidR="00916620" w:rsidRDefault="00CB515A">
      <w:pPr>
        <w:pStyle w:val="ListBullet"/>
      </w:pPr>
      <w:r>
        <w:t>Set expectation in writing (RFP/BEO): donation of all safe, unserved surplus via a qualified recovery partner is standard.</w:t>
      </w:r>
    </w:p>
    <w:p w14:paraId="76447D0D" w14:textId="3A940179" w:rsidR="00916620" w:rsidRDefault="00CB515A">
      <w:pPr>
        <w:pStyle w:val="ListBullet"/>
      </w:pPr>
      <w:r>
        <w:t>If you hear “we don’t donate”: educate (Good‑Samaritan</w:t>
      </w:r>
      <w:r w:rsidR="00E525C6">
        <w:t>/ Food donation legislation</w:t>
      </w:r>
      <w:r>
        <w:t>), offer solutions (Second Harvest / La Tablée des Chefs), then escalate (donation is an ESG requirement).</w:t>
      </w:r>
    </w:p>
    <w:p w14:paraId="7BA70C3E" w14:textId="0F0A87C6" w:rsidR="00810C81" w:rsidRDefault="00CB515A" w:rsidP="00810C81">
      <w:pPr>
        <w:pStyle w:val="ListBullet"/>
        <w:tabs>
          <w:tab w:val="clear" w:pos="360"/>
        </w:tabs>
      </w:pPr>
      <w:r>
        <w:t>Only when donation is not eligible (</w:t>
      </w:r>
      <w:r w:rsidR="00E525C6">
        <w:t>kitchen and plate scraps</w:t>
      </w:r>
      <w:r>
        <w:t>): divert remaining organics to higher‑value pathways (animal feed/rendering or anaerobic digestion); compost as final option.</w:t>
      </w:r>
    </w:p>
    <w:p w14:paraId="2392E736" w14:textId="288BEF1D" w:rsidR="00C733F7" w:rsidRDefault="00323BC1" w:rsidP="00C733F7">
      <w:pPr>
        <w:pStyle w:val="ListBullet"/>
        <w:numPr>
          <w:ilvl w:val="0"/>
          <w:numId w:val="0"/>
        </w:numPr>
        <w:ind w:left="360" w:hanging="360"/>
        <w:rPr>
          <w:b/>
        </w:rPr>
      </w:pPr>
      <w:r>
        <w:rPr>
          <w:b/>
        </w:rPr>
        <w:t xml:space="preserve">Additional </w:t>
      </w:r>
      <w:r w:rsidR="00C733F7" w:rsidRPr="00C733F7">
        <w:rPr>
          <w:b/>
        </w:rPr>
        <w:t>Resources</w:t>
      </w:r>
    </w:p>
    <w:p w14:paraId="36737654" w14:textId="52514800" w:rsidR="00C733F7" w:rsidRDefault="00680616" w:rsidP="00680616">
      <w:pPr>
        <w:pStyle w:val="ListBullet"/>
        <w:numPr>
          <w:ilvl w:val="0"/>
          <w:numId w:val="10"/>
        </w:numPr>
        <w:rPr>
          <w:b/>
        </w:rPr>
      </w:pPr>
      <w:hyperlink r:id="rId7" w:history="1">
        <w:r w:rsidRPr="00680616">
          <w:rPr>
            <w:rStyle w:val="Hyperlink"/>
            <w:b/>
          </w:rPr>
          <w:t>Food Waste Hierarchy</w:t>
        </w:r>
      </w:hyperlink>
    </w:p>
    <w:p w14:paraId="54C2D66C" w14:textId="6F49BCE5" w:rsidR="00323BC1" w:rsidRDefault="00323BC1" w:rsidP="00680616">
      <w:pPr>
        <w:pStyle w:val="ListBullet"/>
        <w:numPr>
          <w:ilvl w:val="0"/>
          <w:numId w:val="10"/>
        </w:numPr>
        <w:rPr>
          <w:b/>
        </w:rPr>
      </w:pPr>
      <w:hyperlink r:id="rId8" w:history="1">
        <w:r w:rsidRPr="00323BC1">
          <w:rPr>
            <w:rStyle w:val="Hyperlink"/>
            <w:b/>
          </w:rPr>
          <w:t>Donation of Food Legislation (Canada)</w:t>
        </w:r>
      </w:hyperlink>
    </w:p>
    <w:p w14:paraId="1033D8D9" w14:textId="62C0EC5C" w:rsidR="00810C81" w:rsidRPr="00825190" w:rsidRDefault="00825190" w:rsidP="00825190">
      <w:pPr>
        <w:pStyle w:val="ListBullet"/>
        <w:numPr>
          <w:ilvl w:val="0"/>
          <w:numId w:val="10"/>
        </w:numPr>
        <w:rPr>
          <w:lang w:val="fr-CA"/>
        </w:rPr>
      </w:pPr>
      <w:hyperlink r:id="rId9" w:history="1">
        <w:r w:rsidRPr="00825190">
          <w:rPr>
            <w:rStyle w:val="Hyperlink"/>
            <w:b/>
            <w:lang w:val="fr-CA"/>
          </w:rPr>
          <w:t>Second Harvest</w:t>
        </w:r>
      </w:hyperlink>
      <w:r w:rsidRPr="00825190">
        <w:rPr>
          <w:b/>
          <w:lang w:val="fr-CA"/>
        </w:rPr>
        <w:t xml:space="preserve"> | </w:t>
      </w:r>
      <w:hyperlink r:id="rId10" w:history="1">
        <w:r w:rsidRPr="00825190">
          <w:rPr>
            <w:rStyle w:val="Hyperlink"/>
            <w:b/>
            <w:lang w:val="fr-CA"/>
          </w:rPr>
          <w:t>La Tablee des Chefs</w:t>
        </w:r>
      </w:hyperlink>
    </w:p>
    <w:sectPr w:rsidR="00810C81" w:rsidRPr="008251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D6388C"/>
    <w:multiLevelType w:val="hybridMultilevel"/>
    <w:tmpl w:val="F73669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28693">
    <w:abstractNumId w:val="8"/>
  </w:num>
  <w:num w:numId="2" w16cid:durableId="344064883">
    <w:abstractNumId w:val="6"/>
  </w:num>
  <w:num w:numId="3" w16cid:durableId="1885437910">
    <w:abstractNumId w:val="5"/>
  </w:num>
  <w:num w:numId="4" w16cid:durableId="1742218917">
    <w:abstractNumId w:val="4"/>
  </w:num>
  <w:num w:numId="5" w16cid:durableId="1488782088">
    <w:abstractNumId w:val="7"/>
  </w:num>
  <w:num w:numId="6" w16cid:durableId="1797408260">
    <w:abstractNumId w:val="3"/>
  </w:num>
  <w:num w:numId="7" w16cid:durableId="2102607052">
    <w:abstractNumId w:val="2"/>
  </w:num>
  <w:num w:numId="8" w16cid:durableId="1321471535">
    <w:abstractNumId w:val="1"/>
  </w:num>
  <w:num w:numId="9" w16cid:durableId="1310210003">
    <w:abstractNumId w:val="0"/>
  </w:num>
  <w:num w:numId="10" w16cid:durableId="22750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9E0"/>
    <w:rsid w:val="00034616"/>
    <w:rsid w:val="0006063C"/>
    <w:rsid w:val="0015074B"/>
    <w:rsid w:val="0029639D"/>
    <w:rsid w:val="002B583D"/>
    <w:rsid w:val="00323BC1"/>
    <w:rsid w:val="00326F90"/>
    <w:rsid w:val="00556D6B"/>
    <w:rsid w:val="00680616"/>
    <w:rsid w:val="00810C81"/>
    <w:rsid w:val="00825190"/>
    <w:rsid w:val="00916620"/>
    <w:rsid w:val="00933A08"/>
    <w:rsid w:val="00AA1D8D"/>
    <w:rsid w:val="00AA1EB3"/>
    <w:rsid w:val="00AE2936"/>
    <w:rsid w:val="00B47730"/>
    <w:rsid w:val="00C13B88"/>
    <w:rsid w:val="00C733F7"/>
    <w:rsid w:val="00CB0664"/>
    <w:rsid w:val="00CB515A"/>
    <w:rsid w:val="00E335AD"/>
    <w:rsid w:val="00E525C6"/>
    <w:rsid w:val="00E56CD9"/>
    <w:rsid w:val="00F85A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6CE185"/>
  <w14:defaultImageDpi w14:val="300"/>
  <w15:docId w15:val="{0D411FC1-DC0A-453C-A80E-1CAEC3A6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806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g1.wsimg.com/blobby/go/fb41c93f-2345-426a-8865-1b9033c5385a/downloads/SH%20Donation%20of%20Food%20Legistation%20(1)%20(1).pdf?ver=1772044283805" TargetMode="External"/><Relationship Id="rId3" Type="http://schemas.openxmlformats.org/officeDocument/2006/relationships/styles" Target="styles.xml"/><Relationship Id="rId7" Type="http://schemas.openxmlformats.org/officeDocument/2006/relationships/hyperlink" Target="https://img1.wsimg.com/blobby/go/fb41c93f-2345-426a-8865-1b9033c5385a/downloads/Screen%20Shot%202022-04-24%20at%201.10.38%20PM.png?ver=177204428380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meexpo.ca/new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ing.com/ck/a?!&amp;&amp;p=1445b0499250340e37b39bf4c2f744899038406daa589e402a637e8956f658a0JmltdHM9MTc3MjIzNjgwMA&amp;ptn=3&amp;ver=2&amp;hsh=4&amp;fclid=3fb0044a-9cf2-6943-2f05-12329d3268cf&amp;psq=la+tablee+des+chefs&amp;u=a1aHR0cHM6Ly93d3cudGFibGVlZGVzY2hlZnMub3JnL2VuL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bf741e7f8c070fa432dd4d791aa25fbb322472bdd7af23220286375c6bee1e19JmltdHM9MTc3MjIzNjgwMA&amp;ptn=3&amp;ver=2&amp;hsh=4&amp;fclid=3fb0044a-9cf2-6943-2f05-12329d3268cf&amp;psq=second+harvest&amp;u=a1aHR0cHM6Ly93d3cuc2Vjb25kaGFydmVzdC5jYS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natalie Lowe</cp:lastModifiedBy>
  <cp:revision>15</cp:revision>
  <dcterms:created xsi:type="dcterms:W3CDTF">2026-02-28T21:27:00Z</dcterms:created>
  <dcterms:modified xsi:type="dcterms:W3CDTF">2026-03-17T15:40:00Z</dcterms:modified>
  <cp:category/>
</cp:coreProperties>
</file>