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6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December 10th,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Molly Stong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11/12/25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Pulse Survey Results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13131"/>
          <w:sz w:val="24"/>
          <w:szCs w:val="24"/>
          <w:rtl w:val="0"/>
        </w:rPr>
        <w:t xml:space="preserve">Instructional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Glow Dance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Art Show Prep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Fling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Survey results  </w:t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  January 14, 2025 7:30-8:30PM                   Chair: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9Szq+7X7b+q5VwKsS9H1/7AMw==">CgMxLjA4AHIhMWY3MEdlaWRuVU1wOVdxZVVfeG0xa3RUeVBCVzlFNEt1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2025-11-06T18:26:00Z</dcterms:created>
</cp:coreProperties>
</file>