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9A549" w14:textId="6CE56F4A" w:rsidR="00D95DA4" w:rsidRPr="00D95DA4" w:rsidRDefault="00D95DA4" w:rsidP="00D95DA4">
      <w:pPr>
        <w:jc w:val="center"/>
        <w:rPr>
          <w:sz w:val="28"/>
          <w:szCs w:val="28"/>
        </w:rPr>
      </w:pPr>
      <w:r w:rsidRPr="00D95DA4">
        <w:rPr>
          <w:sz w:val="28"/>
          <w:szCs w:val="28"/>
        </w:rPr>
        <w:t>Tiny Houses Course Supplement</w:t>
      </w:r>
    </w:p>
    <w:p w14:paraId="04950645" w14:textId="77777777" w:rsidR="00D95DA4" w:rsidRPr="00D95DA4" w:rsidRDefault="00D95DA4" w:rsidP="00D95DA4">
      <w:pPr>
        <w:rPr>
          <w:sz w:val="28"/>
          <w:szCs w:val="28"/>
        </w:rPr>
      </w:pPr>
      <w:r w:rsidRPr="00D95DA4">
        <w:rPr>
          <w:sz w:val="28"/>
          <w:szCs w:val="28"/>
        </w:rPr>
        <w:t>On August 11, 2026, North Carolina Senate Bill 445 became Session Law 2026-59, the Regulatory Reform Act of 2026. The General Assembly’s official record now lists it as enacted; the final House conference-report vote was 84–26 on August 4, following a 37–0 Senate vote on July 29.</w:t>
      </w:r>
    </w:p>
    <w:p w14:paraId="308D399E" w14:textId="77777777" w:rsidR="00D95DA4" w:rsidRPr="00D95DA4" w:rsidRDefault="00D95DA4" w:rsidP="00D95DA4">
      <w:pPr>
        <w:rPr>
          <w:sz w:val="28"/>
          <w:szCs w:val="28"/>
        </w:rPr>
      </w:pPr>
      <w:r w:rsidRPr="00D95DA4">
        <w:rPr>
          <w:sz w:val="28"/>
          <w:szCs w:val="28"/>
        </w:rPr>
        <w:t xml:space="preserve">The new law creates a statewide right to build at least one code-compliant ADU with a detached single-family house in residential </w:t>
      </w:r>
      <w:proofErr w:type="gramStart"/>
      <w:r w:rsidRPr="00D95DA4">
        <w:rPr>
          <w:sz w:val="28"/>
          <w:szCs w:val="28"/>
        </w:rPr>
        <w:t>zoning</w:t>
      </w:r>
      <w:proofErr w:type="gramEnd"/>
      <w:r w:rsidRPr="00D95DA4">
        <w:rPr>
          <w:sz w:val="28"/>
          <w:szCs w:val="28"/>
        </w:rPr>
        <w:t xml:space="preserve"> districts that permit detached houses. Local governments cannot require extra parking, cannot require conditional zoning, cannot prohibit the main house and ADU from being rented long-term to separate households, and cannot establish a maximum permitted ADU size below 800 square feet. They also generally must permit an ADU to connect to the primary house's existing utilities when those systems have sufficient capacity.</w:t>
      </w:r>
    </w:p>
    <w:p w14:paraId="4809139F" w14:textId="77777777" w:rsidR="00D95DA4" w:rsidRPr="00D95DA4" w:rsidRDefault="00D95DA4" w:rsidP="00D95DA4">
      <w:pPr>
        <w:rPr>
          <w:sz w:val="28"/>
          <w:szCs w:val="28"/>
        </w:rPr>
      </w:pPr>
      <w:r w:rsidRPr="00D95DA4">
        <w:rPr>
          <w:sz w:val="28"/>
          <w:szCs w:val="28"/>
        </w:rPr>
        <w:t>This is especially important for tiny-house education because a small permanent house used as an ADU now has substantially stronger legal protection statewide. It does not mean that a tiny house on wheels automatically becomes a legal dwelling; building-code classification, foundations, utilities and RV/park-model issues remain separate questions.</w:t>
      </w:r>
    </w:p>
    <w:p w14:paraId="5A4872BA" w14:textId="77777777" w:rsidR="00D95DA4" w:rsidRPr="00D95DA4" w:rsidRDefault="00D95DA4" w:rsidP="00D95DA4">
      <w:pPr>
        <w:rPr>
          <w:sz w:val="28"/>
          <w:szCs w:val="28"/>
        </w:rPr>
      </w:pPr>
      <w:r w:rsidRPr="00D95DA4">
        <w:rPr>
          <w:sz w:val="28"/>
          <w:szCs w:val="28"/>
        </w:rPr>
        <w:t xml:space="preserve">The ADU provision becomes effective October 1, 2026, for permit applications filed on or after that date. Local governments have until July 1, </w:t>
      </w:r>
      <w:proofErr w:type="gramStart"/>
      <w:r w:rsidRPr="00D95DA4">
        <w:rPr>
          <w:sz w:val="28"/>
          <w:szCs w:val="28"/>
        </w:rPr>
        <w:t>2027</w:t>
      </w:r>
      <w:proofErr w:type="gramEnd"/>
      <w:r w:rsidRPr="00D95DA4">
        <w:rPr>
          <w:sz w:val="28"/>
          <w:szCs w:val="28"/>
        </w:rPr>
        <w:t xml:space="preserve"> to bring their development regulations into compliance.</w:t>
      </w:r>
    </w:p>
    <w:p w14:paraId="28662270" w14:textId="77777777" w:rsidR="00D95DA4" w:rsidRPr="00D95DA4" w:rsidRDefault="00D95DA4" w:rsidP="00D95DA4">
      <w:pPr>
        <w:rPr>
          <w:sz w:val="28"/>
          <w:szCs w:val="28"/>
        </w:rPr>
      </w:pPr>
    </w:p>
    <w:p w14:paraId="7270DE07" w14:textId="5C80E203" w:rsidR="008C6879" w:rsidRPr="00D95DA4" w:rsidRDefault="00D95DA4" w:rsidP="00D95DA4">
      <w:pPr>
        <w:rPr>
          <w:sz w:val="28"/>
          <w:szCs w:val="28"/>
        </w:rPr>
      </w:pPr>
      <w:r w:rsidRPr="00D95DA4">
        <w:rPr>
          <w:sz w:val="28"/>
          <w:szCs w:val="28"/>
        </w:rPr>
        <w:t>Official NC General Assembly record for SB 445 / Session Law 2026-59</w:t>
      </w:r>
    </w:p>
    <w:sectPr w:rsidR="008C6879" w:rsidRPr="00D95D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DA4"/>
    <w:rsid w:val="002F1DAF"/>
    <w:rsid w:val="00347805"/>
    <w:rsid w:val="008C6879"/>
    <w:rsid w:val="00A71E5D"/>
    <w:rsid w:val="00AF686F"/>
    <w:rsid w:val="00D95DA4"/>
    <w:rsid w:val="00F9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14B0D"/>
  <w15:chartTrackingRefBased/>
  <w15:docId w15:val="{0E0B012E-6169-4538-8EA6-F75402D7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5D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5D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5D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5D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5D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5D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5D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5D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5D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D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5D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5D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5D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5D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5D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5D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5D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5D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5D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D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D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5D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5D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5D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5D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5D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5D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5D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5D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Long</dc:creator>
  <cp:keywords/>
  <dc:description/>
  <cp:lastModifiedBy>Deborah Long</cp:lastModifiedBy>
  <cp:revision>1</cp:revision>
  <dcterms:created xsi:type="dcterms:W3CDTF">2026-08-18T22:25:00Z</dcterms:created>
  <dcterms:modified xsi:type="dcterms:W3CDTF">2026-08-18T22:26:00Z</dcterms:modified>
</cp:coreProperties>
</file>