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DFE6D" w14:textId="77777777" w:rsidR="004E15C4" w:rsidRPr="004E15C4" w:rsidRDefault="004E15C4" w:rsidP="004E15C4">
      <w:r w:rsidRPr="004E15C4">
        <w:t>The North Carolina Real Estate Commission (NCREC) has proposed a package of rule changes (reorganizing under 21 NCAC 58A) that targets single-broker dual agency and clarifies strict oversight limitations regarding broker-in-charge (BIC) supervision. [</w:t>
      </w:r>
      <w:hyperlink r:id="rId5" w:history="1">
        <w:r w:rsidRPr="004E15C4">
          <w:rPr>
            <w:rStyle w:val="Hyperlink"/>
          </w:rPr>
          <w:t>1</w:t>
        </w:r>
      </w:hyperlink>
      <w:r w:rsidRPr="004E15C4">
        <w:t xml:space="preserve">, </w:t>
      </w:r>
      <w:hyperlink r:id="rId6" w:history="1">
        <w:r w:rsidRPr="004E15C4">
          <w:rPr>
            <w:rStyle w:val="Hyperlink"/>
          </w:rPr>
          <w:t>2</w:t>
        </w:r>
      </w:hyperlink>
      <w:r w:rsidRPr="004E15C4">
        <w:t>]</w:t>
      </w:r>
    </w:p>
    <w:p w14:paraId="44C65345" w14:textId="77777777" w:rsidR="004E15C4" w:rsidRPr="004E15C4" w:rsidRDefault="004E15C4" w:rsidP="004E15C4">
      <w:pPr>
        <w:rPr>
          <w:b/>
          <w:bCs/>
        </w:rPr>
      </w:pPr>
      <w:r w:rsidRPr="004E15C4">
        <w:rPr>
          <w:b/>
          <w:bCs/>
        </w:rPr>
        <w:t>Dual Agency Proposals</w:t>
      </w:r>
    </w:p>
    <w:p w14:paraId="07755656" w14:textId="666FBF0A" w:rsidR="004E15C4" w:rsidRPr="004E15C4" w:rsidRDefault="004E15C4" w:rsidP="004E15C4">
      <w:pPr>
        <w:numPr>
          <w:ilvl w:val="0"/>
          <w:numId w:val="1"/>
        </w:numPr>
      </w:pPr>
      <w:r w:rsidRPr="004E15C4">
        <w:rPr>
          <w:b/>
          <w:bCs/>
        </w:rPr>
        <w:t>End of Single-Broker Dual Agency:</w:t>
      </w:r>
      <w:r w:rsidRPr="004E15C4">
        <w:t xml:space="preserve"> The key proposal states: </w:t>
      </w:r>
      <w:r w:rsidRPr="004E15C4">
        <w:rPr>
          <w:i/>
          <w:iCs/>
        </w:rPr>
        <w:t>“An individual broker shall not represent both the buyer and seller in the same real estate sales transaction.”</w:t>
      </w:r>
      <w:r w:rsidRPr="004E15C4">
        <w:t xml:space="preserve"> This eliminates the practice of one individual agent wearing "both hats" simultaneously.</w:t>
      </w:r>
    </w:p>
    <w:p w14:paraId="3B7DD3AB" w14:textId="452CBD60" w:rsidR="004E15C4" w:rsidRPr="004E15C4" w:rsidRDefault="004E15C4" w:rsidP="004E15C4">
      <w:pPr>
        <w:numPr>
          <w:ilvl w:val="0"/>
          <w:numId w:val="1"/>
        </w:numPr>
      </w:pPr>
      <w:r w:rsidRPr="004E15C4">
        <w:rPr>
          <w:b/>
          <w:bCs/>
        </w:rPr>
        <w:t>Designated Agency Still Allowed:</w:t>
      </w:r>
      <w:r w:rsidRPr="004E15C4">
        <w:t xml:space="preserve"> The proposed rule does not ban a single brokerage firm from representing both sides of a transaction. Instead, it mandates that the firm use </w:t>
      </w:r>
      <w:r w:rsidRPr="004E15C4">
        <w:rPr>
          <w:b/>
          <w:bCs/>
        </w:rPr>
        <w:t>designated agency</w:t>
      </w:r>
      <w:r w:rsidRPr="004E15C4">
        <w:t>—assigning separate, individual brokers within the firm to exclusively represent the buyer and the seller respectively.</w:t>
      </w:r>
    </w:p>
    <w:p w14:paraId="652E2A53" w14:textId="08276A3C" w:rsidR="004E15C4" w:rsidRPr="004E15C4" w:rsidRDefault="004E15C4" w:rsidP="004E15C4">
      <w:pPr>
        <w:numPr>
          <w:ilvl w:val="0"/>
          <w:numId w:val="1"/>
        </w:numPr>
      </w:pPr>
      <w:r w:rsidRPr="004E15C4">
        <w:rPr>
          <w:b/>
          <w:bCs/>
        </w:rPr>
        <w:t>Prior Express Approval &amp; Confidentiality:</w:t>
      </w:r>
      <w:r w:rsidRPr="004E15C4">
        <w:t xml:space="preserve"> Dual representation at the firm level requires explicit prior approval from both clients. Furthermore, a broker cannot be designated to represent a client if they have already received confidential information concerning the opposing party.</w:t>
      </w:r>
    </w:p>
    <w:p w14:paraId="371A9EE0" w14:textId="77777777" w:rsidR="004E15C4" w:rsidRPr="004E15C4" w:rsidRDefault="004E15C4" w:rsidP="004E15C4">
      <w:pPr>
        <w:rPr>
          <w:b/>
          <w:bCs/>
        </w:rPr>
      </w:pPr>
      <w:r w:rsidRPr="004E15C4">
        <w:rPr>
          <w:b/>
          <w:bCs/>
        </w:rPr>
        <w:t>Broker Supervision and BIC Limitations</w:t>
      </w:r>
    </w:p>
    <w:p w14:paraId="134DC05C" w14:textId="39F28F9C" w:rsidR="004E15C4" w:rsidRPr="004E15C4" w:rsidRDefault="004E15C4" w:rsidP="004E15C4">
      <w:pPr>
        <w:numPr>
          <w:ilvl w:val="0"/>
          <w:numId w:val="2"/>
        </w:numPr>
      </w:pPr>
      <w:r w:rsidRPr="004E15C4">
        <w:rPr>
          <w:b/>
          <w:bCs/>
        </w:rPr>
        <w:t>BIC and Provisional Broker Restrictions:</w:t>
      </w:r>
      <w:r w:rsidRPr="004E15C4">
        <w:t xml:space="preserve"> Under proposed changes (such as 21 NCAC 58A .0207), a Broker-In-Charge is strictly prohibited from acting as a designated broker for one party in a transaction if a </w:t>
      </w:r>
      <w:r w:rsidRPr="004E15C4">
        <w:rPr>
          <w:b/>
          <w:bCs/>
        </w:rPr>
        <w:t>provisional broker</w:t>
      </w:r>
      <w:r w:rsidRPr="004E15C4">
        <w:t xml:space="preserve"> under their direct supervision is acting as the designated broker for the competing party.</w:t>
      </w:r>
    </w:p>
    <w:p w14:paraId="28D939C1" w14:textId="5CC61C4A" w:rsidR="004E15C4" w:rsidRPr="004E15C4" w:rsidRDefault="004E15C4" w:rsidP="004E15C4">
      <w:pPr>
        <w:numPr>
          <w:ilvl w:val="0"/>
          <w:numId w:val="2"/>
        </w:numPr>
      </w:pPr>
      <w:r w:rsidRPr="004E15C4">
        <w:rPr>
          <w:b/>
          <w:bCs/>
        </w:rPr>
        <w:t>Supervisory Integrity:</w:t>
      </w:r>
      <w:r w:rsidRPr="004E15C4">
        <w:t xml:space="preserve"> Because a BIC has an un-delegable duty to fully mentor, review files for, and supervise provisional brokers, allowing a BIC to sit on the opposite side of an in-house transaction from their own provisional broker creates an irreconcilable conflict of interest regarding confidential information and oversight.</w:t>
      </w:r>
    </w:p>
    <w:p w14:paraId="551A9F87" w14:textId="297C26D8" w:rsidR="004E15C4" w:rsidRPr="004E15C4" w:rsidRDefault="004E15C4" w:rsidP="004E15C4">
      <w:r w:rsidRPr="004E15C4">
        <w:t xml:space="preserve">The </w:t>
      </w:r>
      <w:r w:rsidRPr="004E15C4">
        <w:rPr>
          <w:b/>
          <w:bCs/>
        </w:rPr>
        <w:t>North Carolina Real Estate Commission (NCREC)</w:t>
      </w:r>
      <w:r w:rsidRPr="004E15C4">
        <w:t xml:space="preserve"> rule package—which repeals 21 NCAC 58A .0104 and introduces Rules 58A .0205, .0206, and .0207—creates asymmetrical impacts across firms and follows a formal state rulemaking calendar.[</w:t>
      </w:r>
    </w:p>
    <w:p w14:paraId="7966D82E" w14:textId="77777777" w:rsidR="004E15C4" w:rsidRPr="004E15C4" w:rsidRDefault="004E15C4" w:rsidP="004E15C4">
      <w:pPr>
        <w:rPr>
          <w:b/>
          <w:bCs/>
        </w:rPr>
      </w:pPr>
      <w:r w:rsidRPr="004E15C4">
        <w:rPr>
          <w:b/>
          <w:bCs/>
        </w:rPr>
        <w:t>Small Independent Brokerages vs. Large Firms</w:t>
      </w:r>
    </w:p>
    <w:p w14:paraId="79804A41" w14:textId="77777777" w:rsidR="004E15C4" w:rsidRPr="004E15C4" w:rsidRDefault="004E15C4" w:rsidP="004E15C4">
      <w:pPr>
        <w:numPr>
          <w:ilvl w:val="0"/>
          <w:numId w:val="5"/>
        </w:numPr>
      </w:pPr>
      <w:r w:rsidRPr="004E15C4">
        <w:rPr>
          <w:b/>
          <w:bCs/>
        </w:rPr>
        <w:t>Solo Practitioners &amp; Micro-Brokerages:</w:t>
      </w:r>
      <w:r w:rsidRPr="004E15C4">
        <w:t xml:space="preserve"> Single-agent brokerages face the greatest structural disruption. Because proposed 21 NCAC 58A .0207(e) bans an individual broker from representing both sides in a sales transaction, a solo broker can </w:t>
      </w:r>
      <w:r w:rsidRPr="004E15C4">
        <w:rPr>
          <w:b/>
          <w:bCs/>
        </w:rPr>
        <w:t>never</w:t>
      </w:r>
      <w:r w:rsidRPr="004E15C4">
        <w:t xml:space="preserve"> </w:t>
      </w:r>
      <w:r w:rsidRPr="004E15C4">
        <w:lastRenderedPageBreak/>
        <w:t>conduct an in-house transaction where both parties have representation. If a buyer contacts a solo listing broker directly, the broker must either:</w:t>
      </w:r>
    </w:p>
    <w:p w14:paraId="49AD8F08" w14:textId="77777777" w:rsidR="004E15C4" w:rsidRPr="004E15C4" w:rsidRDefault="004E15C4" w:rsidP="004E15C4">
      <w:pPr>
        <w:numPr>
          <w:ilvl w:val="1"/>
          <w:numId w:val="5"/>
        </w:numPr>
      </w:pPr>
      <w:r w:rsidRPr="004E15C4">
        <w:t xml:space="preserve">Treat the buyer as strictly an </w:t>
      </w:r>
      <w:r w:rsidRPr="004E15C4">
        <w:rPr>
          <w:b/>
          <w:bCs/>
        </w:rPr>
        <w:t>unrepresented buyer</w:t>
      </w:r>
      <w:r w:rsidRPr="004E15C4">
        <w:t>.</w:t>
      </w:r>
    </w:p>
    <w:p w14:paraId="225503A5" w14:textId="2DD1CDE6" w:rsidR="004E15C4" w:rsidRPr="004E15C4" w:rsidRDefault="004E15C4" w:rsidP="004E15C4">
      <w:pPr>
        <w:numPr>
          <w:ilvl w:val="1"/>
          <w:numId w:val="5"/>
        </w:numPr>
      </w:pPr>
      <w:proofErr w:type="gramStart"/>
      <w:r w:rsidRPr="004E15C4">
        <w:rPr>
          <w:b/>
          <w:bCs/>
        </w:rPr>
        <w:t>Refer out</w:t>
      </w:r>
      <w:proofErr w:type="gramEnd"/>
      <w:r w:rsidRPr="004E15C4">
        <w:t xml:space="preserve"> either the buyer or the seller to another brokerage and forfeit one side of the advisory relationship. </w:t>
      </w:r>
    </w:p>
    <w:p w14:paraId="32798D56" w14:textId="04E81C9C" w:rsidR="004E15C4" w:rsidRPr="004E15C4" w:rsidRDefault="004E15C4" w:rsidP="004E15C4">
      <w:pPr>
        <w:numPr>
          <w:ilvl w:val="0"/>
          <w:numId w:val="5"/>
        </w:numPr>
      </w:pPr>
      <w:r w:rsidRPr="004E15C4">
        <w:rPr>
          <w:b/>
          <w:bCs/>
        </w:rPr>
        <w:t>Small Brokerages with Provisional Brokers (PBs):</w:t>
      </w:r>
      <w:r w:rsidRPr="004E15C4">
        <w:t xml:space="preserve"> In small offices where the Broker-in-Charge (BIC) directly manages only one or two provisional brokers, in-house designated agency is severely limited. A BIC cannot serve as the designated broker opposite their own supervised provisional broker. Consequently, an in-house deal in a small shop is only possible if two fully licensed, non-provisional brokers are available to represent each side. </w:t>
      </w:r>
    </w:p>
    <w:p w14:paraId="5390BCE0" w14:textId="1FF153C4" w:rsidR="004E15C4" w:rsidRPr="004E15C4" w:rsidRDefault="004E15C4" w:rsidP="004E15C4">
      <w:pPr>
        <w:numPr>
          <w:ilvl w:val="0"/>
          <w:numId w:val="5"/>
        </w:numPr>
        <w:rPr>
          <w:b/>
          <w:bCs/>
        </w:rPr>
      </w:pPr>
      <w:r w:rsidRPr="004E15C4">
        <w:rPr>
          <w:b/>
          <w:bCs/>
        </w:rPr>
        <w:t>Mid-to-Large Brokerages:</w:t>
      </w:r>
      <w:r w:rsidRPr="004E15C4">
        <w:t xml:space="preserve"> Large, multi-agent offices and regional franchises are built to absorb this rule smoothly. They have deep rosters of full (non-provisional) brokers to act as designated agents for competing parties while maintaining information firewalls. However, large firms must update their internal systems, listing onboarding processes, and digital compliance workflows to eliminate any single-agent dual agency checkboxes and prevent cross-client data sharing. </w:t>
      </w:r>
      <w:r w:rsidRPr="004E15C4">
        <w:rPr>
          <w:b/>
          <w:bCs/>
        </w:rPr>
        <w:t>NCREC Rulemaking Rollout Timeline</w:t>
      </w:r>
    </w:p>
    <w:p w14:paraId="35C1809F" w14:textId="77777777" w:rsidR="004E15C4" w:rsidRDefault="004E15C4" w:rsidP="004E15C4">
      <w:pPr>
        <w:tabs>
          <w:tab w:val="num" w:pos="720"/>
        </w:tabs>
      </w:pPr>
      <w:r w:rsidRPr="004E15C4">
        <w:t xml:space="preserve">The formal administrative rulemaking timeline for the agency package (21 NCAC 58A .0205, .0206, and .0207) follows North Carolina General Statute 150B: </w:t>
      </w:r>
    </w:p>
    <w:p w14:paraId="634904B3" w14:textId="77777777" w:rsidR="004E15C4" w:rsidRDefault="004E15C4" w:rsidP="004E15C4">
      <w:pPr>
        <w:tabs>
          <w:tab w:val="num" w:pos="720"/>
        </w:tabs>
      </w:pPr>
      <w:r w:rsidRPr="004E15C4">
        <w:rPr>
          <w:b/>
          <w:bCs/>
        </w:rPr>
        <w:t>Initial Notice &amp; Publication (Spring 2026):</w:t>
      </w:r>
      <w:r w:rsidRPr="004E15C4">
        <w:t xml:space="preserve"> The </w:t>
      </w:r>
      <w:hyperlink r:id="rId7" w:tgtFrame="_blank" w:history="1">
        <w:r w:rsidRPr="004E15C4">
          <w:rPr>
            <w:rStyle w:val="Hyperlink"/>
          </w:rPr>
          <w:t>NCREC Rulemaking Package</w:t>
        </w:r>
      </w:hyperlink>
      <w:r w:rsidRPr="004E15C4">
        <w:t xml:space="preserve"> was formally introduced to reorganize agency disclosures and clarify dual agency prohibitions. </w:t>
      </w:r>
    </w:p>
    <w:p w14:paraId="77B353BF" w14:textId="77777777" w:rsidR="004E15C4" w:rsidRDefault="004E15C4" w:rsidP="004E15C4">
      <w:pPr>
        <w:tabs>
          <w:tab w:val="num" w:pos="720"/>
        </w:tabs>
      </w:pPr>
      <w:r w:rsidRPr="004E15C4">
        <w:rPr>
          <w:b/>
          <w:bCs/>
        </w:rPr>
        <w:t>Public Comment Period (Summer 2026):</w:t>
      </w:r>
      <w:r w:rsidRPr="004E15C4">
        <w:t xml:space="preserve"> Stakeholder input opened with a written comment window running into late summer 2026, accompanied by an in-person and virtual public hearing hosted at the Commission office in Raleigh on </w:t>
      </w:r>
      <w:r w:rsidRPr="004E15C4">
        <w:rPr>
          <w:b/>
          <w:bCs/>
        </w:rPr>
        <w:t>August 19, 2026</w:t>
      </w:r>
      <w:r w:rsidRPr="004E15C4">
        <w:t xml:space="preserve">. </w:t>
      </w:r>
    </w:p>
    <w:p w14:paraId="1264547E" w14:textId="77777777" w:rsidR="004E15C4" w:rsidRDefault="004E15C4" w:rsidP="004E15C4">
      <w:pPr>
        <w:tabs>
          <w:tab w:val="num" w:pos="720"/>
        </w:tabs>
      </w:pPr>
      <w:r w:rsidRPr="004E15C4">
        <w:rPr>
          <w:b/>
          <w:bCs/>
        </w:rPr>
        <w:t>Commission Review &amp; Adoption:</w:t>
      </w:r>
      <w:r w:rsidRPr="004E15C4">
        <w:t xml:space="preserve"> Following the </w:t>
      </w:r>
      <w:proofErr w:type="gramStart"/>
      <w:r w:rsidRPr="004E15C4">
        <w:t>close</w:t>
      </w:r>
      <w:proofErr w:type="gramEnd"/>
      <w:r w:rsidRPr="004E15C4">
        <w:t xml:space="preserve"> of the comment period in mid-September 2026, the Commission evaluates public feedback before submitting the text to the state Rules Review Commission (RRC) for administrative review. </w:t>
      </w:r>
    </w:p>
    <w:p w14:paraId="171B44D1" w14:textId="54FE97D8" w:rsidR="004E15C4" w:rsidRPr="004E15C4" w:rsidRDefault="004E15C4" w:rsidP="004E15C4">
      <w:pPr>
        <w:tabs>
          <w:tab w:val="num" w:pos="720"/>
        </w:tabs>
      </w:pPr>
      <w:r w:rsidRPr="004E15C4">
        <w:rPr>
          <w:b/>
          <w:bCs/>
        </w:rPr>
        <w:t>Proposed Target Effective Date:</w:t>
      </w:r>
      <w:r w:rsidRPr="004E15C4">
        <w:t xml:space="preserve"> The official rulemaking text specifies a projected effective date of </w:t>
      </w:r>
      <w:r w:rsidRPr="004E15C4">
        <w:rPr>
          <w:b/>
          <w:bCs/>
        </w:rPr>
        <w:t>October 1, 2026</w:t>
      </w:r>
      <w:r w:rsidRPr="004E15C4">
        <w:t>, pending final regulatory approval</w:t>
      </w:r>
      <w:r>
        <w:t>.</w:t>
      </w:r>
    </w:p>
    <w:p w14:paraId="2ECAB1E1" w14:textId="77777777" w:rsidR="008C6879" w:rsidRDefault="008C6879"/>
    <w:sectPr w:rsidR="008C68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933F40"/>
    <w:multiLevelType w:val="multilevel"/>
    <w:tmpl w:val="86A85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8E25AC"/>
    <w:multiLevelType w:val="multilevel"/>
    <w:tmpl w:val="C956A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206DEA"/>
    <w:multiLevelType w:val="multilevel"/>
    <w:tmpl w:val="F0C8B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A03D2E"/>
    <w:multiLevelType w:val="multilevel"/>
    <w:tmpl w:val="B14C35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3E1239"/>
    <w:multiLevelType w:val="multilevel"/>
    <w:tmpl w:val="9D962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B42A85"/>
    <w:multiLevelType w:val="multilevel"/>
    <w:tmpl w:val="D19A7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6567925">
    <w:abstractNumId w:val="4"/>
  </w:num>
  <w:num w:numId="2" w16cid:durableId="2072078048">
    <w:abstractNumId w:val="1"/>
  </w:num>
  <w:num w:numId="3" w16cid:durableId="1967345376">
    <w:abstractNumId w:val="5"/>
  </w:num>
  <w:num w:numId="4" w16cid:durableId="1110663806">
    <w:abstractNumId w:val="0"/>
  </w:num>
  <w:num w:numId="5" w16cid:durableId="643435762">
    <w:abstractNumId w:val="3"/>
  </w:num>
  <w:num w:numId="6" w16cid:durableId="16979289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5C4"/>
    <w:rsid w:val="001B3D00"/>
    <w:rsid w:val="00347805"/>
    <w:rsid w:val="004E15C4"/>
    <w:rsid w:val="008C6879"/>
    <w:rsid w:val="00A71E5D"/>
    <w:rsid w:val="00AF686F"/>
    <w:rsid w:val="00F975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1C36E"/>
  <w15:chartTrackingRefBased/>
  <w15:docId w15:val="{BA7D3556-4C7C-427A-9E8A-282D76308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15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15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15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15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15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15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15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15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15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5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15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15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15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15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15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15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15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15C4"/>
    <w:rPr>
      <w:rFonts w:eastAsiaTheme="majorEastAsia" w:cstheme="majorBidi"/>
      <w:color w:val="272727" w:themeColor="text1" w:themeTint="D8"/>
    </w:rPr>
  </w:style>
  <w:style w:type="paragraph" w:styleId="Title">
    <w:name w:val="Title"/>
    <w:basedOn w:val="Normal"/>
    <w:next w:val="Normal"/>
    <w:link w:val="TitleChar"/>
    <w:uiPriority w:val="10"/>
    <w:qFormat/>
    <w:rsid w:val="004E15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15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15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15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15C4"/>
    <w:pPr>
      <w:spacing w:before="160"/>
      <w:jc w:val="center"/>
    </w:pPr>
    <w:rPr>
      <w:i/>
      <w:iCs/>
      <w:color w:val="404040" w:themeColor="text1" w:themeTint="BF"/>
    </w:rPr>
  </w:style>
  <w:style w:type="character" w:customStyle="1" w:styleId="QuoteChar">
    <w:name w:val="Quote Char"/>
    <w:basedOn w:val="DefaultParagraphFont"/>
    <w:link w:val="Quote"/>
    <w:uiPriority w:val="29"/>
    <w:rsid w:val="004E15C4"/>
    <w:rPr>
      <w:i/>
      <w:iCs/>
      <w:color w:val="404040" w:themeColor="text1" w:themeTint="BF"/>
    </w:rPr>
  </w:style>
  <w:style w:type="paragraph" w:styleId="ListParagraph">
    <w:name w:val="List Paragraph"/>
    <w:basedOn w:val="Normal"/>
    <w:uiPriority w:val="34"/>
    <w:qFormat/>
    <w:rsid w:val="004E15C4"/>
    <w:pPr>
      <w:ind w:left="720"/>
      <w:contextualSpacing/>
    </w:pPr>
  </w:style>
  <w:style w:type="character" w:styleId="IntenseEmphasis">
    <w:name w:val="Intense Emphasis"/>
    <w:basedOn w:val="DefaultParagraphFont"/>
    <w:uiPriority w:val="21"/>
    <w:qFormat/>
    <w:rsid w:val="004E15C4"/>
    <w:rPr>
      <w:i/>
      <w:iCs/>
      <w:color w:val="0F4761" w:themeColor="accent1" w:themeShade="BF"/>
    </w:rPr>
  </w:style>
  <w:style w:type="paragraph" w:styleId="IntenseQuote">
    <w:name w:val="Intense Quote"/>
    <w:basedOn w:val="Normal"/>
    <w:next w:val="Normal"/>
    <w:link w:val="IntenseQuoteChar"/>
    <w:uiPriority w:val="30"/>
    <w:qFormat/>
    <w:rsid w:val="004E15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15C4"/>
    <w:rPr>
      <w:i/>
      <w:iCs/>
      <w:color w:val="0F4761" w:themeColor="accent1" w:themeShade="BF"/>
    </w:rPr>
  </w:style>
  <w:style w:type="character" w:styleId="IntenseReference">
    <w:name w:val="Intense Reference"/>
    <w:basedOn w:val="DefaultParagraphFont"/>
    <w:uiPriority w:val="32"/>
    <w:qFormat/>
    <w:rsid w:val="004E15C4"/>
    <w:rPr>
      <w:b/>
      <w:bCs/>
      <w:smallCaps/>
      <w:color w:val="0F4761" w:themeColor="accent1" w:themeShade="BF"/>
      <w:spacing w:val="5"/>
    </w:rPr>
  </w:style>
  <w:style w:type="character" w:styleId="Hyperlink">
    <w:name w:val="Hyperlink"/>
    <w:basedOn w:val="DefaultParagraphFont"/>
    <w:uiPriority w:val="99"/>
    <w:unhideWhenUsed/>
    <w:rsid w:val="004E15C4"/>
    <w:rPr>
      <w:color w:val="467886" w:themeColor="hyperlink"/>
      <w:u w:val="single"/>
    </w:rPr>
  </w:style>
  <w:style w:type="character" w:styleId="UnresolvedMention">
    <w:name w:val="Unresolved Mention"/>
    <w:basedOn w:val="DefaultParagraphFont"/>
    <w:uiPriority w:val="99"/>
    <w:semiHidden/>
    <w:unhideWhenUsed/>
    <w:rsid w:val="004E15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crec.gov/Pdfs/Rules/AgencyRulePackag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kylineschool.net/post/ncrec-proposed-dual-agency-rule-change-single-broker" TargetMode="External"/><Relationship Id="rId5" Type="http://schemas.openxmlformats.org/officeDocument/2006/relationships/hyperlink" Target="https://www.ncrec.gov/Pdfs/Rules/AgencyRulePackage.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719</Words>
  <Characters>4103</Characters>
  <Application>Microsoft Office Word</Application>
  <DocSecurity>0</DocSecurity>
  <Lines>34</Lines>
  <Paragraphs>9</Paragraphs>
  <ScaleCrop>false</ScaleCrop>
  <Company/>
  <LinksUpToDate>false</LinksUpToDate>
  <CharactersWithSpaces>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Long</dc:creator>
  <cp:keywords/>
  <dc:description/>
  <cp:lastModifiedBy>Deborah Long</cp:lastModifiedBy>
  <cp:revision>1</cp:revision>
  <dcterms:created xsi:type="dcterms:W3CDTF">2026-09-08T18:24:00Z</dcterms:created>
  <dcterms:modified xsi:type="dcterms:W3CDTF">2026-09-08T18:27:00Z</dcterms:modified>
</cp:coreProperties>
</file>