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D093" w14:textId="30D62307" w:rsidR="003A7C40" w:rsidRPr="003A7C40" w:rsidRDefault="003A7C40" w:rsidP="003A7C40">
      <w:pPr>
        <w:rPr>
          <w:sz w:val="10"/>
          <w:szCs w:val="12"/>
        </w:rPr>
      </w:pPr>
    </w:p>
    <w:p w14:paraId="5A2EEB11" w14:textId="7C80A450" w:rsidR="00DC73D0" w:rsidRDefault="00DC73D0" w:rsidP="00DC73D0">
      <w:pPr>
        <w:pStyle w:val="Title"/>
        <w:spacing w:after="0"/>
      </w:pPr>
      <w:r w:rsidRPr="00DC73D0">
        <w:rPr>
          <w:color w:val="2F5496" w:themeColor="accent1" w:themeShade="BF"/>
          <w:sz w:val="36"/>
          <w:szCs w:val="36"/>
        </w:rPr>
        <w:t>Diane C. Parha</w:t>
      </w:r>
      <w:r>
        <w:rPr>
          <w:color w:val="2F5496" w:themeColor="accent1" w:themeShade="BF"/>
          <w:sz w:val="36"/>
          <w:szCs w:val="36"/>
        </w:rPr>
        <w:t>M</w:t>
      </w:r>
      <w:r w:rsidR="00616262">
        <w:rPr>
          <w:color w:val="2F5496" w:themeColor="accent1" w:themeShade="BF"/>
          <w:sz w:val="36"/>
          <w:szCs w:val="36"/>
        </w:rPr>
        <w:t>-Davis</w:t>
      </w:r>
      <w:r>
        <w:rPr>
          <w:color w:val="2F5496" w:themeColor="accent1" w:themeShade="BF"/>
          <w:sz w:val="36"/>
          <w:szCs w:val="36"/>
        </w:rPr>
        <w:t>, MBA</w:t>
      </w:r>
    </w:p>
    <w:p w14:paraId="50F741AB" w14:textId="2F4CDFF0" w:rsidR="00DC73D0" w:rsidRDefault="00DC73D0" w:rsidP="00E42E2E">
      <w:pPr>
        <w:pStyle w:val="Contact"/>
        <w:spacing w:after="0"/>
        <w:jc w:val="left"/>
      </w:pPr>
      <w:r>
        <w:t>Director, PMO &amp; Business Operations</w:t>
      </w:r>
    </w:p>
    <w:p w14:paraId="1CDCE09B" w14:textId="2E7EC924" w:rsidR="003A7C40" w:rsidRDefault="00DC73D0" w:rsidP="00DC73D0">
      <w:pPr>
        <w:pStyle w:val="Contact"/>
        <w:jc w:val="left"/>
      </w:pPr>
      <w:r>
        <w:t>San Antonio, TX |726-203-4084</w:t>
      </w:r>
      <w:r w:rsidR="003A7C40" w:rsidRPr="000E5F0C">
        <w:t xml:space="preserve"> </w:t>
      </w:r>
      <w:r w:rsidR="003A7C40">
        <w:t>|</w:t>
      </w:r>
      <w:r w:rsidR="003A7C40" w:rsidRPr="000E5F0C">
        <w:t xml:space="preserve"> </w:t>
      </w:r>
      <w:r>
        <w:t>diane@dianeparham.com|LinkedIn</w:t>
      </w:r>
      <w:r w:rsidRPr="00DC73D0">
        <w:t>.com/in/dianeparham</w:t>
      </w:r>
      <w:r>
        <w:t>|</w:t>
      </w:r>
      <w:r w:rsidRPr="000E5F0C">
        <w:t xml:space="preserve"> </w:t>
      </w:r>
      <w:hyperlink r:id="rId11" w:history="1">
        <w:r w:rsidRPr="00207C79">
          <w:rPr>
            <w:rStyle w:val="Hyperlink"/>
          </w:rPr>
          <w:t>www.dianeparham.com</w:t>
        </w:r>
      </w:hyperlink>
    </w:p>
    <w:p w14:paraId="60A15E58" w14:textId="2EE3E1A3" w:rsidR="003A7C40" w:rsidRDefault="00DC73D0" w:rsidP="005F60DF">
      <w:pPr>
        <w:pStyle w:val="Heading1"/>
      </w:pPr>
      <w:r>
        <w:t>Executive Summary</w:t>
      </w:r>
      <w:r w:rsidR="003A7C40">
        <w:t xml:space="preserve"> </w:t>
      </w:r>
    </w:p>
    <w:p w14:paraId="29AD2D1D" w14:textId="06529C64" w:rsidR="003A7C40" w:rsidRDefault="00DC73D0" w:rsidP="00DC73D0">
      <w:pPr>
        <w:tabs>
          <w:tab w:val="center" w:pos="5040"/>
        </w:tabs>
        <w:spacing w:after="0" w:line="240" w:lineRule="auto"/>
        <w:ind w:right="0"/>
        <w:jc w:val="both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>Business Operations and Program Management leader with 20+ years of experience delivering enterprise transformation, PMO governance, IT Service Management, and operational excellence initiatives. Proven ability to lead cross-functional teams, manage multimillion-dollar portfolios, and implement scalable solutions that improve performance, strengthen compliance, and support strategic business objectives. Expertise in governance, risk management, service delivery, executive reporting, and organizational change management.</w:t>
      </w:r>
    </w:p>
    <w:p w14:paraId="171BA436" w14:textId="093897DA" w:rsidR="00DC73D0" w:rsidRDefault="00DC73D0" w:rsidP="00DC73D0">
      <w:pPr>
        <w:pStyle w:val="Heading1"/>
      </w:pPr>
      <w:r>
        <w:t>career highlights</w:t>
      </w:r>
    </w:p>
    <w:p w14:paraId="72072D3D" w14:textId="1DC5070B" w:rsidR="00DC73D0" w:rsidRPr="00DC73D0" w:rsidRDefault="00DC73D0" w:rsidP="00DC73D0">
      <w:pPr>
        <w:pStyle w:val="ListParagraph"/>
        <w:numPr>
          <w:ilvl w:val="0"/>
          <w:numId w:val="5"/>
        </w:numPr>
        <w:tabs>
          <w:tab w:val="center" w:pos="5040"/>
        </w:tabs>
        <w:spacing w:after="0" w:line="240" w:lineRule="auto"/>
        <w:ind w:left="360" w:right="0"/>
        <w:contextualSpacing w:val="0"/>
        <w:jc w:val="both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 xml:space="preserve">Managed portfolios exceeding </w:t>
      </w:r>
      <w:r w:rsidRPr="00DC73D0">
        <w:rPr>
          <w:rFonts w:cs="Calibri (Body)"/>
          <w:b/>
          <w:bCs/>
          <w:szCs w:val="20"/>
        </w:rPr>
        <w:t>$20M+</w:t>
      </w:r>
      <w:r w:rsidRPr="00DC73D0">
        <w:rPr>
          <w:rFonts w:cs="Calibri (Body)"/>
          <w:szCs w:val="20"/>
        </w:rPr>
        <w:t xml:space="preserve"> across enterprise technology, transformation, and operational initiatives. </w:t>
      </w:r>
    </w:p>
    <w:p w14:paraId="185F8010" w14:textId="78EEAFF0" w:rsidR="00DC73D0" w:rsidRPr="00DC73D0" w:rsidRDefault="00DC73D0" w:rsidP="00DC73D0">
      <w:pPr>
        <w:pStyle w:val="ListParagraph"/>
        <w:numPr>
          <w:ilvl w:val="0"/>
          <w:numId w:val="5"/>
        </w:numPr>
        <w:tabs>
          <w:tab w:val="center" w:pos="5040"/>
        </w:tabs>
        <w:spacing w:after="0" w:line="240" w:lineRule="auto"/>
        <w:ind w:left="360" w:right="0"/>
        <w:contextualSpacing w:val="0"/>
        <w:jc w:val="both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 xml:space="preserve">Directed enterprise programs impacting </w:t>
      </w:r>
      <w:r w:rsidRPr="00DC73D0">
        <w:rPr>
          <w:rFonts w:cs="Calibri (Body)"/>
          <w:b/>
          <w:bCs/>
          <w:szCs w:val="20"/>
        </w:rPr>
        <w:t>global operations across North America and Europe</w:t>
      </w:r>
      <w:r w:rsidRPr="00DC73D0">
        <w:rPr>
          <w:rFonts w:cs="Calibri (Body)"/>
          <w:szCs w:val="20"/>
        </w:rPr>
        <w:t xml:space="preserve">. </w:t>
      </w:r>
    </w:p>
    <w:p w14:paraId="22C0A5E1" w14:textId="168012FA" w:rsidR="00DC73D0" w:rsidRPr="00DC73D0" w:rsidRDefault="00DC73D0" w:rsidP="00DC73D0">
      <w:pPr>
        <w:pStyle w:val="ListParagraph"/>
        <w:numPr>
          <w:ilvl w:val="0"/>
          <w:numId w:val="5"/>
        </w:numPr>
        <w:tabs>
          <w:tab w:val="center" w:pos="5040"/>
        </w:tabs>
        <w:spacing w:after="0" w:line="240" w:lineRule="auto"/>
        <w:ind w:left="360" w:right="0"/>
        <w:contextualSpacing w:val="0"/>
        <w:jc w:val="both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 xml:space="preserve">Improved operational efficiency by </w:t>
      </w:r>
      <w:r w:rsidRPr="00DC73D0">
        <w:rPr>
          <w:rFonts w:cs="Calibri (Body)"/>
          <w:b/>
          <w:bCs/>
          <w:szCs w:val="20"/>
        </w:rPr>
        <w:t>25%</w:t>
      </w:r>
      <w:r w:rsidRPr="00DC73D0">
        <w:rPr>
          <w:rFonts w:cs="Calibri (Body)"/>
          <w:szCs w:val="20"/>
        </w:rPr>
        <w:t xml:space="preserve"> through workflow redesign and service delivery optimization. </w:t>
      </w:r>
    </w:p>
    <w:p w14:paraId="53A867D4" w14:textId="3E30B425" w:rsidR="00DC73D0" w:rsidRPr="00DC73D0" w:rsidRDefault="00DC73D0" w:rsidP="00DC73D0">
      <w:pPr>
        <w:pStyle w:val="ListParagraph"/>
        <w:numPr>
          <w:ilvl w:val="0"/>
          <w:numId w:val="5"/>
        </w:numPr>
        <w:tabs>
          <w:tab w:val="center" w:pos="5040"/>
        </w:tabs>
        <w:spacing w:after="0" w:line="240" w:lineRule="auto"/>
        <w:ind w:left="360" w:right="0"/>
        <w:contextualSpacing w:val="0"/>
        <w:jc w:val="both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 xml:space="preserve">Led enterprise migrations, governance initiatives, and business transformation programs supporting thousands of users. </w:t>
      </w:r>
    </w:p>
    <w:p w14:paraId="22AB0CED" w14:textId="63A946A1" w:rsidR="00DC73D0" w:rsidRPr="00DC73D0" w:rsidRDefault="00DC73D0" w:rsidP="00DC73D0">
      <w:pPr>
        <w:pStyle w:val="ListParagraph"/>
        <w:numPr>
          <w:ilvl w:val="0"/>
          <w:numId w:val="5"/>
        </w:numPr>
        <w:tabs>
          <w:tab w:val="center" w:pos="5040"/>
        </w:tabs>
        <w:spacing w:after="0" w:line="240" w:lineRule="auto"/>
        <w:ind w:left="360" w:right="0"/>
        <w:contextualSpacing w:val="0"/>
        <w:jc w:val="both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>Built executive dashboards and governance frameworks that improved portfolio visibility, risk management, and strategic decision-making.</w:t>
      </w:r>
    </w:p>
    <w:p w14:paraId="73A86E86" w14:textId="3BA18F32" w:rsidR="003A7C40" w:rsidRPr="00103499" w:rsidRDefault="00DC73D0" w:rsidP="005F60DF">
      <w:pPr>
        <w:pStyle w:val="Heading1"/>
      </w:pPr>
      <w:r>
        <w:t>Core Competencies</w:t>
      </w:r>
      <w:r w:rsidR="003A7C40" w:rsidRPr="00103499">
        <w:t xml:space="preserve"> </w:t>
      </w:r>
    </w:p>
    <w:p w14:paraId="2FB93648" w14:textId="166317DE" w:rsidR="003A7C40" w:rsidRDefault="00DC73D0" w:rsidP="00DE5A59">
      <w:pPr>
        <w:spacing w:line="240" w:lineRule="auto"/>
        <w:ind w:right="90"/>
        <w:rPr>
          <w:rFonts w:cs="Calibri (Body)"/>
          <w:szCs w:val="20"/>
        </w:rPr>
      </w:pPr>
      <w:r w:rsidRPr="00DC73D0">
        <w:t>PMO Governance • Program &amp; Portfolio Management • Enterprise Transformation • Business Operations • IT Service Management (ITSM) • Service Delivery • Governance &amp; Compliance • Risk Management • Audit Readiness</w:t>
      </w:r>
      <w:r w:rsidR="009913E2">
        <w:t>- ISO</w:t>
      </w:r>
      <w:r w:rsidR="0050562A">
        <w:t>, SOC1 &amp; SOC, SOX</w:t>
      </w:r>
      <w:r w:rsidR="00BF61DE">
        <w:t>, PCI and HIPPA</w:t>
      </w:r>
      <w:r w:rsidRPr="00DC73D0">
        <w:t xml:space="preserve"> • Business Applications • </w:t>
      </w:r>
      <w:r>
        <w:t xml:space="preserve">Business Readiness </w:t>
      </w:r>
      <w:r w:rsidRPr="00DC73D0">
        <w:t>•</w:t>
      </w:r>
      <w:r>
        <w:t xml:space="preserve"> </w:t>
      </w:r>
      <w:r w:rsidR="00C64524">
        <w:t>AI</w:t>
      </w:r>
      <w:r w:rsidR="009F55BA">
        <w:t xml:space="preserve"> essentials, </w:t>
      </w:r>
      <w:r w:rsidR="00041216">
        <w:t xml:space="preserve">Complex </w:t>
      </w:r>
      <w:r w:rsidR="009F55BA">
        <w:t xml:space="preserve">scripting, and </w:t>
      </w:r>
      <w:r w:rsidR="00AD1C7D">
        <w:t>Generative AI Agents</w:t>
      </w:r>
      <w:r w:rsidR="0014406D">
        <w:t xml:space="preserve">, </w:t>
      </w:r>
      <w:r w:rsidRPr="00DC73D0">
        <w:t>SDLC Governance • ServiceNow • Microsoft 365 • Change Management • Executive Reporting • KPI Development • Process</w:t>
      </w:r>
      <w:r w:rsidR="00DE5A59">
        <w:t xml:space="preserve"> </w:t>
      </w:r>
      <w:r w:rsidRPr="00DC73D0">
        <w:t>Improvement • Operational Excellence • Cross-Functional Leadership • Financial Management • Vendor Management</w:t>
      </w:r>
    </w:p>
    <w:p w14:paraId="051CD274" w14:textId="77777777" w:rsidR="00DC73D0" w:rsidRDefault="00DC73D0" w:rsidP="00DC73D0">
      <w:pPr>
        <w:pStyle w:val="Heading1"/>
      </w:pPr>
      <w:r>
        <w:t>professional experience</w:t>
      </w:r>
    </w:p>
    <w:p w14:paraId="044A2D10" w14:textId="77777777" w:rsidR="00DC73D0" w:rsidRPr="00DC73D0" w:rsidRDefault="00DC73D0" w:rsidP="00DC73D0">
      <w:pPr>
        <w:pStyle w:val="Heading3"/>
        <w:spacing w:after="0"/>
        <w:rPr>
          <w:b/>
          <w:bCs/>
        </w:rPr>
      </w:pPr>
      <w:r w:rsidRPr="00DC73D0">
        <w:rPr>
          <w:b/>
          <w:bCs/>
        </w:rPr>
        <w:t>ZAYO</w:t>
      </w:r>
      <w:r w:rsidR="003A7C40" w:rsidRPr="00DC73D0">
        <w:rPr>
          <w:b/>
          <w:bCs/>
        </w:rPr>
        <w:t xml:space="preserve"> </w:t>
      </w:r>
      <w:r w:rsidRPr="00DC73D0">
        <w:rPr>
          <w:b/>
          <w:bCs/>
        </w:rPr>
        <w:t>GROUP| Denver, CO</w:t>
      </w:r>
    </w:p>
    <w:p w14:paraId="3DD280AD" w14:textId="4FB5C92C" w:rsidR="003A7C40" w:rsidRPr="003A7C40" w:rsidRDefault="00DC73D0" w:rsidP="00DC73D0">
      <w:pPr>
        <w:pStyle w:val="Heading3"/>
        <w:ind w:right="-90"/>
      </w:pPr>
      <w:r>
        <w:t>Senior Program Manager / Portfolio Manager / Enterprise Transformation Office</w:t>
      </w:r>
      <w:r w:rsidR="003A7C40" w:rsidRPr="003A7C40">
        <w:tab/>
      </w:r>
      <w:r>
        <w:t>March 2024 – January 2026</w:t>
      </w:r>
    </w:p>
    <w:p w14:paraId="41D7BE4C" w14:textId="77777777" w:rsidR="00DC73D0" w:rsidRPr="00DC73D0" w:rsidRDefault="00DC73D0" w:rsidP="00DC73D0">
      <w:pPr>
        <w:pStyle w:val="Heading3"/>
        <w:numPr>
          <w:ilvl w:val="0"/>
          <w:numId w:val="6"/>
        </w:numPr>
        <w:spacing w:after="0" w:line="240" w:lineRule="auto"/>
        <w:ind w:left="360" w:right="-90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>Led enterprise transformation initiatives supporting governance, operational excellence, and strategic business objectives across multiple technology organizations.</w:t>
      </w:r>
    </w:p>
    <w:p w14:paraId="0CAC48B2" w14:textId="77777777" w:rsidR="00DC73D0" w:rsidRPr="00DC73D0" w:rsidRDefault="00DC73D0" w:rsidP="00DC73D0">
      <w:pPr>
        <w:pStyle w:val="Heading3"/>
        <w:numPr>
          <w:ilvl w:val="0"/>
          <w:numId w:val="6"/>
        </w:numPr>
        <w:spacing w:after="0" w:line="240" w:lineRule="auto"/>
        <w:ind w:left="360" w:right="-90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>Managed multimillion-dollar CAPEX and OPEX portfolios, aligning investments, resources, and program priorities with organizational goals.</w:t>
      </w:r>
    </w:p>
    <w:p w14:paraId="486D9B65" w14:textId="77777777" w:rsidR="00DC73D0" w:rsidRPr="00DC73D0" w:rsidRDefault="00DC73D0" w:rsidP="00DC73D0">
      <w:pPr>
        <w:pStyle w:val="Heading3"/>
        <w:numPr>
          <w:ilvl w:val="0"/>
          <w:numId w:val="6"/>
        </w:numPr>
        <w:spacing w:after="0" w:line="240" w:lineRule="auto"/>
        <w:ind w:left="360" w:right="-90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>Directed enterprise programs including Microsoft 365 migration, Project Exodus (Asana-to-Jira transformation), and global e-Invoicing implementations.</w:t>
      </w:r>
    </w:p>
    <w:p w14:paraId="2FEF5D84" w14:textId="77777777" w:rsidR="00DC73D0" w:rsidRPr="00DC73D0" w:rsidRDefault="00DC73D0" w:rsidP="00DC73D0">
      <w:pPr>
        <w:pStyle w:val="Heading3"/>
        <w:numPr>
          <w:ilvl w:val="0"/>
          <w:numId w:val="6"/>
        </w:numPr>
        <w:spacing w:after="0" w:line="240" w:lineRule="auto"/>
        <w:ind w:left="360" w:right="-90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>Established governance frameworks, executive dashboards, KPI scorecards, and portfolio reporting that improved visibility, accountability, and decision-making.</w:t>
      </w:r>
    </w:p>
    <w:p w14:paraId="0CE3530B" w14:textId="77777777" w:rsidR="00DC73D0" w:rsidRPr="00DC73D0" w:rsidRDefault="00DC73D0" w:rsidP="00DC73D0">
      <w:pPr>
        <w:pStyle w:val="Heading3"/>
        <w:numPr>
          <w:ilvl w:val="0"/>
          <w:numId w:val="6"/>
        </w:numPr>
        <w:spacing w:after="0" w:line="240" w:lineRule="auto"/>
        <w:ind w:left="360" w:right="-90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>Partnered with executive leadership, business stakeholders, and technical teams to mitigate risks, manage dependencies, and ensure successful program delivery.</w:t>
      </w:r>
    </w:p>
    <w:p w14:paraId="35DE994A" w14:textId="79D8DEFF" w:rsidR="00DC73D0" w:rsidRDefault="00DC73D0" w:rsidP="00DC73D0">
      <w:pPr>
        <w:pStyle w:val="Heading3"/>
        <w:numPr>
          <w:ilvl w:val="0"/>
          <w:numId w:val="6"/>
        </w:numPr>
        <w:spacing w:after="0" w:line="240" w:lineRule="auto"/>
        <w:ind w:left="360" w:right="-90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 xml:space="preserve">Drove organizational change management initiatives that accelerated </w:t>
      </w:r>
      <w:r>
        <w:rPr>
          <w:rFonts w:cs="Calibri (Body)"/>
          <w:szCs w:val="20"/>
        </w:rPr>
        <w:t xml:space="preserve">the </w:t>
      </w:r>
      <w:r w:rsidRPr="00DC73D0">
        <w:rPr>
          <w:rFonts w:cs="Calibri (Body)"/>
          <w:szCs w:val="20"/>
        </w:rPr>
        <w:t>adoption of new tools, processes, and operating models.</w:t>
      </w:r>
    </w:p>
    <w:p w14:paraId="48AEED78" w14:textId="77777777" w:rsidR="00DC73D0" w:rsidRDefault="00DC73D0" w:rsidP="00DC73D0">
      <w:pPr>
        <w:pStyle w:val="Heading3"/>
        <w:spacing w:after="0"/>
        <w:ind w:right="-90"/>
        <w:rPr>
          <w:rFonts w:cs="Calibri (Body)"/>
          <w:szCs w:val="20"/>
        </w:rPr>
      </w:pPr>
    </w:p>
    <w:p w14:paraId="30A20E94" w14:textId="37AB7B88" w:rsidR="00DC73D0" w:rsidRPr="00DC73D0" w:rsidRDefault="00DC73D0" w:rsidP="00DC73D0">
      <w:pPr>
        <w:pStyle w:val="Heading3"/>
        <w:spacing w:after="0"/>
        <w:ind w:right="-90"/>
        <w:rPr>
          <w:b/>
          <w:bCs/>
        </w:rPr>
      </w:pPr>
      <w:r w:rsidRPr="00DC73D0">
        <w:rPr>
          <w:b/>
          <w:bCs/>
        </w:rPr>
        <w:t>SOLIS SECURITY &amp; CFC RESPONSE| Austin, TX</w:t>
      </w:r>
    </w:p>
    <w:p w14:paraId="54160ED8" w14:textId="2D4CAF3B" w:rsidR="00DC73D0" w:rsidRPr="003A7C40" w:rsidRDefault="00DC73D0" w:rsidP="00DC73D0">
      <w:pPr>
        <w:pStyle w:val="Heading3"/>
        <w:ind w:right="-90"/>
      </w:pPr>
      <w:r>
        <w:t>Director of Operations / Senior Cyber Engagement Manager</w:t>
      </w:r>
      <w:r w:rsidRPr="003A7C40">
        <w:tab/>
      </w:r>
      <w:r>
        <w:t>January 2022 – May 2023</w:t>
      </w:r>
    </w:p>
    <w:p w14:paraId="569377A7" w14:textId="77777777" w:rsidR="00DC73D0" w:rsidRPr="00DC73D0" w:rsidRDefault="00DC73D0" w:rsidP="00DC73D0">
      <w:pPr>
        <w:pStyle w:val="ListParagraph"/>
        <w:numPr>
          <w:ilvl w:val="0"/>
          <w:numId w:val="1"/>
        </w:numPr>
        <w:spacing w:after="0" w:line="240" w:lineRule="auto"/>
        <w:ind w:left="360" w:right="-90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>Directed service delivery, incident response operations, and customer success functions supporting cybersecurity and managed security services.</w:t>
      </w:r>
    </w:p>
    <w:p w14:paraId="72622552" w14:textId="77777777" w:rsidR="00DC73D0" w:rsidRPr="00DC73D0" w:rsidRDefault="00DC73D0" w:rsidP="00DC73D0">
      <w:pPr>
        <w:pStyle w:val="ListParagraph"/>
        <w:numPr>
          <w:ilvl w:val="0"/>
          <w:numId w:val="1"/>
        </w:numPr>
        <w:spacing w:after="0" w:line="240" w:lineRule="auto"/>
        <w:ind w:left="360" w:right="-90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>Led and developed Project Managers responsible for operational execution, client engagement, and service delivery performance.</w:t>
      </w:r>
    </w:p>
    <w:p w14:paraId="3A3EAAF5" w14:textId="77777777" w:rsidR="00DC73D0" w:rsidRPr="00DC73D0" w:rsidRDefault="00DC73D0" w:rsidP="00DC73D0">
      <w:pPr>
        <w:pStyle w:val="ListParagraph"/>
        <w:numPr>
          <w:ilvl w:val="0"/>
          <w:numId w:val="1"/>
        </w:numPr>
        <w:spacing w:after="0" w:line="240" w:lineRule="auto"/>
        <w:ind w:left="360" w:right="-90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>Increased case management efficiency by 25% through workflow redesign, process optimization, and operational best practices.</w:t>
      </w:r>
    </w:p>
    <w:p w14:paraId="11314FB3" w14:textId="77777777" w:rsidR="00DC73D0" w:rsidRPr="00DC73D0" w:rsidRDefault="00DC73D0" w:rsidP="00DC73D0">
      <w:pPr>
        <w:pStyle w:val="ListParagraph"/>
        <w:numPr>
          <w:ilvl w:val="0"/>
          <w:numId w:val="1"/>
        </w:numPr>
        <w:spacing w:after="0" w:line="240" w:lineRule="auto"/>
        <w:ind w:left="360" w:right="-90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>Established customer success frameworks, onboarding processes, SLAs, and service delivery metrics that improved client satisfaction, retention, and service consistency.</w:t>
      </w:r>
    </w:p>
    <w:p w14:paraId="2BCB3F93" w14:textId="77777777" w:rsidR="00DC73D0" w:rsidRPr="00DC73D0" w:rsidRDefault="00DC73D0" w:rsidP="00DC73D0">
      <w:pPr>
        <w:pStyle w:val="ListParagraph"/>
        <w:numPr>
          <w:ilvl w:val="0"/>
          <w:numId w:val="1"/>
        </w:numPr>
        <w:spacing w:after="0" w:line="240" w:lineRule="auto"/>
        <w:ind w:left="360" w:right="-90"/>
        <w:rPr>
          <w:rFonts w:cs="Calibri (Body)"/>
          <w:szCs w:val="20"/>
        </w:rPr>
      </w:pPr>
      <w:r w:rsidRPr="00DC73D0">
        <w:rPr>
          <w:rFonts w:cs="Calibri (Body)"/>
          <w:szCs w:val="20"/>
        </w:rPr>
        <w:t>Streamlined operational and billing processes, improving financial accountability, scalability, and month-end performance.</w:t>
      </w:r>
    </w:p>
    <w:p w14:paraId="0DDF859D" w14:textId="2F52B110" w:rsidR="00DC73D0" w:rsidRPr="00DC73D0" w:rsidRDefault="00DC73D0" w:rsidP="00DC73D0">
      <w:pPr>
        <w:pStyle w:val="ListParagraph"/>
        <w:numPr>
          <w:ilvl w:val="0"/>
          <w:numId w:val="1"/>
        </w:numPr>
        <w:spacing w:after="0" w:line="240" w:lineRule="auto"/>
        <w:ind w:left="360" w:right="-90"/>
        <w:rPr>
          <w:rFonts w:cs="Calibri (Body)"/>
          <w:szCs w:val="20"/>
        </w:rPr>
      </w:pPr>
      <w:r w:rsidRPr="00DC73D0">
        <w:rPr>
          <w:rFonts w:cs="Calibri (Body)"/>
          <w:szCs w:val="20"/>
        </w:rPr>
        <w:lastRenderedPageBreak/>
        <w:t>Partnered with executive leadership on strategic planning, workforce alignment, and operational initiatives that supported business growth and organizational effectiveness.</w:t>
      </w:r>
    </w:p>
    <w:p w14:paraId="6387B392" w14:textId="77777777" w:rsidR="00DC73D0" w:rsidRDefault="00DC73D0" w:rsidP="00DC73D0">
      <w:pPr>
        <w:pStyle w:val="Heading3"/>
        <w:spacing w:before="240" w:after="0"/>
        <w:ind w:right="-90"/>
        <w:rPr>
          <w:b/>
          <w:bCs/>
        </w:rPr>
      </w:pPr>
    </w:p>
    <w:p w14:paraId="1038C049" w14:textId="1C5427CD" w:rsidR="00DC73D0" w:rsidRPr="00DC73D0" w:rsidRDefault="00DC73D0" w:rsidP="00DC73D0">
      <w:pPr>
        <w:pStyle w:val="Heading3"/>
        <w:spacing w:before="240" w:after="0"/>
        <w:ind w:right="-90"/>
        <w:rPr>
          <w:b/>
          <w:bCs/>
        </w:rPr>
      </w:pPr>
      <w:r w:rsidRPr="00DC73D0">
        <w:rPr>
          <w:b/>
          <w:bCs/>
        </w:rPr>
        <w:t>VERICAST| San Antonio, TX</w:t>
      </w:r>
    </w:p>
    <w:p w14:paraId="6C356B09" w14:textId="7846CE03" w:rsidR="00DC73D0" w:rsidRPr="003A7C40" w:rsidRDefault="00DC73D0" w:rsidP="00DC73D0">
      <w:pPr>
        <w:pStyle w:val="Heading3"/>
        <w:ind w:right="-90"/>
      </w:pPr>
      <w:r>
        <w:t>Senior Manager, Financial Systems/ Manager, IT Service Management</w:t>
      </w:r>
      <w:proofErr w:type="gramStart"/>
      <w:r w:rsidRPr="003A7C40">
        <w:tab/>
      </w:r>
      <w:r w:rsidR="00A33126">
        <w:t xml:space="preserve">  </w:t>
      </w:r>
      <w:r>
        <w:t>November</w:t>
      </w:r>
      <w:proofErr w:type="gramEnd"/>
      <w:r>
        <w:t xml:space="preserve"> 2015 – August 2021</w:t>
      </w:r>
    </w:p>
    <w:p w14:paraId="42B95DCE" w14:textId="77777777" w:rsidR="00DC73D0" w:rsidRPr="00DC73D0" w:rsidRDefault="00DC73D0" w:rsidP="00DC73D0">
      <w:pPr>
        <w:pStyle w:val="Heading1"/>
        <w:numPr>
          <w:ilvl w:val="0"/>
          <w:numId w:val="7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 xml:space="preserve">Led enterprise Financial Systems and IT Service Management functions </w:t>
      </w:r>
      <w:proofErr w:type="gramStart"/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>supporting</w:t>
      </w:r>
      <w:proofErr w:type="gramEnd"/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 xml:space="preserve"> Finance Shared Services, Accounts Receivable, Fixed Assets, Rebates, and Client Rewards operations.</w:t>
      </w:r>
    </w:p>
    <w:p w14:paraId="5C508139" w14:textId="77777777" w:rsidR="00DC73D0" w:rsidRPr="00DC73D0" w:rsidRDefault="00DC73D0" w:rsidP="00DC73D0">
      <w:pPr>
        <w:pStyle w:val="Heading1"/>
        <w:numPr>
          <w:ilvl w:val="0"/>
          <w:numId w:val="7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>Directed cross-functional teams responsible for governance, process improvement, systems enhancements, operational support, and service delivery excellence.</w:t>
      </w:r>
    </w:p>
    <w:p w14:paraId="177A5C4C" w14:textId="77777777" w:rsidR="00DC73D0" w:rsidRPr="00DC73D0" w:rsidRDefault="00DC73D0" w:rsidP="00DC73D0">
      <w:pPr>
        <w:pStyle w:val="Heading1"/>
        <w:numPr>
          <w:ilvl w:val="0"/>
          <w:numId w:val="7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>Implemented ServiceNow and Cherwell solutions that standardized workflows, automated processes, enhanced reporting, and improved operational efficiency.</w:t>
      </w:r>
    </w:p>
    <w:p w14:paraId="4C339B5D" w14:textId="77777777" w:rsidR="00DC73D0" w:rsidRPr="00DC73D0" w:rsidRDefault="00DC73D0" w:rsidP="00DC73D0">
      <w:pPr>
        <w:pStyle w:val="Heading1"/>
        <w:numPr>
          <w:ilvl w:val="0"/>
          <w:numId w:val="7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>Established governance controls, KPI frameworks, executive dashboards, and performance reporting that strengthened decision-making, compliance, and audit readiness.</w:t>
      </w:r>
    </w:p>
    <w:p w14:paraId="72DC0AC2" w14:textId="77777777" w:rsidR="00DC73D0" w:rsidRPr="00DC73D0" w:rsidRDefault="00DC73D0" w:rsidP="00DC73D0">
      <w:pPr>
        <w:pStyle w:val="Heading1"/>
        <w:numPr>
          <w:ilvl w:val="0"/>
          <w:numId w:val="7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>Managed Change Management, Incident Management, Service Request Management, CAB governance, and service delivery processes across enterprise technology organizations.</w:t>
      </w:r>
    </w:p>
    <w:p w14:paraId="7E95BBB8" w14:textId="77777777" w:rsidR="00DC73D0" w:rsidRPr="00DC73D0" w:rsidRDefault="00DC73D0" w:rsidP="00DC73D0">
      <w:pPr>
        <w:pStyle w:val="Heading1"/>
        <w:numPr>
          <w:ilvl w:val="0"/>
          <w:numId w:val="7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>Partnered with Finance and Technology leadership to drive automation, process optimization, risk reduction, and continuous improvement initiatives.</w:t>
      </w:r>
    </w:p>
    <w:p w14:paraId="14BBB9E6" w14:textId="514F7CCD" w:rsidR="00DC73D0" w:rsidRPr="00DC73D0" w:rsidRDefault="00DC73D0" w:rsidP="00DC73D0">
      <w:pPr>
        <w:pStyle w:val="Heading1"/>
        <w:numPr>
          <w:ilvl w:val="0"/>
          <w:numId w:val="7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>Led talent development, succession planning, and knowledge transfer efforts across geographically dispersed teams.</w:t>
      </w:r>
    </w:p>
    <w:p w14:paraId="10DC4122" w14:textId="3DC87E9C" w:rsidR="00DC73D0" w:rsidRPr="00DC73D0" w:rsidRDefault="00DC73D0" w:rsidP="00DC73D0">
      <w:pPr>
        <w:pStyle w:val="Heading3"/>
        <w:spacing w:before="240" w:after="0"/>
        <w:ind w:right="-90"/>
        <w:rPr>
          <w:b/>
          <w:bCs/>
        </w:rPr>
      </w:pPr>
      <w:r>
        <w:rPr>
          <w:b/>
          <w:bCs/>
        </w:rPr>
        <w:t>ASCENSION INFORMATION SERVICES</w:t>
      </w:r>
      <w:r w:rsidRPr="00DC73D0">
        <w:rPr>
          <w:b/>
          <w:bCs/>
        </w:rPr>
        <w:t xml:space="preserve">| </w:t>
      </w:r>
      <w:r>
        <w:rPr>
          <w:b/>
          <w:bCs/>
        </w:rPr>
        <w:t>St. Louis</w:t>
      </w:r>
      <w:r w:rsidRPr="00DC73D0">
        <w:rPr>
          <w:b/>
          <w:bCs/>
        </w:rPr>
        <w:t xml:space="preserve">, </w:t>
      </w:r>
      <w:r>
        <w:rPr>
          <w:b/>
          <w:bCs/>
        </w:rPr>
        <w:t>MO</w:t>
      </w:r>
    </w:p>
    <w:p w14:paraId="6CBB60F5" w14:textId="462D8178" w:rsidR="00DC73D0" w:rsidRPr="003A7C40" w:rsidRDefault="00DC73D0" w:rsidP="00DC73D0">
      <w:pPr>
        <w:pStyle w:val="Heading3"/>
        <w:ind w:right="-90"/>
      </w:pPr>
      <w:r>
        <w:t>Business Manager, IT Service Management</w:t>
      </w:r>
      <w:r w:rsidRPr="003A7C40">
        <w:tab/>
      </w:r>
      <w:r>
        <w:t>April 2007 – April 2015</w:t>
      </w:r>
    </w:p>
    <w:p w14:paraId="2AB108B7" w14:textId="3F765EA6" w:rsidR="00DC73D0" w:rsidRPr="00DC73D0" w:rsidRDefault="00DC73D0" w:rsidP="00DC73D0">
      <w:pPr>
        <w:pStyle w:val="Heading1"/>
        <w:numPr>
          <w:ilvl w:val="0"/>
          <w:numId w:val="7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 xml:space="preserve">Directed enterprise IT Service Management programs supporting Change Management, Release Management, Service Request Management, and operational governance. </w:t>
      </w:r>
    </w:p>
    <w:p w14:paraId="64A82926" w14:textId="6E00AF5A" w:rsidR="00DC73D0" w:rsidRPr="00DC73D0" w:rsidRDefault="00DC73D0" w:rsidP="00DC73D0">
      <w:pPr>
        <w:pStyle w:val="Heading1"/>
        <w:numPr>
          <w:ilvl w:val="0"/>
          <w:numId w:val="7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>Led ServiceNow implementation initiatives</w:t>
      </w:r>
      <w:r>
        <w:rPr>
          <w:rFonts w:asciiTheme="minorHAnsi" w:hAnsiTheme="minorHAnsi" w:cs="Calibri (Body)"/>
          <w:caps w:val="0"/>
          <w:spacing w:val="0"/>
          <w:sz w:val="20"/>
          <w:szCs w:val="20"/>
        </w:rPr>
        <w:t>,</w:t>
      </w: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 xml:space="preserve"> including process design, workflow development, training, and organizational adoption. </w:t>
      </w:r>
    </w:p>
    <w:p w14:paraId="223F7A63" w14:textId="7AC71B10" w:rsidR="00DC73D0" w:rsidRPr="00DC73D0" w:rsidRDefault="00DC73D0" w:rsidP="00DC73D0">
      <w:pPr>
        <w:pStyle w:val="Heading1"/>
        <w:numPr>
          <w:ilvl w:val="0"/>
          <w:numId w:val="7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 xml:space="preserve">Developed KPI frameworks, SLAs, and operational metrics that improved service delivery performance, accountability, and customer experience. </w:t>
      </w:r>
    </w:p>
    <w:p w14:paraId="7846EACC" w14:textId="355C8655" w:rsidR="00DC73D0" w:rsidRPr="00DC73D0" w:rsidRDefault="00DC73D0" w:rsidP="00DC73D0">
      <w:pPr>
        <w:pStyle w:val="Heading1"/>
        <w:numPr>
          <w:ilvl w:val="0"/>
          <w:numId w:val="7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 xml:space="preserve">Established governance standards, process documentation, and operational controls that strengthened compliance and operational consistency. </w:t>
      </w:r>
    </w:p>
    <w:p w14:paraId="7E42604B" w14:textId="4EE11DCC" w:rsidR="00DC73D0" w:rsidRDefault="00DC73D0" w:rsidP="00DC73D0">
      <w:pPr>
        <w:pStyle w:val="Heading1"/>
        <w:numPr>
          <w:ilvl w:val="0"/>
          <w:numId w:val="7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>Served as a strategic advisor to leadership on ITSM strategy, resource planning, process optimization, and continuous improvement initiatives.</w:t>
      </w:r>
    </w:p>
    <w:p w14:paraId="3C6498AA" w14:textId="1C57888C" w:rsidR="00DC73D0" w:rsidRPr="00DC73D0" w:rsidRDefault="00DC73D0" w:rsidP="00DC73D0">
      <w:pPr>
        <w:pStyle w:val="Heading3"/>
        <w:spacing w:before="240" w:after="0"/>
        <w:ind w:right="-90"/>
        <w:rPr>
          <w:b/>
          <w:bCs/>
        </w:rPr>
      </w:pPr>
      <w:r>
        <w:rPr>
          <w:b/>
          <w:bCs/>
        </w:rPr>
        <w:t>COMPUTER SCIENCE CORPORATION(CSC)</w:t>
      </w:r>
      <w:r w:rsidRPr="00DC73D0">
        <w:rPr>
          <w:b/>
          <w:bCs/>
        </w:rPr>
        <w:t>|</w:t>
      </w:r>
      <w:r>
        <w:rPr>
          <w:b/>
          <w:bCs/>
        </w:rPr>
        <w:t>Sterling, VA</w:t>
      </w:r>
    </w:p>
    <w:p w14:paraId="7A4177AA" w14:textId="7D3E274C" w:rsidR="00DC73D0" w:rsidRPr="003A7C40" w:rsidRDefault="00DC73D0" w:rsidP="00DC73D0">
      <w:pPr>
        <w:pStyle w:val="Heading3"/>
        <w:ind w:right="-90"/>
      </w:pPr>
      <w:r>
        <w:t>Business Manager, IT Service Management</w:t>
      </w:r>
      <w:r w:rsidRPr="003A7C40">
        <w:tab/>
      </w:r>
      <w:r>
        <w:t>July 1995 – April 2007</w:t>
      </w:r>
    </w:p>
    <w:p w14:paraId="720D7091" w14:textId="77777777" w:rsidR="00DC73D0" w:rsidRPr="00DC73D0" w:rsidRDefault="00DC73D0" w:rsidP="00DC73D0">
      <w:pPr>
        <w:pStyle w:val="Heading1"/>
        <w:numPr>
          <w:ilvl w:val="0"/>
          <w:numId w:val="8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>Directed enterprise IT Service Delivery and IT Service Management operations, supporting strategic initiatives across multiple business units.</w:t>
      </w:r>
    </w:p>
    <w:p w14:paraId="08A46364" w14:textId="77777777" w:rsidR="00DC73D0" w:rsidRPr="00DC73D0" w:rsidRDefault="00DC73D0" w:rsidP="00DC73D0">
      <w:pPr>
        <w:pStyle w:val="Heading1"/>
        <w:numPr>
          <w:ilvl w:val="0"/>
          <w:numId w:val="8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>Led cross-functional teams responsible for service delivery, project execution, workforce planning, and operational performance.</w:t>
      </w:r>
    </w:p>
    <w:p w14:paraId="2585986B" w14:textId="77777777" w:rsidR="00DC73D0" w:rsidRPr="00DC73D0" w:rsidRDefault="00DC73D0" w:rsidP="00DC73D0">
      <w:pPr>
        <w:pStyle w:val="Heading1"/>
        <w:numPr>
          <w:ilvl w:val="0"/>
          <w:numId w:val="8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>Established governance frameworks, performance metrics, and process improvements that enhanced service quality, operational efficiency, and customer satisfaction.</w:t>
      </w:r>
    </w:p>
    <w:p w14:paraId="38700460" w14:textId="42C05C2C" w:rsidR="00DC73D0" w:rsidRDefault="00DC73D0" w:rsidP="00DC73D0">
      <w:pPr>
        <w:pStyle w:val="Heading1"/>
        <w:numPr>
          <w:ilvl w:val="0"/>
          <w:numId w:val="8"/>
        </w:numPr>
        <w:spacing w:before="0" w:after="0" w:line="240" w:lineRule="auto"/>
        <w:ind w:left="360"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  <w:r w:rsidRPr="00DC73D0">
        <w:rPr>
          <w:rFonts w:asciiTheme="minorHAnsi" w:hAnsiTheme="minorHAnsi" w:cs="Calibri (Body)"/>
          <w:caps w:val="0"/>
          <w:spacing w:val="0"/>
          <w:sz w:val="20"/>
          <w:szCs w:val="20"/>
        </w:rPr>
        <w:t>Managed technology resources, vendor relationships, and organizational initiatives supporting long-term business growth and operational excellence.</w:t>
      </w:r>
    </w:p>
    <w:p w14:paraId="3DE5E19B" w14:textId="4CEAFA00" w:rsidR="00DC73D0" w:rsidRPr="00DC73D0" w:rsidRDefault="00DC73D0" w:rsidP="00DC73D0">
      <w:pPr>
        <w:pStyle w:val="Heading1"/>
        <w:spacing w:after="0"/>
        <w:ind w:right="-90"/>
        <w:rPr>
          <w:rFonts w:asciiTheme="minorHAnsi" w:hAnsiTheme="minorHAnsi" w:cs="Calibri (Body)"/>
          <w:caps w:val="0"/>
          <w:spacing w:val="0"/>
          <w:sz w:val="20"/>
          <w:szCs w:val="20"/>
        </w:rPr>
      </w:pPr>
    </w:p>
    <w:p w14:paraId="5EC29E96" w14:textId="6D85B640" w:rsidR="003A7C40" w:rsidRDefault="00DC73D0" w:rsidP="00DC73D0">
      <w:pPr>
        <w:pStyle w:val="Heading3"/>
      </w:pPr>
      <w:r>
        <w:rPr>
          <w:rFonts w:cs="Calibri (Body)"/>
          <w:caps/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C9C15" wp14:editId="7FA104C8">
                <wp:simplePos x="0" y="0"/>
                <wp:positionH relativeFrom="column">
                  <wp:posOffset>2914650</wp:posOffset>
                </wp:positionH>
                <wp:positionV relativeFrom="paragraph">
                  <wp:posOffset>3810</wp:posOffset>
                </wp:positionV>
                <wp:extent cx="3482340" cy="2506980"/>
                <wp:effectExtent l="0" t="0" r="3810" b="7620"/>
                <wp:wrapNone/>
                <wp:docPr id="20551100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C16AF" w14:textId="6B6DE20C" w:rsidR="00DC73D0" w:rsidRDefault="00DC73D0" w:rsidP="00DC73D0">
                            <w:pPr>
                              <w:ind w:right="-150"/>
                              <w:rPr>
                                <w:rFonts w:asciiTheme="majorHAnsi" w:hAnsiTheme="majorHAnsi"/>
                                <w:caps/>
                                <w:spacing w:val="30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aps/>
                                <w:spacing w:val="30"/>
                                <w:sz w:val="22"/>
                              </w:rPr>
                              <w:t>CERTS and Professional Affiliations</w:t>
                            </w:r>
                          </w:p>
                          <w:p w14:paraId="6E321E3D" w14:textId="77777777" w:rsidR="00DC73D0" w:rsidRPr="00DC73D0" w:rsidRDefault="00DC73D0" w:rsidP="00DC73D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 w:right="-150"/>
                            </w:pPr>
                            <w:r w:rsidRPr="00DC73D0">
                              <w:t xml:space="preserve">SHRM-CP </w:t>
                            </w:r>
                          </w:p>
                          <w:p w14:paraId="13BEF5E9" w14:textId="77777777" w:rsidR="00DC73D0" w:rsidRPr="00DC73D0" w:rsidRDefault="00DC73D0" w:rsidP="00DC73D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 w:right="-150"/>
                            </w:pPr>
                            <w:r w:rsidRPr="00DC73D0">
                              <w:t xml:space="preserve">ITIL Foundation v3 </w:t>
                            </w:r>
                          </w:p>
                          <w:p w14:paraId="37194903" w14:textId="77777777" w:rsidR="00DC73D0" w:rsidRDefault="00DC73D0" w:rsidP="00DC73D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 w:right="-150"/>
                            </w:pPr>
                            <w:r w:rsidRPr="00DC73D0">
                              <w:t>ITIL Practitioner</w:t>
                            </w:r>
                          </w:p>
                          <w:p w14:paraId="6588EEC3" w14:textId="497DA3C8" w:rsidR="00DC73D0" w:rsidRDefault="00DC73D0" w:rsidP="00DC73D0">
                            <w:pPr>
                              <w:spacing w:before="120" w:after="0" w:line="240" w:lineRule="auto"/>
                              <w:ind w:right="-144"/>
                              <w:rPr>
                                <w:b/>
                                <w:bCs/>
                              </w:rPr>
                            </w:pPr>
                            <w:r w:rsidRPr="00DC73D0"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Affliations</w:t>
                            </w:r>
                          </w:p>
                          <w:p w14:paraId="3175444D" w14:textId="77288F4E" w:rsidR="00DC73D0" w:rsidRPr="00DC73D0" w:rsidRDefault="00DC73D0" w:rsidP="00DC73D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spacing w:line="240" w:lineRule="auto"/>
                              <w:ind w:left="540" w:right="-150" w:hanging="540"/>
                            </w:pPr>
                            <w:r w:rsidRPr="00DC73D0">
                              <w:t xml:space="preserve">SHRM Member </w:t>
                            </w:r>
                          </w:p>
                          <w:p w14:paraId="7AC9F916" w14:textId="351C2514" w:rsidR="00DC73D0" w:rsidRPr="00DC73D0" w:rsidRDefault="00DC73D0" w:rsidP="00DC73D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spacing w:line="240" w:lineRule="auto"/>
                              <w:ind w:left="540" w:right="-150" w:hanging="540"/>
                            </w:pPr>
                            <w:r w:rsidRPr="00DC73D0">
                              <w:t xml:space="preserve">IIBA Member </w:t>
                            </w:r>
                          </w:p>
                          <w:p w14:paraId="02A9807F" w14:textId="66381FDA" w:rsidR="00DC73D0" w:rsidRPr="00DC73D0" w:rsidRDefault="00DC73D0" w:rsidP="00DC73D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spacing w:line="240" w:lineRule="auto"/>
                              <w:ind w:left="540" w:right="-150" w:hanging="540"/>
                            </w:pPr>
                            <w:r w:rsidRPr="00DC73D0">
                              <w:t>AMA Member</w:t>
                            </w:r>
                          </w:p>
                          <w:p w14:paraId="54CC2C7C" w14:textId="69E3DC57" w:rsidR="00DC73D0" w:rsidRPr="00DC73D0" w:rsidRDefault="00DC73D0" w:rsidP="00DC73D0">
                            <w:pPr>
                              <w:spacing w:after="0"/>
                              <w:ind w:right="-150"/>
                            </w:pPr>
                            <w:r w:rsidRPr="00DC73D0">
                              <w:rPr>
                                <w:b/>
                                <w:bCs/>
                              </w:rPr>
                              <w:t>Professional Development</w:t>
                            </w:r>
                          </w:p>
                          <w:p w14:paraId="37D363D8" w14:textId="77777777" w:rsidR="00DC73D0" w:rsidRPr="00DC73D0" w:rsidRDefault="00DC73D0" w:rsidP="00DC73D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 w:right="-150"/>
                            </w:pPr>
                            <w:r w:rsidRPr="00DC73D0">
                              <w:t xml:space="preserve">PMP (In Progress) </w:t>
                            </w:r>
                          </w:p>
                          <w:p w14:paraId="43AA244B" w14:textId="77777777" w:rsidR="00DC73D0" w:rsidRPr="00DC73D0" w:rsidRDefault="00DC73D0" w:rsidP="00DC73D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 w:right="-150"/>
                            </w:pPr>
                            <w:r w:rsidRPr="00DC73D0">
                              <w:t xml:space="preserve">Professional Scrum Master I (PSM I) (In Progress) </w:t>
                            </w:r>
                          </w:p>
                          <w:p w14:paraId="713F2E61" w14:textId="77777777" w:rsidR="00DC73D0" w:rsidRPr="00DC73D0" w:rsidRDefault="00DC73D0" w:rsidP="00DC73D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360" w:right="-150"/>
                            </w:pPr>
                            <w:r w:rsidRPr="00DC73D0">
                              <w:t>ICF Professional Coaching Certification (In Progress)</w:t>
                            </w:r>
                          </w:p>
                          <w:p w14:paraId="2FEC1E6B" w14:textId="77777777" w:rsidR="00DC73D0" w:rsidRDefault="00DC73D0" w:rsidP="00DC73D0">
                            <w:pPr>
                              <w:ind w:right="-1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C9C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9.5pt;margin-top:.3pt;width:274.2pt;height:19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" fillcolor="white [3201]" stroked="f" strokeweight=".5pt">
                <v:textbox>
                  <w:txbxContent>
                    <w:p w14:paraId="64BC16AF" w14:textId="6B6DE20C" w:rsidR="00DC73D0" w:rsidRDefault="00DC73D0" w:rsidP="00DC73D0">
                      <w:pPr>
                        <w:ind w:right="-150"/>
                        <w:rPr>
                          <w:rFonts w:asciiTheme="majorHAnsi" w:hAnsiTheme="majorHAnsi"/>
                          <w:caps/>
                          <w:spacing w:val="30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caps/>
                          <w:spacing w:val="30"/>
                          <w:sz w:val="22"/>
                        </w:rPr>
                        <w:t>CERTS and Professional Affiliations</w:t>
                      </w:r>
                    </w:p>
                    <w:p w14:paraId="6E321E3D" w14:textId="77777777" w:rsidR="00DC73D0" w:rsidRPr="00DC73D0" w:rsidRDefault="00DC73D0" w:rsidP="00DC73D0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 w:right="-150"/>
                      </w:pPr>
                      <w:r w:rsidRPr="00DC73D0">
                        <w:t xml:space="preserve">SHRM-CP </w:t>
                      </w:r>
                    </w:p>
                    <w:p w14:paraId="13BEF5E9" w14:textId="77777777" w:rsidR="00DC73D0" w:rsidRPr="00DC73D0" w:rsidRDefault="00DC73D0" w:rsidP="00DC73D0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 w:right="-150"/>
                      </w:pPr>
                      <w:r w:rsidRPr="00DC73D0">
                        <w:t xml:space="preserve">ITIL Foundation v3 </w:t>
                      </w:r>
                    </w:p>
                    <w:p w14:paraId="37194903" w14:textId="77777777" w:rsidR="00DC73D0" w:rsidRDefault="00DC73D0" w:rsidP="00DC73D0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 w:right="-150"/>
                      </w:pPr>
                      <w:r w:rsidRPr="00DC73D0">
                        <w:t>ITIL Practitioner</w:t>
                      </w:r>
                    </w:p>
                    <w:p w14:paraId="6588EEC3" w14:textId="497DA3C8" w:rsidR="00DC73D0" w:rsidRDefault="00DC73D0" w:rsidP="00DC73D0">
                      <w:pPr>
                        <w:spacing w:before="120" w:after="0" w:line="240" w:lineRule="auto"/>
                        <w:ind w:right="-144"/>
                        <w:rPr>
                          <w:b/>
                          <w:bCs/>
                        </w:rPr>
                      </w:pPr>
                      <w:r w:rsidRPr="00DC73D0"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Affliations</w:t>
                      </w:r>
                    </w:p>
                    <w:p w14:paraId="3175444D" w14:textId="77288F4E" w:rsidR="00DC73D0" w:rsidRPr="00DC73D0" w:rsidRDefault="00DC73D0" w:rsidP="00DC73D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left" w:pos="360"/>
                        </w:tabs>
                        <w:spacing w:line="240" w:lineRule="auto"/>
                        <w:ind w:left="540" w:right="-150" w:hanging="540"/>
                      </w:pPr>
                      <w:r w:rsidRPr="00DC73D0">
                        <w:t xml:space="preserve">SHRM Member </w:t>
                      </w:r>
                    </w:p>
                    <w:p w14:paraId="7AC9F916" w14:textId="351C2514" w:rsidR="00DC73D0" w:rsidRPr="00DC73D0" w:rsidRDefault="00DC73D0" w:rsidP="00DC73D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left" w:pos="360"/>
                        </w:tabs>
                        <w:spacing w:line="240" w:lineRule="auto"/>
                        <w:ind w:left="540" w:right="-150" w:hanging="540"/>
                      </w:pPr>
                      <w:r w:rsidRPr="00DC73D0">
                        <w:t xml:space="preserve">IIBA Member </w:t>
                      </w:r>
                    </w:p>
                    <w:p w14:paraId="02A9807F" w14:textId="66381FDA" w:rsidR="00DC73D0" w:rsidRPr="00DC73D0" w:rsidRDefault="00DC73D0" w:rsidP="00DC73D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left" w:pos="360"/>
                        </w:tabs>
                        <w:spacing w:line="240" w:lineRule="auto"/>
                        <w:ind w:left="540" w:right="-150" w:hanging="540"/>
                      </w:pPr>
                      <w:r w:rsidRPr="00DC73D0">
                        <w:t>AMA Member</w:t>
                      </w:r>
                    </w:p>
                    <w:p w14:paraId="54CC2C7C" w14:textId="69E3DC57" w:rsidR="00DC73D0" w:rsidRPr="00DC73D0" w:rsidRDefault="00DC73D0" w:rsidP="00DC73D0">
                      <w:pPr>
                        <w:spacing w:after="0"/>
                        <w:ind w:right="-150"/>
                      </w:pPr>
                      <w:r w:rsidRPr="00DC73D0">
                        <w:rPr>
                          <w:b/>
                          <w:bCs/>
                        </w:rPr>
                        <w:t>Professional Development</w:t>
                      </w:r>
                    </w:p>
                    <w:p w14:paraId="37D363D8" w14:textId="77777777" w:rsidR="00DC73D0" w:rsidRPr="00DC73D0" w:rsidRDefault="00DC73D0" w:rsidP="00DC73D0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 w:right="-150"/>
                      </w:pPr>
                      <w:r w:rsidRPr="00DC73D0">
                        <w:t xml:space="preserve">PMP (In Progress) </w:t>
                      </w:r>
                    </w:p>
                    <w:p w14:paraId="43AA244B" w14:textId="77777777" w:rsidR="00DC73D0" w:rsidRPr="00DC73D0" w:rsidRDefault="00DC73D0" w:rsidP="00DC73D0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 w:right="-150"/>
                      </w:pPr>
                      <w:r w:rsidRPr="00DC73D0">
                        <w:t xml:space="preserve">Professional Scrum Master I (PSM I) (In Progress) </w:t>
                      </w:r>
                    </w:p>
                    <w:p w14:paraId="713F2E61" w14:textId="77777777" w:rsidR="00DC73D0" w:rsidRPr="00DC73D0" w:rsidRDefault="00DC73D0" w:rsidP="00DC73D0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/>
                        <w:ind w:left="360" w:right="-150"/>
                      </w:pPr>
                      <w:r w:rsidRPr="00DC73D0">
                        <w:t>ICF Professional Coaching Certification (In Progress)</w:t>
                      </w:r>
                    </w:p>
                    <w:p w14:paraId="2FEC1E6B" w14:textId="77777777" w:rsidR="00DC73D0" w:rsidRDefault="00DC73D0" w:rsidP="00DC73D0">
                      <w:pPr>
                        <w:ind w:right="-15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caps/>
          <w:spacing w:val="30"/>
          <w:sz w:val="22"/>
        </w:rPr>
        <w:t>education</w:t>
      </w:r>
      <w:r w:rsidR="003A7C40">
        <w:tab/>
      </w:r>
    </w:p>
    <w:p w14:paraId="16A758CC" w14:textId="7FB42889" w:rsidR="00DC73D0" w:rsidRDefault="00DC73D0" w:rsidP="00DC73D0">
      <w:pPr>
        <w:spacing w:after="0"/>
        <w:rPr>
          <w:rFonts w:cs="Calibri (Body)"/>
          <w:szCs w:val="20"/>
        </w:rPr>
      </w:pPr>
      <w:r w:rsidRPr="00DC73D0">
        <w:rPr>
          <w:rFonts w:cs="Calibri (Body)"/>
          <w:b/>
          <w:bCs/>
          <w:szCs w:val="20"/>
        </w:rPr>
        <w:t>Master of Business Administration (MBA)</w:t>
      </w:r>
      <w:r w:rsidRPr="00DC73D0">
        <w:rPr>
          <w:rFonts w:cs="Calibri (Body)"/>
          <w:szCs w:val="20"/>
        </w:rPr>
        <w:br/>
        <w:t>University of Arizona Global Campus</w:t>
      </w:r>
    </w:p>
    <w:p w14:paraId="74044D28" w14:textId="5B00BA46" w:rsidR="00DC73D0" w:rsidRPr="00DC73D0" w:rsidRDefault="00DC73D0" w:rsidP="00DC73D0">
      <w:pPr>
        <w:rPr>
          <w:rFonts w:cs="Calibri (Body)"/>
          <w:szCs w:val="20"/>
        </w:rPr>
      </w:pPr>
      <w:r w:rsidRPr="00DC73D0">
        <w:rPr>
          <w:rFonts w:cs="Calibri (Body)"/>
          <w:szCs w:val="20"/>
        </w:rPr>
        <w:t xml:space="preserve">Golden Key International </w:t>
      </w:r>
      <w:r>
        <w:rPr>
          <w:rFonts w:cs="Calibri (Body)"/>
          <w:szCs w:val="20"/>
        </w:rPr>
        <w:t>Honor</w:t>
      </w:r>
      <w:r w:rsidRPr="00DC73D0">
        <w:rPr>
          <w:rFonts w:cs="Calibri (Body)"/>
          <w:szCs w:val="20"/>
        </w:rPr>
        <w:t xml:space="preserve"> Society</w:t>
      </w:r>
    </w:p>
    <w:p w14:paraId="7039BA6C" w14:textId="77777777" w:rsidR="00DC73D0" w:rsidRDefault="00DC73D0" w:rsidP="00DC73D0">
      <w:pPr>
        <w:spacing w:after="0"/>
        <w:rPr>
          <w:rFonts w:cs="Calibri (Body)"/>
          <w:szCs w:val="20"/>
        </w:rPr>
      </w:pPr>
      <w:r w:rsidRPr="00DC73D0">
        <w:rPr>
          <w:rFonts w:cs="Calibri (Body)"/>
          <w:b/>
          <w:bCs/>
          <w:szCs w:val="20"/>
        </w:rPr>
        <w:t>Master of Arts (M.A.), Organizational Management</w:t>
      </w:r>
      <w:r w:rsidRPr="00DC73D0">
        <w:rPr>
          <w:rFonts w:cs="Calibri (Body)"/>
          <w:szCs w:val="20"/>
        </w:rPr>
        <w:br/>
        <w:t>University of Arizona Global Campus</w:t>
      </w:r>
    </w:p>
    <w:p w14:paraId="2D0650D8" w14:textId="71B1AF3A" w:rsidR="00DC73D0" w:rsidRPr="00DC73D0" w:rsidRDefault="00DC73D0" w:rsidP="00DC73D0">
      <w:pPr>
        <w:rPr>
          <w:rFonts w:cs="Calibri (Body)"/>
          <w:szCs w:val="20"/>
        </w:rPr>
      </w:pPr>
      <w:r w:rsidRPr="00DC73D0">
        <w:rPr>
          <w:rFonts w:cs="Calibri (Body)"/>
          <w:szCs w:val="20"/>
        </w:rPr>
        <w:t xml:space="preserve">Golden Key International </w:t>
      </w:r>
      <w:r>
        <w:rPr>
          <w:rFonts w:cs="Calibri (Body)"/>
          <w:szCs w:val="20"/>
        </w:rPr>
        <w:t>Honor</w:t>
      </w:r>
      <w:r w:rsidRPr="00DC73D0">
        <w:rPr>
          <w:rFonts w:cs="Calibri (Body)"/>
          <w:szCs w:val="20"/>
        </w:rPr>
        <w:t xml:space="preserve"> Society</w:t>
      </w:r>
    </w:p>
    <w:p w14:paraId="665833ED" w14:textId="02672B53" w:rsidR="00DC73D0" w:rsidRPr="00DC73D0" w:rsidRDefault="00DC73D0" w:rsidP="00DC73D0">
      <w:pPr>
        <w:rPr>
          <w:rFonts w:cs="Calibri (Body)"/>
          <w:szCs w:val="20"/>
        </w:rPr>
      </w:pPr>
      <w:r w:rsidRPr="00DC73D0">
        <w:rPr>
          <w:rFonts w:cs="Calibri (Body)"/>
          <w:b/>
          <w:bCs/>
          <w:szCs w:val="20"/>
        </w:rPr>
        <w:t>Bachelor of Arts (B.A.), Organizational Management</w:t>
      </w:r>
      <w:r w:rsidRPr="00DC73D0">
        <w:rPr>
          <w:rFonts w:cs="Calibri (Body)"/>
          <w:szCs w:val="20"/>
        </w:rPr>
        <w:br/>
        <w:t>University of Arizona Global Campus</w:t>
      </w:r>
    </w:p>
    <w:p w14:paraId="60CCF38C" w14:textId="288AE347" w:rsidR="00DC73D0" w:rsidRPr="00DC73D0" w:rsidRDefault="00DC73D0" w:rsidP="00DC73D0">
      <w:pPr>
        <w:rPr>
          <w:rFonts w:cs="Calibri (Body)"/>
          <w:szCs w:val="20"/>
        </w:rPr>
      </w:pPr>
      <w:r w:rsidRPr="00DC73D0">
        <w:rPr>
          <w:rFonts w:cs="Calibri (Body)"/>
          <w:b/>
          <w:bCs/>
          <w:szCs w:val="20"/>
        </w:rPr>
        <w:t>Associate of Science (A.S.), Paralegal Studies</w:t>
      </w:r>
      <w:r w:rsidRPr="00DC73D0">
        <w:rPr>
          <w:rFonts w:cs="Calibri (Body)"/>
          <w:szCs w:val="20"/>
        </w:rPr>
        <w:br/>
        <w:t>Phillips Junior College</w:t>
      </w:r>
    </w:p>
    <w:p w14:paraId="6C8D15E4" w14:textId="02A0D11E" w:rsidR="00B8662E" w:rsidRPr="00A13526" w:rsidRDefault="00DC73D0" w:rsidP="00DC73D0">
      <w:pPr>
        <w:pStyle w:val="Heading1"/>
        <w:rPr>
          <w:rFonts w:cstheme="minorHAnsi"/>
          <w:szCs w:val="20"/>
        </w:rPr>
      </w:pPr>
      <w:r>
        <w:lastRenderedPageBreak/>
        <w:t xml:space="preserve"> </w:t>
      </w:r>
    </w:p>
    <w:sectPr w:rsidR="00B8662E" w:rsidRPr="00A13526" w:rsidSect="00DC73D0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43A7" w14:textId="77777777" w:rsidR="00775E93" w:rsidRDefault="00775E93" w:rsidP="00CE6F6F">
      <w:pPr>
        <w:spacing w:after="0" w:line="240" w:lineRule="auto"/>
      </w:pPr>
      <w:r>
        <w:separator/>
      </w:r>
    </w:p>
  </w:endnote>
  <w:endnote w:type="continuationSeparator" w:id="0">
    <w:p w14:paraId="6B554E1B" w14:textId="77777777" w:rsidR="00775E93" w:rsidRDefault="00775E93" w:rsidP="00CE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0755" w14:textId="77777777" w:rsidR="00775E93" w:rsidRDefault="00775E93" w:rsidP="00CE6F6F">
      <w:pPr>
        <w:spacing w:after="0" w:line="240" w:lineRule="auto"/>
      </w:pPr>
      <w:r>
        <w:separator/>
      </w:r>
    </w:p>
  </w:footnote>
  <w:footnote w:type="continuationSeparator" w:id="0">
    <w:p w14:paraId="3FD86B04" w14:textId="77777777" w:rsidR="00775E93" w:rsidRDefault="00775E93" w:rsidP="00CE6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7DD"/>
    <w:multiLevelType w:val="hybridMultilevel"/>
    <w:tmpl w:val="5A10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C42F4"/>
    <w:multiLevelType w:val="hybridMultilevel"/>
    <w:tmpl w:val="BE10F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17302"/>
    <w:multiLevelType w:val="hybridMultilevel"/>
    <w:tmpl w:val="E304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C37AD"/>
    <w:multiLevelType w:val="hybridMultilevel"/>
    <w:tmpl w:val="E5B0139C"/>
    <w:lvl w:ilvl="0" w:tplc="1A5EFFD2">
      <w:numFmt w:val="bullet"/>
      <w:lvlText w:val=""/>
      <w:lvlJc w:val="left"/>
      <w:pPr>
        <w:ind w:left="720" w:hanging="360"/>
      </w:pPr>
      <w:rPr>
        <w:rFonts w:ascii="Garamond" w:eastAsiaTheme="minorEastAsia" w:hAnsi="Garamond" w:cs="Calibri (Body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805E2"/>
    <w:multiLevelType w:val="hybridMultilevel"/>
    <w:tmpl w:val="D1D8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E09AA"/>
    <w:multiLevelType w:val="multilevel"/>
    <w:tmpl w:val="03D4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75326"/>
    <w:multiLevelType w:val="hybridMultilevel"/>
    <w:tmpl w:val="42EC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46FC8"/>
    <w:multiLevelType w:val="hybridMultilevel"/>
    <w:tmpl w:val="3D60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D7B76"/>
    <w:multiLevelType w:val="multilevel"/>
    <w:tmpl w:val="4F62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4C0F9F"/>
    <w:multiLevelType w:val="hybridMultilevel"/>
    <w:tmpl w:val="FB627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E728E"/>
    <w:multiLevelType w:val="hybridMultilevel"/>
    <w:tmpl w:val="0C40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727866">
    <w:abstractNumId w:val="1"/>
  </w:num>
  <w:num w:numId="2" w16cid:durableId="340543807">
    <w:abstractNumId w:val="4"/>
  </w:num>
  <w:num w:numId="3" w16cid:durableId="1267543727">
    <w:abstractNumId w:val="2"/>
  </w:num>
  <w:num w:numId="4" w16cid:durableId="467238086">
    <w:abstractNumId w:val="3"/>
  </w:num>
  <w:num w:numId="5" w16cid:durableId="1825317963">
    <w:abstractNumId w:val="9"/>
  </w:num>
  <w:num w:numId="6" w16cid:durableId="45497210">
    <w:abstractNumId w:val="0"/>
  </w:num>
  <w:num w:numId="7" w16cid:durableId="1702585479">
    <w:abstractNumId w:val="7"/>
  </w:num>
  <w:num w:numId="8" w16cid:durableId="400643757">
    <w:abstractNumId w:val="10"/>
  </w:num>
  <w:num w:numId="9" w16cid:durableId="1865166089">
    <w:abstractNumId w:val="5"/>
  </w:num>
  <w:num w:numId="10" w16cid:durableId="2077043665">
    <w:abstractNumId w:val="8"/>
  </w:num>
  <w:num w:numId="11" w16cid:durableId="1497258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W1NDIztDAwM7Y0MzdT0lEKTi0uzszPAykwqgUAY6mr/iwAAAA="/>
  </w:docVars>
  <w:rsids>
    <w:rsidRoot w:val="00DC73D0"/>
    <w:rsid w:val="0000077C"/>
    <w:rsid w:val="00000898"/>
    <w:rsid w:val="00041216"/>
    <w:rsid w:val="000C6A40"/>
    <w:rsid w:val="000E1FF7"/>
    <w:rsid w:val="000E5F0C"/>
    <w:rsid w:val="000F688A"/>
    <w:rsid w:val="00102F66"/>
    <w:rsid w:val="00103499"/>
    <w:rsid w:val="0014406D"/>
    <w:rsid w:val="001751B4"/>
    <w:rsid w:val="0018378C"/>
    <w:rsid w:val="00267A26"/>
    <w:rsid w:val="00292A40"/>
    <w:rsid w:val="003A7C40"/>
    <w:rsid w:val="003C2170"/>
    <w:rsid w:val="00422B01"/>
    <w:rsid w:val="00484AA7"/>
    <w:rsid w:val="004C4C0E"/>
    <w:rsid w:val="004C59B8"/>
    <w:rsid w:val="004E4B08"/>
    <w:rsid w:val="004F2D41"/>
    <w:rsid w:val="0050562A"/>
    <w:rsid w:val="00530CE5"/>
    <w:rsid w:val="00570F02"/>
    <w:rsid w:val="00596FCF"/>
    <w:rsid w:val="005A4222"/>
    <w:rsid w:val="005B4219"/>
    <w:rsid w:val="005D34BA"/>
    <w:rsid w:val="005D6666"/>
    <w:rsid w:val="005F60DF"/>
    <w:rsid w:val="005F68BD"/>
    <w:rsid w:val="00601DB4"/>
    <w:rsid w:val="00616262"/>
    <w:rsid w:val="0061718A"/>
    <w:rsid w:val="00675DE5"/>
    <w:rsid w:val="0069504D"/>
    <w:rsid w:val="006A5D9A"/>
    <w:rsid w:val="006B48F5"/>
    <w:rsid w:val="006E3CBF"/>
    <w:rsid w:val="00703713"/>
    <w:rsid w:val="00710C03"/>
    <w:rsid w:val="00724622"/>
    <w:rsid w:val="00753A11"/>
    <w:rsid w:val="0077318A"/>
    <w:rsid w:val="00775E93"/>
    <w:rsid w:val="007823C6"/>
    <w:rsid w:val="00802339"/>
    <w:rsid w:val="00802B08"/>
    <w:rsid w:val="0081066F"/>
    <w:rsid w:val="0082628B"/>
    <w:rsid w:val="00837DC0"/>
    <w:rsid w:val="008517B9"/>
    <w:rsid w:val="008815FF"/>
    <w:rsid w:val="00921415"/>
    <w:rsid w:val="009369F4"/>
    <w:rsid w:val="009649FD"/>
    <w:rsid w:val="00982753"/>
    <w:rsid w:val="009913E2"/>
    <w:rsid w:val="009C6DF4"/>
    <w:rsid w:val="009D24D8"/>
    <w:rsid w:val="009E0E86"/>
    <w:rsid w:val="009F0F86"/>
    <w:rsid w:val="009F55BA"/>
    <w:rsid w:val="00A006E5"/>
    <w:rsid w:val="00A032A2"/>
    <w:rsid w:val="00A13526"/>
    <w:rsid w:val="00A33126"/>
    <w:rsid w:val="00A43D4C"/>
    <w:rsid w:val="00A51153"/>
    <w:rsid w:val="00A872FF"/>
    <w:rsid w:val="00A913E9"/>
    <w:rsid w:val="00AD1C7D"/>
    <w:rsid w:val="00AD7273"/>
    <w:rsid w:val="00B22086"/>
    <w:rsid w:val="00B8662E"/>
    <w:rsid w:val="00B96D8D"/>
    <w:rsid w:val="00BA7812"/>
    <w:rsid w:val="00BF61DE"/>
    <w:rsid w:val="00C506E0"/>
    <w:rsid w:val="00C64524"/>
    <w:rsid w:val="00C8719E"/>
    <w:rsid w:val="00CE6F6F"/>
    <w:rsid w:val="00CF543E"/>
    <w:rsid w:val="00D74BEC"/>
    <w:rsid w:val="00D80E89"/>
    <w:rsid w:val="00DA0E61"/>
    <w:rsid w:val="00DC73D0"/>
    <w:rsid w:val="00DE5A59"/>
    <w:rsid w:val="00DF69E1"/>
    <w:rsid w:val="00E0522A"/>
    <w:rsid w:val="00E10F93"/>
    <w:rsid w:val="00E11CDF"/>
    <w:rsid w:val="00E301DF"/>
    <w:rsid w:val="00E42E2E"/>
    <w:rsid w:val="00E966AA"/>
    <w:rsid w:val="00EE5698"/>
    <w:rsid w:val="00F02BD2"/>
    <w:rsid w:val="00F65859"/>
    <w:rsid w:val="00F8023F"/>
    <w:rsid w:val="00F85EC3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A3C6"/>
  <w15:chartTrackingRefBased/>
  <w15:docId w15:val="{7F40AAB1-B227-4B61-929B-E513C9BE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40"/>
    <w:pPr>
      <w:spacing w:after="80" w:line="288" w:lineRule="auto"/>
      <w:ind w:right="2160"/>
    </w:pPr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A7C40"/>
    <w:pPr>
      <w:spacing w:before="240"/>
      <w:outlineLvl w:val="0"/>
    </w:pPr>
    <w:rPr>
      <w:rFonts w:asciiTheme="majorHAnsi" w:hAnsiTheme="majorHAnsi"/>
      <w:caps/>
      <w:spacing w:val="3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349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C40"/>
    <w:pPr>
      <w:tabs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7C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3A7C40"/>
    <w:pPr>
      <w:shd w:val="clear" w:color="auto" w:fill="FFFFFF" w:themeFill="background1"/>
      <w:tabs>
        <w:tab w:val="center" w:pos="4680"/>
      </w:tabs>
      <w:spacing w:after="120"/>
      <w:ind w:right="0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</w:rPr>
  </w:style>
  <w:style w:type="character" w:customStyle="1" w:styleId="TitleChar">
    <w:name w:val="Title Char"/>
    <w:basedOn w:val="DefaultParagraphFont"/>
    <w:link w:val="Title"/>
    <w:uiPriority w:val="1"/>
    <w:rsid w:val="003A7C40"/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A7C40"/>
    <w:rPr>
      <w:rFonts w:asciiTheme="majorHAnsi" w:eastAsiaTheme="minorEastAsia" w:hAnsiTheme="majorHAnsi"/>
      <w:caps/>
      <w:color w:val="000000" w:themeColor="text1"/>
      <w:spacing w:val="30"/>
      <w:kern w:val="0"/>
      <w:sz w:val="22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10C03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710C03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F60DF"/>
    <w:rPr>
      <w:color w:val="808080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10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semiHidden/>
    <w:qFormat/>
    <w:rsid w:val="00103499"/>
    <w:rPr>
      <w:sz w:val="10"/>
    </w:rPr>
  </w:style>
  <w:style w:type="paragraph" w:customStyle="1" w:styleId="Contact">
    <w:name w:val="Contact"/>
    <w:basedOn w:val="Normal"/>
    <w:qFormat/>
    <w:rsid w:val="003A7C40"/>
    <w:pPr>
      <w:tabs>
        <w:tab w:val="center" w:pos="4680"/>
      </w:tabs>
      <w:ind w:right="0"/>
      <w:jc w:val="center"/>
    </w:pPr>
    <w:rPr>
      <w:color w:val="auto"/>
    </w:rPr>
  </w:style>
  <w:style w:type="character" w:styleId="Hyperlink">
    <w:name w:val="Hyperlink"/>
    <w:basedOn w:val="DefaultParagraphFont"/>
    <w:uiPriority w:val="99"/>
    <w:semiHidden/>
    <w:rsid w:val="00DC73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DC73D0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DC73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aneparham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e\AppData\Roaming\Microsoft\Templates\ATS%20basic%20HR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83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3C7D4B-996E-4EFF-821D-18531563D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46FB5-EEF2-4EB7-81F3-9E92166DF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6F14D-557D-424E-9636-D42330ECA8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basic HR resume</Template>
  <TotalTime>136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&lt;OBJECTIVE&gt; </vt:lpstr>
      <vt:lpstr>&lt;EXPERIENCE&gt; </vt:lpstr>
      <vt:lpstr>    &lt;Chief Human Resources Officer&gt;</vt:lpstr>
      <vt:lpstr>        &lt;Olson Harris Ltd. | Seattle, WA&gt;	&lt;Feb 20XX – Jan 20XX&gt;</vt:lpstr>
      <vt:lpstr>    &lt;Supervisor - Human Resources&gt;</vt:lpstr>
      <vt:lpstr>        &lt;Olson Harris Ltd. | Seattle, WA&gt; 	&lt;Jul 20XX – Jun 20XX&gt;</vt:lpstr>
      <vt:lpstr>&lt;EDUCATION&gt;</vt:lpstr>
      <vt:lpstr>    &lt;Human Resources&gt; </vt:lpstr>
      <vt:lpstr>        &lt;Glennwood University | Redmond, WA&gt;	&lt;Jun 20XX&gt;</vt:lpstr>
      <vt:lpstr>&lt;Communication&gt;</vt:lpstr>
      <vt:lpstr>&lt;LEADERSHIP&gt;</vt:lpstr>
      <vt:lpstr>&lt;REFERENCES&gt;</vt:lpstr>
      <vt:lpstr>    &lt;Briana Hernandez&gt;</vt:lpstr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C. Parham</dc:creator>
  <cp:keywords/>
  <dc:description/>
  <cp:lastModifiedBy>Diane Parham-Davis</cp:lastModifiedBy>
  <cp:revision>13</cp:revision>
  <dcterms:created xsi:type="dcterms:W3CDTF">2026-06-10T19:16:00Z</dcterms:created>
  <dcterms:modified xsi:type="dcterms:W3CDTF">2026-06-12T19:23:00Z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6d03ca60-9b10-48f7-9ce8-eb6f851eb216</vt:lpwstr>
  </property>
</Properties>
</file>