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3339" w:rsidRDefault="00773339" w:rsidP="00916F13">
      <w:pPr>
        <w:pStyle w:val="BodyText"/>
      </w:pPr>
    </w:p>
    <w:p w:rsidR="004123F8" w:rsidRDefault="004123F8" w:rsidP="00916F13">
      <w:pPr>
        <w:pStyle w:val="BodyText"/>
        <w:ind w:left="100"/>
        <w:rPr>
          <w:rFonts w:ascii="Times New Roman" w:hAnsi="Times New Roman" w:cs="Times New Roman"/>
          <w:b/>
          <w:color w:val="222323"/>
          <w:sz w:val="20"/>
          <w:szCs w:val="20"/>
        </w:rPr>
      </w:pPr>
    </w:p>
    <w:p w:rsidR="004123F8" w:rsidRPr="00A22E3F" w:rsidRDefault="004123F8" w:rsidP="004123F8">
      <w:pPr>
        <w:pStyle w:val="BodyText"/>
        <w:ind w:left="100"/>
        <w:jc w:val="center"/>
        <w:rPr>
          <w:rFonts w:ascii="Times New Roman" w:hAnsi="Times New Roman" w:cs="Times New Roman"/>
          <w:b/>
          <w:color w:val="222323"/>
          <w:sz w:val="28"/>
          <w:szCs w:val="28"/>
        </w:rPr>
      </w:pPr>
      <w:r w:rsidRPr="00A22E3F">
        <w:rPr>
          <w:rFonts w:ascii="Times New Roman" w:hAnsi="Times New Roman" w:cs="Times New Roman"/>
          <w:b/>
          <w:color w:val="222323"/>
          <w:sz w:val="28"/>
          <w:szCs w:val="28"/>
        </w:rPr>
        <w:t>Kentucky Mountain Health Alliance, Inc.</w:t>
      </w:r>
    </w:p>
    <w:p w:rsidR="004123F8" w:rsidRPr="00A22E3F" w:rsidRDefault="004123F8" w:rsidP="004123F8">
      <w:pPr>
        <w:pStyle w:val="BodyText"/>
        <w:ind w:left="100"/>
        <w:jc w:val="center"/>
        <w:rPr>
          <w:rFonts w:ascii="Times New Roman" w:hAnsi="Times New Roman" w:cs="Times New Roman"/>
          <w:b/>
          <w:color w:val="222323"/>
          <w:sz w:val="28"/>
          <w:szCs w:val="28"/>
        </w:rPr>
      </w:pPr>
      <w:r w:rsidRPr="00A22E3F">
        <w:rPr>
          <w:rFonts w:ascii="Times New Roman" w:hAnsi="Times New Roman" w:cs="Times New Roman"/>
          <w:b/>
          <w:color w:val="222323"/>
          <w:sz w:val="28"/>
          <w:szCs w:val="28"/>
        </w:rPr>
        <w:t>Sliding Fee Schedule Discount Policy</w:t>
      </w:r>
    </w:p>
    <w:p w:rsidR="004123F8" w:rsidRPr="00A22E3F" w:rsidRDefault="004123F8" w:rsidP="004123F8">
      <w:pPr>
        <w:pStyle w:val="BodyText"/>
        <w:ind w:left="100"/>
        <w:jc w:val="center"/>
        <w:rPr>
          <w:rFonts w:ascii="Times New Roman" w:hAnsi="Times New Roman" w:cs="Times New Roman"/>
          <w:b/>
          <w:color w:val="222323"/>
          <w:sz w:val="28"/>
          <w:szCs w:val="28"/>
        </w:rPr>
      </w:pPr>
    </w:p>
    <w:p w:rsidR="004123F8" w:rsidRPr="00A22E3F" w:rsidRDefault="004123F8" w:rsidP="004123F8">
      <w:pPr>
        <w:pStyle w:val="BodyText"/>
        <w:ind w:left="100"/>
        <w:jc w:val="center"/>
        <w:rPr>
          <w:rFonts w:ascii="Times New Roman" w:hAnsi="Times New Roman" w:cs="Times New Roman"/>
          <w:b/>
          <w:color w:val="222323"/>
          <w:sz w:val="20"/>
          <w:szCs w:val="20"/>
        </w:rPr>
      </w:pPr>
    </w:p>
    <w:p w:rsidR="008E12BA" w:rsidRPr="00A22E3F" w:rsidRDefault="006E0124" w:rsidP="00916F13">
      <w:pPr>
        <w:pStyle w:val="BodyText"/>
        <w:ind w:left="100"/>
        <w:rPr>
          <w:rFonts w:ascii="Times New Roman" w:hAnsi="Times New Roman" w:cs="Times New Roman"/>
          <w:b/>
          <w:sz w:val="20"/>
          <w:szCs w:val="20"/>
        </w:rPr>
      </w:pPr>
      <w:r w:rsidRPr="00A22E3F">
        <w:rPr>
          <w:rFonts w:ascii="Times New Roman" w:hAnsi="Times New Roman" w:cs="Times New Roman"/>
          <w:b/>
          <w:color w:val="222323"/>
          <w:sz w:val="20"/>
          <w:szCs w:val="20"/>
        </w:rPr>
        <w:t>Purpose:</w:t>
      </w:r>
      <w:r w:rsidR="00317412" w:rsidRPr="00A22E3F">
        <w:rPr>
          <w:rFonts w:ascii="Times New Roman" w:hAnsi="Times New Roman" w:cs="Times New Roman"/>
          <w:b/>
          <w:color w:val="222323"/>
          <w:sz w:val="20"/>
          <w:szCs w:val="20"/>
        </w:rPr>
        <w:t xml:space="preserve"> </w:t>
      </w:r>
      <w:r w:rsidR="00317412" w:rsidRPr="00A22E3F">
        <w:rPr>
          <w:rFonts w:ascii="Times New Roman" w:hAnsi="Times New Roman" w:cs="Times New Roman"/>
          <w:b/>
          <w:sz w:val="20"/>
          <w:szCs w:val="20"/>
        </w:rPr>
        <w:t xml:space="preserve">To ensure that the Center provides services to all patients without regard to the patient’s ability to pay. </w:t>
      </w:r>
      <w:r w:rsidR="00760742" w:rsidRPr="00A22E3F">
        <w:rPr>
          <w:rFonts w:ascii="Times New Roman" w:hAnsi="Times New Roman" w:cs="Times New Roman"/>
          <w:b/>
          <w:sz w:val="20"/>
          <w:szCs w:val="20"/>
        </w:rPr>
        <w:t>This sliding fee discount policy applies to all services and all patients.</w:t>
      </w:r>
    </w:p>
    <w:p w:rsidR="008E12BA" w:rsidRPr="00A22E3F" w:rsidRDefault="008E12BA">
      <w:pPr>
        <w:pStyle w:val="BodyText"/>
        <w:rPr>
          <w:rFonts w:ascii="Times New Roman" w:hAnsi="Times New Roman" w:cs="Times New Roman"/>
          <w:b/>
          <w:sz w:val="20"/>
          <w:szCs w:val="20"/>
        </w:rPr>
      </w:pPr>
    </w:p>
    <w:p w:rsidR="008E12BA" w:rsidRPr="00A22E3F" w:rsidRDefault="00773339">
      <w:pPr>
        <w:pStyle w:val="BodyText"/>
        <w:spacing w:before="8"/>
        <w:rPr>
          <w:rFonts w:ascii="Times New Roman" w:hAnsi="Times New Roman" w:cs="Times New Roman"/>
          <w:b/>
          <w:sz w:val="20"/>
          <w:szCs w:val="20"/>
        </w:rPr>
      </w:pPr>
      <w:r w:rsidRPr="00A22E3F">
        <w:rPr>
          <w:rFonts w:ascii="Times New Roman" w:hAnsi="Times New Roman" w:cs="Times New Roman"/>
          <w:b/>
          <w:sz w:val="20"/>
          <w:szCs w:val="20"/>
        </w:rPr>
        <w:t xml:space="preserve">  Policy:</w:t>
      </w:r>
    </w:p>
    <w:p w:rsidR="00F5278B" w:rsidRPr="00A22E3F" w:rsidRDefault="006E0124" w:rsidP="00F5278B">
      <w:pPr>
        <w:pStyle w:val="BodyText"/>
        <w:spacing w:before="1" w:line="278" w:lineRule="auto"/>
        <w:ind w:left="101" w:right="315" w:firstLine="7"/>
        <w:rPr>
          <w:rFonts w:ascii="Times New Roman" w:hAnsi="Times New Roman" w:cs="Times New Roman"/>
          <w:b/>
          <w:color w:val="2B2C2C"/>
          <w:sz w:val="20"/>
          <w:szCs w:val="20"/>
        </w:rPr>
      </w:pPr>
      <w:r w:rsidRPr="00A22E3F">
        <w:rPr>
          <w:rFonts w:ascii="Times New Roman" w:hAnsi="Times New Roman" w:cs="Times New Roman"/>
          <w:b/>
          <w:color w:val="2B2C2C"/>
          <w:sz w:val="20"/>
          <w:szCs w:val="20"/>
        </w:rPr>
        <w:t xml:space="preserve">No patient will be denied </w:t>
      </w:r>
      <w:r w:rsidR="00317412" w:rsidRPr="00A22E3F">
        <w:rPr>
          <w:rFonts w:ascii="Times New Roman" w:hAnsi="Times New Roman" w:cs="Times New Roman"/>
          <w:b/>
          <w:color w:val="2B2C2C"/>
          <w:sz w:val="20"/>
          <w:szCs w:val="20"/>
        </w:rPr>
        <w:t>services</w:t>
      </w:r>
      <w:r w:rsidRPr="00A22E3F">
        <w:rPr>
          <w:rFonts w:ascii="Times New Roman" w:hAnsi="Times New Roman" w:cs="Times New Roman"/>
          <w:b/>
          <w:color w:val="2B2C2C"/>
          <w:sz w:val="20"/>
          <w:szCs w:val="20"/>
        </w:rPr>
        <w:t xml:space="preserve"> because of </w:t>
      </w:r>
      <w:r w:rsidR="00F5278B" w:rsidRPr="00A22E3F">
        <w:rPr>
          <w:rFonts w:ascii="Times New Roman" w:hAnsi="Times New Roman" w:cs="Times New Roman"/>
          <w:b/>
          <w:color w:val="2B2C2C"/>
          <w:sz w:val="20"/>
          <w:szCs w:val="20"/>
        </w:rPr>
        <w:t xml:space="preserve">inability to pay. Patients will be expected to comply with the efforts of the Front Office Staff to ascertain the existence of any third-party insurance coverage a patient may possess, and/or to exhaust all other payment sources, or otherwise appropriately document the patient’s ability to pay for services. </w:t>
      </w:r>
    </w:p>
    <w:p w:rsidR="00F5278B" w:rsidRPr="00A22E3F" w:rsidRDefault="00F5278B" w:rsidP="00F5278B">
      <w:pPr>
        <w:pStyle w:val="BodyText"/>
        <w:spacing w:before="1" w:line="278" w:lineRule="auto"/>
        <w:ind w:left="101" w:right="315" w:firstLine="7"/>
        <w:rPr>
          <w:rFonts w:ascii="Times New Roman" w:hAnsi="Times New Roman" w:cs="Times New Roman"/>
          <w:b/>
          <w:color w:val="2B2C2C"/>
          <w:sz w:val="20"/>
          <w:szCs w:val="20"/>
        </w:rPr>
      </w:pPr>
    </w:p>
    <w:p w:rsidR="00AC23B0" w:rsidRPr="00A22E3F" w:rsidRDefault="00757DC3" w:rsidP="00F5278B">
      <w:pPr>
        <w:pStyle w:val="BodyText"/>
        <w:spacing w:before="1" w:line="278" w:lineRule="auto"/>
        <w:ind w:left="101" w:right="315" w:firstLine="7"/>
        <w:rPr>
          <w:rFonts w:ascii="Times New Roman" w:hAnsi="Times New Roman" w:cs="Times New Roman"/>
          <w:b/>
          <w:color w:val="2C2E2D"/>
          <w:sz w:val="20"/>
          <w:szCs w:val="20"/>
        </w:rPr>
      </w:pPr>
      <w:r w:rsidRPr="00A22E3F">
        <w:rPr>
          <w:rFonts w:ascii="Times New Roman" w:hAnsi="Times New Roman" w:cs="Times New Roman"/>
          <w:b/>
          <w:color w:val="2C2E2D"/>
          <w:sz w:val="20"/>
          <w:szCs w:val="20"/>
        </w:rPr>
        <w:t xml:space="preserve">Patients lacking adequate third-party insurance coverage </w:t>
      </w:r>
      <w:r w:rsidRPr="00A22E3F">
        <w:rPr>
          <w:rFonts w:ascii="Times New Roman" w:hAnsi="Times New Roman" w:cs="Times New Roman"/>
          <w:b/>
          <w:color w:val="2C2E2D"/>
          <w:spacing w:val="-3"/>
          <w:sz w:val="20"/>
          <w:szCs w:val="20"/>
        </w:rPr>
        <w:t xml:space="preserve">will </w:t>
      </w:r>
      <w:r w:rsidRPr="00A22E3F">
        <w:rPr>
          <w:rFonts w:ascii="Times New Roman" w:hAnsi="Times New Roman" w:cs="Times New Roman"/>
          <w:b/>
          <w:color w:val="2C2E2D"/>
          <w:sz w:val="20"/>
          <w:szCs w:val="20"/>
        </w:rPr>
        <w:t xml:space="preserve">be expected to provide appropriate information for the completion of a financial assessment. Based upon the proof of income presented, the patient will be informed of his/her eligibility for the Sliding Fee Program by the Front Office Team Staff, in person or via telephone. Individuals with Limited English Proficiency patients will be notified in accordance with Center’s LEP Policy. </w:t>
      </w:r>
    </w:p>
    <w:p w:rsidR="00991F6B" w:rsidRPr="00A22E3F" w:rsidRDefault="00991F6B" w:rsidP="00F5278B">
      <w:pPr>
        <w:pStyle w:val="BodyText"/>
        <w:spacing w:before="1" w:line="278" w:lineRule="auto"/>
        <w:ind w:left="101" w:right="315" w:firstLine="7"/>
        <w:rPr>
          <w:rFonts w:ascii="Times New Roman" w:hAnsi="Times New Roman" w:cs="Times New Roman"/>
          <w:b/>
          <w:color w:val="2C2E2D"/>
          <w:sz w:val="20"/>
          <w:szCs w:val="20"/>
        </w:rPr>
      </w:pPr>
    </w:p>
    <w:p w:rsidR="00757DC3" w:rsidRPr="00A22E3F" w:rsidRDefault="00AC23B0" w:rsidP="00991F6B">
      <w:pPr>
        <w:pStyle w:val="BodyText"/>
        <w:ind w:left="100"/>
        <w:rPr>
          <w:rFonts w:ascii="Times New Roman" w:hAnsi="Times New Roman" w:cs="Times New Roman"/>
          <w:b/>
          <w:color w:val="2C2E2D"/>
          <w:sz w:val="20"/>
          <w:szCs w:val="20"/>
        </w:rPr>
      </w:pPr>
      <w:r w:rsidRPr="00A22E3F">
        <w:rPr>
          <w:rFonts w:ascii="Times New Roman" w:hAnsi="Times New Roman" w:cs="Times New Roman"/>
          <w:b/>
          <w:color w:val="2C2E2D"/>
          <w:sz w:val="20"/>
          <w:szCs w:val="20"/>
        </w:rPr>
        <w:t>Please NOTE:  If you have third-party insurance and are unable to pay your co-insurance (Medicare and/or commercial insurance that do not restrict discounts</w:t>
      </w:r>
      <w:r w:rsidR="009228B6" w:rsidRPr="00A22E3F">
        <w:rPr>
          <w:rFonts w:ascii="Times New Roman" w:hAnsi="Times New Roman" w:cs="Times New Roman"/>
          <w:b/>
          <w:color w:val="2C2E2D"/>
          <w:sz w:val="20"/>
          <w:szCs w:val="20"/>
        </w:rPr>
        <w:t xml:space="preserve"> due to contractual or legal limitations</w:t>
      </w:r>
      <w:r w:rsidRPr="00A22E3F">
        <w:rPr>
          <w:rFonts w:ascii="Times New Roman" w:hAnsi="Times New Roman" w:cs="Times New Roman"/>
          <w:b/>
          <w:color w:val="2C2E2D"/>
          <w:sz w:val="20"/>
          <w:szCs w:val="20"/>
        </w:rPr>
        <w:t xml:space="preserve">) or deductible on non-covered services you may be eligible for our Sliding Scale Program and/or make a payment arrangement with our billing clerk.   </w:t>
      </w:r>
      <w:r w:rsidR="00757DC3" w:rsidRPr="00A22E3F">
        <w:rPr>
          <w:rFonts w:ascii="Times New Roman" w:hAnsi="Times New Roman" w:cs="Times New Roman"/>
          <w:b/>
          <w:color w:val="2C2E2D"/>
          <w:sz w:val="20"/>
          <w:szCs w:val="20"/>
        </w:rPr>
        <w:t xml:space="preserve">Underinsured patients will be determined by examining the patient’s proof of income in comparison to their deductible/coinsurance.  Proper proof of income is the most current tax return, the most recent paystubs, most recent statement from social services (such as an Award Letter), </w:t>
      </w:r>
      <w:r w:rsidR="00AC0709" w:rsidRPr="00A22E3F">
        <w:rPr>
          <w:rFonts w:ascii="Times New Roman" w:hAnsi="Times New Roman" w:cs="Times New Roman"/>
          <w:b/>
          <w:color w:val="2C2E2D"/>
          <w:sz w:val="20"/>
          <w:szCs w:val="20"/>
        </w:rPr>
        <w:t xml:space="preserve">KMHA self-attestation of income form, </w:t>
      </w:r>
      <w:r w:rsidR="00757DC3" w:rsidRPr="00A22E3F">
        <w:rPr>
          <w:rFonts w:ascii="Times New Roman" w:hAnsi="Times New Roman" w:cs="Times New Roman"/>
          <w:b/>
          <w:color w:val="2C2E2D"/>
          <w:sz w:val="20"/>
          <w:szCs w:val="20"/>
        </w:rPr>
        <w:t xml:space="preserve">or a letter from the caregiver with explicit amounts of money that are given on a monthly basis. </w:t>
      </w:r>
    </w:p>
    <w:p w:rsidR="00757DC3" w:rsidRPr="00A22E3F" w:rsidRDefault="00757DC3" w:rsidP="00757DC3">
      <w:pPr>
        <w:pStyle w:val="BodyText"/>
        <w:spacing w:before="194" w:line="276" w:lineRule="auto"/>
        <w:ind w:left="101" w:right="117" w:hanging="1"/>
        <w:rPr>
          <w:rFonts w:ascii="Times New Roman" w:hAnsi="Times New Roman" w:cs="Times New Roman"/>
          <w:b/>
          <w:color w:val="2C2E2D"/>
          <w:sz w:val="20"/>
          <w:szCs w:val="20"/>
        </w:rPr>
      </w:pPr>
      <w:r w:rsidRPr="00A22E3F">
        <w:rPr>
          <w:rFonts w:ascii="Times New Roman" w:hAnsi="Times New Roman" w:cs="Times New Roman"/>
          <w:b/>
          <w:color w:val="2C2E2D"/>
          <w:sz w:val="20"/>
          <w:szCs w:val="20"/>
        </w:rPr>
        <w:t xml:space="preserve">Discounts are offered to uninsured </w:t>
      </w:r>
      <w:r w:rsidR="009228B6" w:rsidRPr="00A22E3F">
        <w:rPr>
          <w:rFonts w:ascii="Times New Roman" w:hAnsi="Times New Roman" w:cs="Times New Roman"/>
          <w:b/>
          <w:color w:val="2C2E2D"/>
          <w:sz w:val="20"/>
          <w:szCs w:val="20"/>
        </w:rPr>
        <w:t xml:space="preserve">and underinsured </w:t>
      </w:r>
      <w:r w:rsidRPr="00A22E3F">
        <w:rPr>
          <w:rFonts w:ascii="Times New Roman" w:hAnsi="Times New Roman" w:cs="Times New Roman"/>
          <w:b/>
          <w:color w:val="2C2E2D"/>
          <w:sz w:val="20"/>
          <w:szCs w:val="20"/>
        </w:rPr>
        <w:t xml:space="preserve">patients based upon family/household size and annual income.  Household size is determined by mother, father, and dependent children under 18.  Other adults in the household, even though related, are not included.  Income includes: earnings, unemployment compensation, worker’s compensation, social security, supplemental security income, public assistance, veterans’ payments, survivor benefits, pension or retirement income, interest, dividends, rents, royalties, income from estates, trusts, educational assistance, alimony, child support, assistance from outside the household, and other miscellaneous sources. Noncash benefits (such as food stamps and housing subsidies) do not count. </w:t>
      </w:r>
    </w:p>
    <w:p w:rsidR="008E12BA" w:rsidRPr="00A22E3F" w:rsidRDefault="006E0124">
      <w:pPr>
        <w:pStyle w:val="BodyText"/>
        <w:spacing w:before="194" w:line="276" w:lineRule="auto"/>
        <w:ind w:left="101" w:right="117" w:hanging="1"/>
        <w:rPr>
          <w:rFonts w:ascii="Times New Roman" w:hAnsi="Times New Roman" w:cs="Times New Roman"/>
          <w:b/>
          <w:color w:val="2C2E2D"/>
          <w:sz w:val="20"/>
          <w:szCs w:val="20"/>
        </w:rPr>
      </w:pPr>
      <w:r w:rsidRPr="00A22E3F">
        <w:rPr>
          <w:rFonts w:ascii="Times New Roman" w:hAnsi="Times New Roman" w:cs="Times New Roman"/>
          <w:b/>
          <w:color w:val="2C2E2D"/>
          <w:sz w:val="20"/>
          <w:szCs w:val="20"/>
        </w:rPr>
        <w:t xml:space="preserve">Sliding scale discounts will be based </w:t>
      </w:r>
      <w:r w:rsidRPr="00A22E3F">
        <w:rPr>
          <w:rFonts w:ascii="Times New Roman" w:hAnsi="Times New Roman" w:cs="Times New Roman"/>
          <w:b/>
          <w:color w:val="2C2E2D"/>
          <w:spacing w:val="1"/>
          <w:sz w:val="20"/>
          <w:szCs w:val="20"/>
        </w:rPr>
        <w:t xml:space="preserve">on </w:t>
      </w:r>
      <w:r w:rsidRPr="00A22E3F">
        <w:rPr>
          <w:rFonts w:ascii="Times New Roman" w:hAnsi="Times New Roman" w:cs="Times New Roman"/>
          <w:b/>
          <w:color w:val="2C2E2D"/>
          <w:sz w:val="20"/>
          <w:szCs w:val="20"/>
        </w:rPr>
        <w:t>the most recent Federal Poverty Index guidelines</w:t>
      </w:r>
      <w:r w:rsidR="00473D35" w:rsidRPr="00A22E3F">
        <w:rPr>
          <w:rFonts w:ascii="Times New Roman" w:hAnsi="Times New Roman" w:cs="Times New Roman"/>
          <w:b/>
          <w:color w:val="2C2E2D"/>
          <w:sz w:val="20"/>
          <w:szCs w:val="20"/>
        </w:rPr>
        <w:t xml:space="preserve"> as indicated in the scale below</w:t>
      </w:r>
      <w:r w:rsidRPr="00A22E3F">
        <w:rPr>
          <w:rFonts w:ascii="Times New Roman" w:hAnsi="Times New Roman" w:cs="Times New Roman"/>
          <w:b/>
          <w:color w:val="2C2E2D"/>
          <w:sz w:val="20"/>
          <w:szCs w:val="20"/>
        </w:rPr>
        <w:t>.</w:t>
      </w:r>
    </w:p>
    <w:tbl>
      <w:tblPr>
        <w:tblW w:w="11070" w:type="dxa"/>
        <w:tblInd w:w="-275" w:type="dxa"/>
        <w:tblLook w:val="04A0" w:firstRow="1" w:lastRow="0" w:firstColumn="1" w:lastColumn="0" w:noHBand="0" w:noVBand="1"/>
      </w:tblPr>
      <w:tblGrid>
        <w:gridCol w:w="1260"/>
        <w:gridCol w:w="1260"/>
        <w:gridCol w:w="1710"/>
        <w:gridCol w:w="1710"/>
        <w:gridCol w:w="1800"/>
        <w:gridCol w:w="1890"/>
        <w:gridCol w:w="1440"/>
      </w:tblGrid>
      <w:tr w:rsidR="00AC0709" w:rsidRPr="00A22E3F" w:rsidTr="00916F13">
        <w:trPr>
          <w:trHeight w:val="357"/>
        </w:trPr>
        <w:tc>
          <w:tcPr>
            <w:tcW w:w="11070" w:type="dxa"/>
            <w:gridSpan w:val="7"/>
            <w:vMerge w:val="restart"/>
            <w:tcBorders>
              <w:top w:val="single" w:sz="4" w:space="0" w:color="auto"/>
              <w:left w:val="single" w:sz="4" w:space="0" w:color="auto"/>
              <w:bottom w:val="single" w:sz="4" w:space="0" w:color="auto"/>
              <w:right w:val="single" w:sz="4" w:space="0" w:color="auto"/>
            </w:tcBorders>
            <w:shd w:val="clear" w:color="000000" w:fill="DEDAD0"/>
            <w:vAlign w:val="center"/>
            <w:hideMark/>
          </w:tcPr>
          <w:p w:rsidR="00AC0709" w:rsidRPr="00A22E3F" w:rsidRDefault="00AC0709" w:rsidP="00AC0709">
            <w:pPr>
              <w:widowControl/>
              <w:autoSpaceDE/>
              <w:autoSpaceDN/>
              <w:jc w:val="center"/>
              <w:rPr>
                <w:rFonts w:eastAsia="Times New Roman"/>
                <w:b/>
                <w:bCs/>
                <w:color w:val="000000"/>
                <w:sz w:val="16"/>
                <w:szCs w:val="16"/>
              </w:rPr>
            </w:pPr>
            <w:r w:rsidRPr="00A22E3F">
              <w:rPr>
                <w:rFonts w:eastAsia="Times New Roman"/>
                <w:b/>
                <w:bCs/>
                <w:color w:val="000000"/>
                <w:sz w:val="16"/>
                <w:szCs w:val="16"/>
              </w:rPr>
              <w:t>202</w:t>
            </w:r>
            <w:r w:rsidR="00A16AEF" w:rsidRPr="00A22E3F">
              <w:rPr>
                <w:rFonts w:eastAsia="Times New Roman"/>
                <w:b/>
                <w:bCs/>
                <w:color w:val="000000"/>
                <w:sz w:val="16"/>
                <w:szCs w:val="16"/>
              </w:rPr>
              <w:t>5</w:t>
            </w:r>
            <w:r w:rsidRPr="00A22E3F">
              <w:rPr>
                <w:rFonts w:eastAsia="Times New Roman"/>
                <w:b/>
                <w:bCs/>
                <w:color w:val="000000"/>
                <w:sz w:val="16"/>
                <w:szCs w:val="16"/>
              </w:rPr>
              <w:t xml:space="preserve"> SLIDING FEE SCALE</w:t>
            </w:r>
            <w:r w:rsidRPr="00A22E3F">
              <w:rPr>
                <w:rFonts w:eastAsia="Times New Roman"/>
                <w:b/>
                <w:bCs/>
                <w:color w:val="000000"/>
                <w:sz w:val="16"/>
                <w:szCs w:val="16"/>
              </w:rPr>
              <w:br/>
            </w:r>
            <w:r w:rsidRPr="00A22E3F">
              <w:rPr>
                <w:rFonts w:eastAsia="Times New Roman"/>
                <w:b/>
                <w:color w:val="000000"/>
                <w:sz w:val="16"/>
                <w:szCs w:val="16"/>
              </w:rPr>
              <w:t>(Based on Annual Income)</w:t>
            </w:r>
          </w:p>
        </w:tc>
      </w:tr>
      <w:tr w:rsidR="00AC0709" w:rsidRPr="00A22E3F" w:rsidTr="00491D44">
        <w:trPr>
          <w:trHeight w:val="485"/>
        </w:trPr>
        <w:tc>
          <w:tcPr>
            <w:tcW w:w="11070" w:type="dxa"/>
            <w:gridSpan w:val="7"/>
            <w:vMerge/>
            <w:tcBorders>
              <w:top w:val="single" w:sz="4" w:space="0" w:color="auto"/>
              <w:left w:val="single" w:sz="4" w:space="0" w:color="auto"/>
              <w:bottom w:val="single" w:sz="4" w:space="0" w:color="auto"/>
              <w:right w:val="single" w:sz="4" w:space="0" w:color="auto"/>
            </w:tcBorders>
            <w:vAlign w:val="center"/>
            <w:hideMark/>
          </w:tcPr>
          <w:p w:rsidR="00AC0709" w:rsidRPr="00A22E3F" w:rsidRDefault="00AC0709" w:rsidP="00AC0709">
            <w:pPr>
              <w:widowControl/>
              <w:autoSpaceDE/>
              <w:autoSpaceDN/>
              <w:rPr>
                <w:rFonts w:eastAsia="Times New Roman"/>
                <w:b/>
                <w:bCs/>
                <w:color w:val="000000"/>
                <w:sz w:val="16"/>
                <w:szCs w:val="16"/>
              </w:rPr>
            </w:pPr>
          </w:p>
        </w:tc>
      </w:tr>
      <w:tr w:rsidR="00E51074" w:rsidRPr="00A22E3F" w:rsidTr="00916F13">
        <w:trPr>
          <w:trHeight w:val="60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AC0709" w:rsidRPr="00A22E3F" w:rsidRDefault="00AC0709" w:rsidP="00AC0709">
            <w:pPr>
              <w:widowControl/>
              <w:autoSpaceDE/>
              <w:autoSpaceDN/>
              <w:jc w:val="center"/>
              <w:rPr>
                <w:rFonts w:eastAsia="Times New Roman"/>
                <w:b/>
                <w:bCs/>
                <w:color w:val="000000"/>
                <w:sz w:val="16"/>
                <w:szCs w:val="16"/>
              </w:rPr>
            </w:pPr>
            <w:r w:rsidRPr="00A22E3F">
              <w:rPr>
                <w:rFonts w:eastAsia="Times New Roman"/>
                <w:b/>
                <w:bCs/>
                <w:color w:val="000000"/>
                <w:sz w:val="16"/>
                <w:szCs w:val="16"/>
              </w:rPr>
              <w:t>Federal Poverty Guideline</w:t>
            </w:r>
          </w:p>
        </w:tc>
        <w:tc>
          <w:tcPr>
            <w:tcW w:w="1260" w:type="dxa"/>
            <w:tcBorders>
              <w:top w:val="nil"/>
              <w:left w:val="nil"/>
              <w:bottom w:val="single" w:sz="4" w:space="0" w:color="auto"/>
              <w:right w:val="single" w:sz="4" w:space="0" w:color="auto"/>
            </w:tcBorders>
            <w:shd w:val="clear" w:color="auto" w:fill="auto"/>
            <w:vAlign w:val="center"/>
            <w:hideMark/>
          </w:tcPr>
          <w:p w:rsidR="00AC0709" w:rsidRPr="00A22E3F" w:rsidRDefault="00AC0709" w:rsidP="00916F13">
            <w:pPr>
              <w:widowControl/>
              <w:autoSpaceDE/>
              <w:autoSpaceDN/>
              <w:jc w:val="center"/>
              <w:rPr>
                <w:rFonts w:eastAsia="Times New Roman"/>
                <w:b/>
                <w:bCs/>
                <w:color w:val="000000"/>
                <w:sz w:val="16"/>
                <w:szCs w:val="16"/>
              </w:rPr>
            </w:pPr>
            <w:r w:rsidRPr="00A22E3F">
              <w:rPr>
                <w:rFonts w:eastAsia="Times New Roman"/>
                <w:b/>
                <w:bCs/>
                <w:color w:val="000000"/>
                <w:sz w:val="16"/>
                <w:szCs w:val="16"/>
              </w:rPr>
              <w:t>At or Below 100% FPG</w:t>
            </w:r>
          </w:p>
        </w:tc>
        <w:tc>
          <w:tcPr>
            <w:tcW w:w="1710" w:type="dxa"/>
            <w:tcBorders>
              <w:top w:val="nil"/>
              <w:left w:val="nil"/>
              <w:bottom w:val="single" w:sz="4" w:space="0" w:color="auto"/>
              <w:right w:val="single" w:sz="4" w:space="0" w:color="auto"/>
            </w:tcBorders>
            <w:shd w:val="clear" w:color="auto" w:fill="auto"/>
            <w:vAlign w:val="center"/>
            <w:hideMark/>
          </w:tcPr>
          <w:p w:rsidR="00AC0709" w:rsidRPr="00A22E3F" w:rsidRDefault="00AC0709" w:rsidP="00916F13">
            <w:pPr>
              <w:widowControl/>
              <w:autoSpaceDE/>
              <w:autoSpaceDN/>
              <w:jc w:val="center"/>
              <w:rPr>
                <w:rFonts w:eastAsia="Times New Roman"/>
                <w:b/>
                <w:bCs/>
                <w:color w:val="000000"/>
                <w:sz w:val="16"/>
                <w:szCs w:val="16"/>
              </w:rPr>
            </w:pPr>
            <w:r w:rsidRPr="00A22E3F">
              <w:rPr>
                <w:rFonts w:eastAsia="Times New Roman"/>
                <w:b/>
                <w:bCs/>
                <w:color w:val="000000"/>
                <w:sz w:val="16"/>
                <w:szCs w:val="16"/>
              </w:rPr>
              <w:t>101% - 125% FPG</w:t>
            </w:r>
          </w:p>
        </w:tc>
        <w:tc>
          <w:tcPr>
            <w:tcW w:w="1710" w:type="dxa"/>
            <w:tcBorders>
              <w:top w:val="nil"/>
              <w:left w:val="nil"/>
              <w:bottom w:val="single" w:sz="4" w:space="0" w:color="auto"/>
              <w:right w:val="single" w:sz="4" w:space="0" w:color="auto"/>
            </w:tcBorders>
            <w:shd w:val="clear" w:color="auto" w:fill="auto"/>
            <w:vAlign w:val="center"/>
            <w:hideMark/>
          </w:tcPr>
          <w:p w:rsidR="00AC0709" w:rsidRPr="00A22E3F" w:rsidRDefault="00AC0709" w:rsidP="00916F13">
            <w:pPr>
              <w:widowControl/>
              <w:autoSpaceDE/>
              <w:autoSpaceDN/>
              <w:jc w:val="center"/>
              <w:rPr>
                <w:rFonts w:eastAsia="Times New Roman"/>
                <w:b/>
                <w:bCs/>
                <w:color w:val="000000"/>
                <w:sz w:val="16"/>
                <w:szCs w:val="16"/>
              </w:rPr>
            </w:pPr>
            <w:r w:rsidRPr="00A22E3F">
              <w:rPr>
                <w:rFonts w:eastAsia="Times New Roman"/>
                <w:b/>
                <w:bCs/>
                <w:color w:val="000000"/>
                <w:sz w:val="16"/>
                <w:szCs w:val="16"/>
              </w:rPr>
              <w:t>126% - 150% FPG</w:t>
            </w:r>
          </w:p>
        </w:tc>
        <w:tc>
          <w:tcPr>
            <w:tcW w:w="1800" w:type="dxa"/>
            <w:tcBorders>
              <w:top w:val="nil"/>
              <w:left w:val="nil"/>
              <w:bottom w:val="single" w:sz="4" w:space="0" w:color="auto"/>
              <w:right w:val="single" w:sz="4" w:space="0" w:color="auto"/>
            </w:tcBorders>
            <w:shd w:val="clear" w:color="auto" w:fill="auto"/>
            <w:vAlign w:val="center"/>
            <w:hideMark/>
          </w:tcPr>
          <w:p w:rsidR="00AC0709" w:rsidRPr="00A22E3F" w:rsidRDefault="00AC0709" w:rsidP="00916F13">
            <w:pPr>
              <w:widowControl/>
              <w:autoSpaceDE/>
              <w:autoSpaceDN/>
              <w:jc w:val="center"/>
              <w:rPr>
                <w:rFonts w:eastAsia="Times New Roman"/>
                <w:b/>
                <w:bCs/>
                <w:color w:val="000000"/>
                <w:sz w:val="16"/>
                <w:szCs w:val="16"/>
              </w:rPr>
            </w:pPr>
            <w:r w:rsidRPr="00A22E3F">
              <w:rPr>
                <w:rFonts w:eastAsia="Times New Roman"/>
                <w:b/>
                <w:bCs/>
                <w:color w:val="000000"/>
                <w:sz w:val="16"/>
                <w:szCs w:val="16"/>
              </w:rPr>
              <w:t>151% - 175% FPG</w:t>
            </w:r>
          </w:p>
        </w:tc>
        <w:tc>
          <w:tcPr>
            <w:tcW w:w="1890" w:type="dxa"/>
            <w:tcBorders>
              <w:top w:val="nil"/>
              <w:left w:val="nil"/>
              <w:bottom w:val="single" w:sz="4" w:space="0" w:color="auto"/>
              <w:right w:val="single" w:sz="4" w:space="0" w:color="auto"/>
            </w:tcBorders>
            <w:shd w:val="clear" w:color="auto" w:fill="auto"/>
            <w:vAlign w:val="center"/>
            <w:hideMark/>
          </w:tcPr>
          <w:p w:rsidR="00AC0709" w:rsidRPr="00A22E3F" w:rsidRDefault="00AC0709" w:rsidP="00916F13">
            <w:pPr>
              <w:widowControl/>
              <w:autoSpaceDE/>
              <w:autoSpaceDN/>
              <w:jc w:val="center"/>
              <w:rPr>
                <w:rFonts w:eastAsia="Times New Roman"/>
                <w:b/>
                <w:bCs/>
                <w:color w:val="000000"/>
                <w:sz w:val="16"/>
                <w:szCs w:val="16"/>
              </w:rPr>
            </w:pPr>
            <w:r w:rsidRPr="00A22E3F">
              <w:rPr>
                <w:rFonts w:eastAsia="Times New Roman"/>
                <w:b/>
                <w:bCs/>
                <w:color w:val="000000"/>
                <w:sz w:val="16"/>
                <w:szCs w:val="16"/>
              </w:rPr>
              <w:t>176% - 200% FPG</w:t>
            </w:r>
          </w:p>
        </w:tc>
        <w:tc>
          <w:tcPr>
            <w:tcW w:w="1440" w:type="dxa"/>
            <w:tcBorders>
              <w:top w:val="nil"/>
              <w:left w:val="nil"/>
              <w:bottom w:val="single" w:sz="4" w:space="0" w:color="auto"/>
              <w:right w:val="single" w:sz="4" w:space="0" w:color="auto"/>
            </w:tcBorders>
            <w:shd w:val="clear" w:color="auto" w:fill="auto"/>
            <w:vAlign w:val="center"/>
            <w:hideMark/>
          </w:tcPr>
          <w:p w:rsidR="00AC0709" w:rsidRPr="00A22E3F" w:rsidRDefault="00AC0709" w:rsidP="00916F13">
            <w:pPr>
              <w:widowControl/>
              <w:autoSpaceDE/>
              <w:autoSpaceDN/>
              <w:jc w:val="center"/>
              <w:rPr>
                <w:rFonts w:eastAsia="Times New Roman"/>
                <w:b/>
                <w:bCs/>
                <w:color w:val="000000"/>
                <w:sz w:val="16"/>
                <w:szCs w:val="16"/>
              </w:rPr>
            </w:pPr>
            <w:r w:rsidRPr="00A22E3F">
              <w:rPr>
                <w:rFonts w:eastAsia="Times New Roman"/>
                <w:b/>
                <w:bCs/>
                <w:color w:val="000000"/>
                <w:sz w:val="16"/>
                <w:szCs w:val="16"/>
              </w:rPr>
              <w:t>Above 200% FPG</w:t>
            </w:r>
          </w:p>
        </w:tc>
      </w:tr>
      <w:tr w:rsidR="00F26B5C" w:rsidRPr="00A22E3F" w:rsidTr="00916F13">
        <w:trPr>
          <w:trHeight w:val="626"/>
        </w:trPr>
        <w:tc>
          <w:tcPr>
            <w:tcW w:w="1260" w:type="dxa"/>
            <w:tcBorders>
              <w:top w:val="nil"/>
              <w:left w:val="single" w:sz="4" w:space="0" w:color="auto"/>
              <w:bottom w:val="single" w:sz="4" w:space="0" w:color="auto"/>
              <w:right w:val="single" w:sz="4" w:space="0" w:color="auto"/>
            </w:tcBorders>
            <w:shd w:val="clear" w:color="000000" w:fill="DEDAD0"/>
            <w:vAlign w:val="center"/>
            <w:hideMark/>
          </w:tcPr>
          <w:p w:rsidR="00AC0709" w:rsidRPr="00A22E3F" w:rsidRDefault="00AC0709" w:rsidP="00AC0709">
            <w:pPr>
              <w:widowControl/>
              <w:autoSpaceDE/>
              <w:autoSpaceDN/>
              <w:jc w:val="center"/>
              <w:rPr>
                <w:rFonts w:eastAsia="Times New Roman"/>
                <w:b/>
                <w:bCs/>
                <w:color w:val="000000"/>
                <w:sz w:val="16"/>
                <w:szCs w:val="16"/>
              </w:rPr>
            </w:pPr>
            <w:r w:rsidRPr="00A22E3F">
              <w:rPr>
                <w:rFonts w:eastAsia="Times New Roman"/>
                <w:b/>
                <w:bCs/>
                <w:color w:val="000000"/>
                <w:sz w:val="16"/>
                <w:szCs w:val="16"/>
              </w:rPr>
              <w:t>Family Size</w:t>
            </w:r>
          </w:p>
        </w:tc>
        <w:tc>
          <w:tcPr>
            <w:tcW w:w="1260" w:type="dxa"/>
            <w:tcBorders>
              <w:top w:val="nil"/>
              <w:left w:val="nil"/>
              <w:bottom w:val="single" w:sz="4" w:space="0" w:color="auto"/>
              <w:right w:val="single" w:sz="4" w:space="0" w:color="auto"/>
            </w:tcBorders>
            <w:shd w:val="clear" w:color="000000" w:fill="DEDAD0"/>
            <w:vAlign w:val="center"/>
            <w:hideMark/>
          </w:tcPr>
          <w:p w:rsidR="00AC0709" w:rsidRPr="00A22E3F" w:rsidRDefault="00AC0709" w:rsidP="00916F13">
            <w:pPr>
              <w:widowControl/>
              <w:autoSpaceDE/>
              <w:autoSpaceDN/>
              <w:rPr>
                <w:rFonts w:eastAsia="Times New Roman"/>
                <w:b/>
                <w:bCs/>
                <w:color w:val="000000"/>
                <w:sz w:val="16"/>
                <w:szCs w:val="16"/>
              </w:rPr>
            </w:pPr>
            <w:r w:rsidRPr="00A22E3F">
              <w:rPr>
                <w:rFonts w:eastAsia="Times New Roman"/>
                <w:b/>
                <w:bCs/>
                <w:color w:val="000000"/>
                <w:sz w:val="16"/>
                <w:szCs w:val="16"/>
              </w:rPr>
              <w:t xml:space="preserve">Level I </w:t>
            </w:r>
            <w:r w:rsidRPr="00A22E3F">
              <w:rPr>
                <w:rFonts w:eastAsia="Times New Roman"/>
                <w:b/>
                <w:bCs/>
                <w:color w:val="000000"/>
                <w:sz w:val="16"/>
                <w:szCs w:val="16"/>
              </w:rPr>
              <w:br/>
              <w:t>$0</w:t>
            </w:r>
          </w:p>
        </w:tc>
        <w:tc>
          <w:tcPr>
            <w:tcW w:w="1710" w:type="dxa"/>
            <w:tcBorders>
              <w:top w:val="nil"/>
              <w:left w:val="nil"/>
              <w:bottom w:val="single" w:sz="4" w:space="0" w:color="auto"/>
              <w:right w:val="single" w:sz="4" w:space="0" w:color="auto"/>
            </w:tcBorders>
            <w:shd w:val="clear" w:color="000000" w:fill="DEDAD0"/>
            <w:vAlign w:val="center"/>
            <w:hideMark/>
          </w:tcPr>
          <w:p w:rsidR="00AC0709" w:rsidRPr="00A22E3F" w:rsidRDefault="00AC0709" w:rsidP="00916F13">
            <w:pPr>
              <w:widowControl/>
              <w:autoSpaceDE/>
              <w:autoSpaceDN/>
              <w:rPr>
                <w:rFonts w:eastAsia="Times New Roman"/>
                <w:b/>
                <w:bCs/>
                <w:color w:val="000000"/>
                <w:sz w:val="16"/>
                <w:szCs w:val="16"/>
              </w:rPr>
            </w:pPr>
            <w:r w:rsidRPr="00A22E3F">
              <w:rPr>
                <w:rFonts w:eastAsia="Times New Roman"/>
                <w:b/>
                <w:bCs/>
                <w:color w:val="000000"/>
                <w:sz w:val="16"/>
                <w:szCs w:val="16"/>
              </w:rPr>
              <w:t>Level II</w:t>
            </w:r>
            <w:r w:rsidRPr="00A22E3F">
              <w:rPr>
                <w:rFonts w:eastAsia="Times New Roman"/>
                <w:b/>
                <w:bCs/>
                <w:color w:val="000000"/>
                <w:sz w:val="16"/>
                <w:szCs w:val="16"/>
              </w:rPr>
              <w:br/>
              <w:t>$10</w:t>
            </w:r>
          </w:p>
        </w:tc>
        <w:tc>
          <w:tcPr>
            <w:tcW w:w="1710" w:type="dxa"/>
            <w:tcBorders>
              <w:top w:val="nil"/>
              <w:left w:val="nil"/>
              <w:bottom w:val="single" w:sz="4" w:space="0" w:color="auto"/>
              <w:right w:val="single" w:sz="4" w:space="0" w:color="auto"/>
            </w:tcBorders>
            <w:shd w:val="clear" w:color="000000" w:fill="DEDAD0"/>
            <w:vAlign w:val="center"/>
            <w:hideMark/>
          </w:tcPr>
          <w:p w:rsidR="00AC0709" w:rsidRPr="00A22E3F" w:rsidRDefault="00AC0709" w:rsidP="00916F13">
            <w:pPr>
              <w:widowControl/>
              <w:autoSpaceDE/>
              <w:autoSpaceDN/>
              <w:rPr>
                <w:rFonts w:eastAsia="Times New Roman"/>
                <w:b/>
                <w:bCs/>
                <w:color w:val="000000"/>
                <w:sz w:val="16"/>
                <w:szCs w:val="16"/>
              </w:rPr>
            </w:pPr>
            <w:r w:rsidRPr="00A22E3F">
              <w:rPr>
                <w:rFonts w:eastAsia="Times New Roman"/>
                <w:b/>
                <w:bCs/>
                <w:color w:val="000000"/>
                <w:sz w:val="16"/>
                <w:szCs w:val="16"/>
              </w:rPr>
              <w:t>Level III</w:t>
            </w:r>
            <w:r w:rsidRPr="00A22E3F">
              <w:rPr>
                <w:rFonts w:eastAsia="Times New Roman"/>
                <w:b/>
                <w:bCs/>
                <w:color w:val="000000"/>
                <w:sz w:val="16"/>
                <w:szCs w:val="16"/>
              </w:rPr>
              <w:br/>
              <w:t>$25</w:t>
            </w:r>
          </w:p>
        </w:tc>
        <w:tc>
          <w:tcPr>
            <w:tcW w:w="1800" w:type="dxa"/>
            <w:tcBorders>
              <w:top w:val="nil"/>
              <w:left w:val="nil"/>
              <w:bottom w:val="single" w:sz="4" w:space="0" w:color="auto"/>
              <w:right w:val="single" w:sz="4" w:space="0" w:color="auto"/>
            </w:tcBorders>
            <w:shd w:val="clear" w:color="000000" w:fill="DEDAD0"/>
            <w:vAlign w:val="center"/>
            <w:hideMark/>
          </w:tcPr>
          <w:p w:rsidR="00AC0709" w:rsidRPr="00A22E3F" w:rsidRDefault="00AC0709" w:rsidP="00916F13">
            <w:pPr>
              <w:widowControl/>
              <w:autoSpaceDE/>
              <w:autoSpaceDN/>
              <w:rPr>
                <w:rFonts w:eastAsia="Times New Roman"/>
                <w:b/>
                <w:bCs/>
                <w:color w:val="000000"/>
                <w:sz w:val="16"/>
                <w:szCs w:val="16"/>
              </w:rPr>
            </w:pPr>
            <w:r w:rsidRPr="00A22E3F">
              <w:rPr>
                <w:rFonts w:eastAsia="Times New Roman"/>
                <w:b/>
                <w:bCs/>
                <w:color w:val="000000"/>
                <w:sz w:val="16"/>
                <w:szCs w:val="16"/>
              </w:rPr>
              <w:t>Level IV</w:t>
            </w:r>
            <w:r w:rsidRPr="00A22E3F">
              <w:rPr>
                <w:rFonts w:eastAsia="Times New Roman"/>
                <w:b/>
                <w:bCs/>
                <w:color w:val="000000"/>
                <w:sz w:val="16"/>
                <w:szCs w:val="16"/>
              </w:rPr>
              <w:br/>
              <w:t>$35</w:t>
            </w:r>
          </w:p>
        </w:tc>
        <w:tc>
          <w:tcPr>
            <w:tcW w:w="1890" w:type="dxa"/>
            <w:tcBorders>
              <w:top w:val="nil"/>
              <w:left w:val="nil"/>
              <w:bottom w:val="single" w:sz="4" w:space="0" w:color="auto"/>
              <w:right w:val="single" w:sz="4" w:space="0" w:color="auto"/>
            </w:tcBorders>
            <w:shd w:val="clear" w:color="000000" w:fill="DEDAD0"/>
            <w:vAlign w:val="center"/>
            <w:hideMark/>
          </w:tcPr>
          <w:p w:rsidR="00AC0709" w:rsidRPr="00A22E3F" w:rsidRDefault="00AC0709" w:rsidP="00916F13">
            <w:pPr>
              <w:widowControl/>
              <w:autoSpaceDE/>
              <w:autoSpaceDN/>
              <w:rPr>
                <w:rFonts w:eastAsia="Times New Roman"/>
                <w:b/>
                <w:bCs/>
                <w:color w:val="000000"/>
                <w:sz w:val="16"/>
                <w:szCs w:val="16"/>
              </w:rPr>
            </w:pPr>
            <w:r w:rsidRPr="00A22E3F">
              <w:rPr>
                <w:rFonts w:eastAsia="Times New Roman"/>
                <w:b/>
                <w:bCs/>
                <w:color w:val="000000"/>
                <w:sz w:val="16"/>
                <w:szCs w:val="16"/>
              </w:rPr>
              <w:t>Level V</w:t>
            </w:r>
            <w:r w:rsidRPr="00A22E3F">
              <w:rPr>
                <w:rFonts w:eastAsia="Times New Roman"/>
                <w:b/>
                <w:bCs/>
                <w:color w:val="000000"/>
                <w:sz w:val="16"/>
                <w:szCs w:val="16"/>
              </w:rPr>
              <w:br/>
              <w:t>$50</w:t>
            </w:r>
          </w:p>
        </w:tc>
        <w:tc>
          <w:tcPr>
            <w:tcW w:w="1440" w:type="dxa"/>
            <w:tcBorders>
              <w:top w:val="nil"/>
              <w:left w:val="nil"/>
              <w:bottom w:val="single" w:sz="4" w:space="0" w:color="auto"/>
              <w:right w:val="single" w:sz="4" w:space="0" w:color="auto"/>
            </w:tcBorders>
            <w:shd w:val="clear" w:color="000000" w:fill="DEDAD0"/>
            <w:vAlign w:val="center"/>
            <w:hideMark/>
          </w:tcPr>
          <w:p w:rsidR="00AC0709" w:rsidRPr="00A22E3F" w:rsidRDefault="00AC0709" w:rsidP="00916F13">
            <w:pPr>
              <w:widowControl/>
              <w:autoSpaceDE/>
              <w:autoSpaceDN/>
              <w:rPr>
                <w:rFonts w:eastAsia="Times New Roman"/>
                <w:b/>
                <w:bCs/>
                <w:color w:val="000000"/>
                <w:sz w:val="16"/>
                <w:szCs w:val="16"/>
              </w:rPr>
            </w:pPr>
            <w:r w:rsidRPr="00A22E3F">
              <w:rPr>
                <w:rFonts w:eastAsia="Times New Roman"/>
                <w:b/>
                <w:bCs/>
                <w:color w:val="000000"/>
                <w:sz w:val="16"/>
                <w:szCs w:val="16"/>
              </w:rPr>
              <w:t xml:space="preserve">Level VI </w:t>
            </w:r>
            <w:r w:rsidRPr="00A22E3F">
              <w:rPr>
                <w:rFonts w:eastAsia="Times New Roman"/>
                <w:b/>
                <w:bCs/>
                <w:color w:val="000000"/>
                <w:sz w:val="16"/>
                <w:szCs w:val="16"/>
              </w:rPr>
              <w:br/>
              <w:t>(No Discount)</w:t>
            </w:r>
          </w:p>
        </w:tc>
      </w:tr>
      <w:tr w:rsidR="00E51074" w:rsidRPr="00A22E3F" w:rsidTr="00916F13">
        <w:trPr>
          <w:trHeight w:val="37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AC0709" w:rsidRPr="00A22E3F" w:rsidRDefault="00AC0709" w:rsidP="00AC0709">
            <w:pPr>
              <w:widowControl/>
              <w:autoSpaceDE/>
              <w:autoSpaceDN/>
              <w:jc w:val="center"/>
              <w:rPr>
                <w:rFonts w:eastAsia="Times New Roman"/>
                <w:b/>
                <w:bCs/>
                <w:color w:val="000000"/>
                <w:sz w:val="16"/>
                <w:szCs w:val="16"/>
              </w:rPr>
            </w:pPr>
            <w:r w:rsidRPr="00A22E3F">
              <w:rPr>
                <w:rFonts w:eastAsia="Times New Roman"/>
                <w:b/>
                <w:bCs/>
                <w:color w:val="000000"/>
                <w:sz w:val="16"/>
                <w:szCs w:val="16"/>
              </w:rPr>
              <w:t>1</w:t>
            </w: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tcPr>
          <w:p w:rsidR="00AC0709" w:rsidRPr="00A22E3F" w:rsidRDefault="000A20AB" w:rsidP="00AC0709">
            <w:pPr>
              <w:widowControl/>
              <w:autoSpaceDE/>
              <w:autoSpaceDN/>
              <w:jc w:val="center"/>
              <w:rPr>
                <w:rFonts w:eastAsia="Times New Roman"/>
                <w:b/>
                <w:color w:val="000000"/>
                <w:sz w:val="16"/>
                <w:szCs w:val="16"/>
              </w:rPr>
            </w:pPr>
            <w:r w:rsidRPr="00A22E3F">
              <w:rPr>
                <w:rFonts w:eastAsia="Times New Roman"/>
                <w:b/>
                <w:color w:val="000000"/>
                <w:sz w:val="16"/>
                <w:szCs w:val="16"/>
              </w:rPr>
              <w:t>0</w:t>
            </w:r>
            <w:r w:rsidR="004D54FD" w:rsidRPr="00A22E3F">
              <w:rPr>
                <w:rFonts w:eastAsia="Times New Roman"/>
                <w:b/>
                <w:color w:val="000000"/>
                <w:sz w:val="16"/>
                <w:szCs w:val="16"/>
              </w:rPr>
              <w:t xml:space="preserve"> - $15,650</w:t>
            </w:r>
          </w:p>
        </w:tc>
        <w:tc>
          <w:tcPr>
            <w:tcW w:w="1710" w:type="dxa"/>
            <w:tcBorders>
              <w:top w:val="single" w:sz="8" w:space="0" w:color="auto"/>
              <w:left w:val="nil"/>
              <w:bottom w:val="single" w:sz="8" w:space="0" w:color="auto"/>
              <w:right w:val="single" w:sz="8" w:space="0" w:color="auto"/>
            </w:tcBorders>
            <w:shd w:val="clear" w:color="auto" w:fill="auto"/>
            <w:vAlign w:val="center"/>
          </w:tcPr>
          <w:p w:rsidR="00AC0709" w:rsidRPr="00A22E3F" w:rsidRDefault="004D54FD" w:rsidP="00AC0709">
            <w:pPr>
              <w:widowControl/>
              <w:autoSpaceDE/>
              <w:autoSpaceDN/>
              <w:jc w:val="center"/>
              <w:rPr>
                <w:rFonts w:eastAsia="Times New Roman"/>
                <w:b/>
                <w:color w:val="000000"/>
                <w:sz w:val="16"/>
                <w:szCs w:val="16"/>
              </w:rPr>
            </w:pPr>
            <w:r w:rsidRPr="00A22E3F">
              <w:rPr>
                <w:rFonts w:eastAsia="Times New Roman"/>
                <w:b/>
                <w:color w:val="000000"/>
                <w:sz w:val="16"/>
                <w:szCs w:val="16"/>
              </w:rPr>
              <w:t>$15,651 - $19,563</w:t>
            </w:r>
          </w:p>
        </w:tc>
        <w:tc>
          <w:tcPr>
            <w:tcW w:w="1710" w:type="dxa"/>
            <w:tcBorders>
              <w:top w:val="single" w:sz="8" w:space="0" w:color="auto"/>
              <w:left w:val="nil"/>
              <w:bottom w:val="single" w:sz="8" w:space="0" w:color="auto"/>
              <w:right w:val="single" w:sz="8" w:space="0" w:color="auto"/>
            </w:tcBorders>
            <w:shd w:val="clear" w:color="auto" w:fill="auto"/>
            <w:vAlign w:val="center"/>
          </w:tcPr>
          <w:p w:rsidR="00AC0709" w:rsidRPr="00A22E3F" w:rsidRDefault="004D54FD" w:rsidP="00AC0709">
            <w:pPr>
              <w:widowControl/>
              <w:autoSpaceDE/>
              <w:autoSpaceDN/>
              <w:jc w:val="center"/>
              <w:rPr>
                <w:rFonts w:eastAsia="Times New Roman"/>
                <w:b/>
                <w:color w:val="000000"/>
                <w:sz w:val="16"/>
                <w:szCs w:val="16"/>
              </w:rPr>
            </w:pPr>
            <w:r w:rsidRPr="00A22E3F">
              <w:rPr>
                <w:rFonts w:eastAsia="Times New Roman"/>
                <w:b/>
                <w:color w:val="000000"/>
                <w:sz w:val="16"/>
                <w:szCs w:val="16"/>
              </w:rPr>
              <w:t>$19,564 - $23,475</w:t>
            </w:r>
          </w:p>
        </w:tc>
        <w:tc>
          <w:tcPr>
            <w:tcW w:w="1800" w:type="dxa"/>
            <w:tcBorders>
              <w:top w:val="single" w:sz="8" w:space="0" w:color="auto"/>
              <w:left w:val="nil"/>
              <w:bottom w:val="single" w:sz="8" w:space="0" w:color="auto"/>
              <w:right w:val="single" w:sz="8" w:space="0" w:color="auto"/>
            </w:tcBorders>
            <w:shd w:val="clear" w:color="auto" w:fill="auto"/>
            <w:vAlign w:val="center"/>
          </w:tcPr>
          <w:p w:rsidR="00AC0709" w:rsidRPr="00A22E3F" w:rsidRDefault="004D54FD" w:rsidP="00AC0709">
            <w:pPr>
              <w:widowControl/>
              <w:autoSpaceDE/>
              <w:autoSpaceDN/>
              <w:jc w:val="center"/>
              <w:rPr>
                <w:rFonts w:eastAsia="Times New Roman"/>
                <w:b/>
                <w:color w:val="000000"/>
                <w:sz w:val="16"/>
                <w:szCs w:val="16"/>
              </w:rPr>
            </w:pPr>
            <w:r w:rsidRPr="00A22E3F">
              <w:rPr>
                <w:rFonts w:eastAsia="Times New Roman"/>
                <w:b/>
                <w:color w:val="000000"/>
                <w:sz w:val="16"/>
                <w:szCs w:val="16"/>
              </w:rPr>
              <w:t>$23,476 - $27,388</w:t>
            </w:r>
          </w:p>
        </w:tc>
        <w:tc>
          <w:tcPr>
            <w:tcW w:w="1890" w:type="dxa"/>
            <w:tcBorders>
              <w:top w:val="single" w:sz="8" w:space="0" w:color="auto"/>
              <w:left w:val="nil"/>
              <w:bottom w:val="single" w:sz="8" w:space="0" w:color="auto"/>
              <w:right w:val="single" w:sz="8" w:space="0" w:color="auto"/>
            </w:tcBorders>
            <w:shd w:val="clear" w:color="auto" w:fill="auto"/>
            <w:vAlign w:val="center"/>
          </w:tcPr>
          <w:p w:rsidR="00AC0709" w:rsidRPr="00A22E3F" w:rsidRDefault="004D54FD" w:rsidP="00AC0709">
            <w:pPr>
              <w:widowControl/>
              <w:autoSpaceDE/>
              <w:autoSpaceDN/>
              <w:jc w:val="center"/>
              <w:rPr>
                <w:rFonts w:eastAsia="Times New Roman"/>
                <w:b/>
                <w:color w:val="000000"/>
                <w:sz w:val="16"/>
                <w:szCs w:val="16"/>
              </w:rPr>
            </w:pPr>
            <w:r w:rsidRPr="00A22E3F">
              <w:rPr>
                <w:rFonts w:eastAsia="Times New Roman"/>
                <w:b/>
                <w:color w:val="000000"/>
                <w:sz w:val="16"/>
                <w:szCs w:val="16"/>
              </w:rPr>
              <w:t>$27,389 - $31,300</w:t>
            </w:r>
          </w:p>
        </w:tc>
        <w:tc>
          <w:tcPr>
            <w:tcW w:w="1440" w:type="dxa"/>
            <w:tcBorders>
              <w:top w:val="single" w:sz="8" w:space="0" w:color="auto"/>
              <w:left w:val="nil"/>
              <w:bottom w:val="single" w:sz="8" w:space="0" w:color="auto"/>
              <w:right w:val="single" w:sz="8" w:space="0" w:color="auto"/>
            </w:tcBorders>
            <w:shd w:val="clear" w:color="auto" w:fill="auto"/>
            <w:vAlign w:val="center"/>
          </w:tcPr>
          <w:p w:rsidR="00AC0709" w:rsidRPr="00A22E3F" w:rsidRDefault="004D54FD" w:rsidP="00AC0709">
            <w:pPr>
              <w:widowControl/>
              <w:autoSpaceDE/>
              <w:autoSpaceDN/>
              <w:jc w:val="center"/>
              <w:rPr>
                <w:rFonts w:eastAsia="Times New Roman"/>
                <w:b/>
                <w:color w:val="000000"/>
                <w:sz w:val="16"/>
                <w:szCs w:val="16"/>
              </w:rPr>
            </w:pPr>
            <w:r w:rsidRPr="00A22E3F">
              <w:rPr>
                <w:rFonts w:eastAsia="Times New Roman"/>
                <w:b/>
                <w:color w:val="000000"/>
                <w:sz w:val="16"/>
                <w:szCs w:val="16"/>
              </w:rPr>
              <w:t>$31,301 +</w:t>
            </w:r>
          </w:p>
        </w:tc>
      </w:tr>
      <w:tr w:rsidR="00E51074" w:rsidRPr="00A22E3F" w:rsidTr="00916F13">
        <w:trPr>
          <w:trHeight w:val="375"/>
        </w:trPr>
        <w:tc>
          <w:tcPr>
            <w:tcW w:w="1260" w:type="dxa"/>
            <w:tcBorders>
              <w:top w:val="nil"/>
              <w:left w:val="single" w:sz="4" w:space="0" w:color="auto"/>
              <w:bottom w:val="single" w:sz="4" w:space="0" w:color="auto"/>
              <w:right w:val="single" w:sz="4" w:space="0" w:color="auto"/>
            </w:tcBorders>
            <w:shd w:val="clear" w:color="000000" w:fill="F0F0E8"/>
            <w:noWrap/>
            <w:vAlign w:val="center"/>
            <w:hideMark/>
          </w:tcPr>
          <w:p w:rsidR="00AC0709" w:rsidRPr="00A22E3F" w:rsidRDefault="00AC0709" w:rsidP="00AC0709">
            <w:pPr>
              <w:widowControl/>
              <w:autoSpaceDE/>
              <w:autoSpaceDN/>
              <w:jc w:val="center"/>
              <w:rPr>
                <w:rFonts w:eastAsia="Times New Roman"/>
                <w:b/>
                <w:bCs/>
                <w:color w:val="000000"/>
                <w:sz w:val="16"/>
                <w:szCs w:val="16"/>
              </w:rPr>
            </w:pPr>
            <w:r w:rsidRPr="00A22E3F">
              <w:rPr>
                <w:rFonts w:eastAsia="Times New Roman"/>
                <w:b/>
                <w:bCs/>
                <w:color w:val="000000"/>
                <w:sz w:val="16"/>
                <w:szCs w:val="16"/>
              </w:rPr>
              <w:t>2</w:t>
            </w:r>
          </w:p>
        </w:tc>
        <w:tc>
          <w:tcPr>
            <w:tcW w:w="1260" w:type="dxa"/>
            <w:tcBorders>
              <w:top w:val="nil"/>
              <w:left w:val="single" w:sz="8" w:space="0" w:color="auto"/>
              <w:bottom w:val="single" w:sz="8" w:space="0" w:color="auto"/>
              <w:right w:val="single" w:sz="8" w:space="0" w:color="auto"/>
            </w:tcBorders>
            <w:shd w:val="clear" w:color="auto" w:fill="auto"/>
            <w:vAlign w:val="center"/>
          </w:tcPr>
          <w:p w:rsidR="00AC0709" w:rsidRPr="00A22E3F" w:rsidRDefault="004D54FD" w:rsidP="00AC0709">
            <w:pPr>
              <w:widowControl/>
              <w:autoSpaceDE/>
              <w:autoSpaceDN/>
              <w:jc w:val="center"/>
              <w:rPr>
                <w:rFonts w:eastAsia="Times New Roman"/>
                <w:b/>
                <w:color w:val="000000"/>
                <w:sz w:val="16"/>
                <w:szCs w:val="16"/>
              </w:rPr>
            </w:pPr>
            <w:r w:rsidRPr="00A22E3F">
              <w:rPr>
                <w:rFonts w:eastAsia="Times New Roman"/>
                <w:b/>
                <w:color w:val="000000"/>
                <w:sz w:val="16"/>
                <w:szCs w:val="16"/>
              </w:rPr>
              <w:t>0 - $21,150</w:t>
            </w:r>
          </w:p>
        </w:tc>
        <w:tc>
          <w:tcPr>
            <w:tcW w:w="1710" w:type="dxa"/>
            <w:tcBorders>
              <w:top w:val="nil"/>
              <w:left w:val="nil"/>
              <w:bottom w:val="single" w:sz="8" w:space="0" w:color="auto"/>
              <w:right w:val="single" w:sz="8" w:space="0" w:color="auto"/>
            </w:tcBorders>
            <w:shd w:val="clear" w:color="auto" w:fill="auto"/>
            <w:vAlign w:val="center"/>
          </w:tcPr>
          <w:p w:rsidR="00AC0709" w:rsidRPr="00A22E3F" w:rsidRDefault="004D54FD" w:rsidP="00AC0709">
            <w:pPr>
              <w:widowControl/>
              <w:autoSpaceDE/>
              <w:autoSpaceDN/>
              <w:jc w:val="center"/>
              <w:rPr>
                <w:rFonts w:eastAsia="Times New Roman"/>
                <w:b/>
                <w:color w:val="000000"/>
                <w:sz w:val="16"/>
                <w:szCs w:val="16"/>
              </w:rPr>
            </w:pPr>
            <w:r w:rsidRPr="00A22E3F">
              <w:rPr>
                <w:rFonts w:eastAsia="Times New Roman"/>
                <w:b/>
                <w:color w:val="000000"/>
                <w:sz w:val="16"/>
                <w:szCs w:val="16"/>
              </w:rPr>
              <w:t>$21,151 - $26,438</w:t>
            </w:r>
          </w:p>
        </w:tc>
        <w:tc>
          <w:tcPr>
            <w:tcW w:w="1710" w:type="dxa"/>
            <w:tcBorders>
              <w:top w:val="nil"/>
              <w:left w:val="nil"/>
              <w:bottom w:val="single" w:sz="8" w:space="0" w:color="auto"/>
              <w:right w:val="single" w:sz="8" w:space="0" w:color="auto"/>
            </w:tcBorders>
            <w:shd w:val="clear" w:color="auto" w:fill="auto"/>
            <w:vAlign w:val="center"/>
          </w:tcPr>
          <w:p w:rsidR="00AC0709" w:rsidRPr="00A22E3F" w:rsidRDefault="004D54FD" w:rsidP="00AC0709">
            <w:pPr>
              <w:widowControl/>
              <w:autoSpaceDE/>
              <w:autoSpaceDN/>
              <w:jc w:val="center"/>
              <w:rPr>
                <w:rFonts w:eastAsia="Times New Roman"/>
                <w:b/>
                <w:color w:val="000000"/>
                <w:sz w:val="16"/>
                <w:szCs w:val="16"/>
              </w:rPr>
            </w:pPr>
            <w:r w:rsidRPr="00A22E3F">
              <w:rPr>
                <w:rFonts w:eastAsia="Times New Roman"/>
                <w:b/>
                <w:color w:val="000000"/>
                <w:sz w:val="16"/>
                <w:szCs w:val="16"/>
              </w:rPr>
              <w:t>$26,439 - $31,725</w:t>
            </w:r>
          </w:p>
        </w:tc>
        <w:tc>
          <w:tcPr>
            <w:tcW w:w="1800" w:type="dxa"/>
            <w:tcBorders>
              <w:top w:val="nil"/>
              <w:left w:val="nil"/>
              <w:bottom w:val="single" w:sz="8" w:space="0" w:color="auto"/>
              <w:right w:val="single" w:sz="8" w:space="0" w:color="auto"/>
            </w:tcBorders>
            <w:shd w:val="clear" w:color="auto" w:fill="auto"/>
            <w:vAlign w:val="center"/>
          </w:tcPr>
          <w:p w:rsidR="00AC0709" w:rsidRPr="00A22E3F" w:rsidRDefault="004D54FD" w:rsidP="00AC0709">
            <w:pPr>
              <w:widowControl/>
              <w:autoSpaceDE/>
              <w:autoSpaceDN/>
              <w:jc w:val="center"/>
              <w:rPr>
                <w:rFonts w:eastAsia="Times New Roman"/>
                <w:b/>
                <w:color w:val="000000"/>
                <w:sz w:val="16"/>
                <w:szCs w:val="16"/>
              </w:rPr>
            </w:pPr>
            <w:r w:rsidRPr="00A22E3F">
              <w:rPr>
                <w:rFonts w:eastAsia="Times New Roman"/>
                <w:b/>
                <w:color w:val="000000"/>
                <w:sz w:val="16"/>
                <w:szCs w:val="16"/>
              </w:rPr>
              <w:t>$31,726 - $37,013</w:t>
            </w:r>
          </w:p>
        </w:tc>
        <w:tc>
          <w:tcPr>
            <w:tcW w:w="1890" w:type="dxa"/>
            <w:tcBorders>
              <w:top w:val="nil"/>
              <w:left w:val="nil"/>
              <w:bottom w:val="single" w:sz="8" w:space="0" w:color="auto"/>
              <w:right w:val="single" w:sz="8" w:space="0" w:color="auto"/>
            </w:tcBorders>
            <w:shd w:val="clear" w:color="auto" w:fill="auto"/>
            <w:vAlign w:val="center"/>
          </w:tcPr>
          <w:p w:rsidR="00AC0709" w:rsidRPr="00A22E3F" w:rsidRDefault="004D54FD" w:rsidP="00AC0709">
            <w:pPr>
              <w:widowControl/>
              <w:autoSpaceDE/>
              <w:autoSpaceDN/>
              <w:jc w:val="center"/>
              <w:rPr>
                <w:rFonts w:eastAsia="Times New Roman"/>
                <w:b/>
                <w:color w:val="000000"/>
                <w:sz w:val="16"/>
                <w:szCs w:val="16"/>
              </w:rPr>
            </w:pPr>
            <w:r w:rsidRPr="00A22E3F">
              <w:rPr>
                <w:rFonts w:eastAsia="Times New Roman"/>
                <w:b/>
                <w:color w:val="000000"/>
                <w:sz w:val="16"/>
                <w:szCs w:val="16"/>
              </w:rPr>
              <w:t>$37,</w:t>
            </w:r>
            <w:bookmarkStart w:id="0" w:name="_GoBack"/>
            <w:bookmarkEnd w:id="0"/>
            <w:r w:rsidRPr="00A22E3F">
              <w:rPr>
                <w:rFonts w:eastAsia="Times New Roman"/>
                <w:b/>
                <w:color w:val="000000"/>
                <w:sz w:val="16"/>
                <w:szCs w:val="16"/>
              </w:rPr>
              <w:t>014 - $42,300</w:t>
            </w:r>
          </w:p>
        </w:tc>
        <w:tc>
          <w:tcPr>
            <w:tcW w:w="1440" w:type="dxa"/>
            <w:tcBorders>
              <w:top w:val="nil"/>
              <w:left w:val="nil"/>
              <w:bottom w:val="single" w:sz="8" w:space="0" w:color="auto"/>
              <w:right w:val="single" w:sz="8" w:space="0" w:color="auto"/>
            </w:tcBorders>
            <w:shd w:val="clear" w:color="auto" w:fill="auto"/>
            <w:vAlign w:val="center"/>
          </w:tcPr>
          <w:p w:rsidR="00AC0709" w:rsidRPr="00A22E3F" w:rsidRDefault="004D54FD" w:rsidP="00AC0709">
            <w:pPr>
              <w:widowControl/>
              <w:autoSpaceDE/>
              <w:autoSpaceDN/>
              <w:jc w:val="center"/>
              <w:rPr>
                <w:rFonts w:eastAsia="Times New Roman"/>
                <w:b/>
                <w:color w:val="000000"/>
                <w:sz w:val="16"/>
                <w:szCs w:val="16"/>
              </w:rPr>
            </w:pPr>
            <w:r w:rsidRPr="00A22E3F">
              <w:rPr>
                <w:rFonts w:eastAsia="Times New Roman"/>
                <w:b/>
                <w:color w:val="000000"/>
                <w:sz w:val="16"/>
                <w:szCs w:val="16"/>
              </w:rPr>
              <w:t>$42,301 +</w:t>
            </w:r>
          </w:p>
        </w:tc>
      </w:tr>
      <w:tr w:rsidR="00E51074" w:rsidRPr="00A22E3F" w:rsidTr="00916F13">
        <w:trPr>
          <w:trHeight w:val="37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AC0709" w:rsidRPr="00A22E3F" w:rsidRDefault="00AC0709" w:rsidP="00AC0709">
            <w:pPr>
              <w:widowControl/>
              <w:autoSpaceDE/>
              <w:autoSpaceDN/>
              <w:jc w:val="center"/>
              <w:rPr>
                <w:rFonts w:eastAsia="Times New Roman"/>
                <w:b/>
                <w:bCs/>
                <w:color w:val="000000"/>
                <w:sz w:val="16"/>
                <w:szCs w:val="16"/>
              </w:rPr>
            </w:pPr>
            <w:r w:rsidRPr="00A22E3F">
              <w:rPr>
                <w:rFonts w:eastAsia="Times New Roman"/>
                <w:b/>
                <w:bCs/>
                <w:color w:val="000000"/>
                <w:sz w:val="16"/>
                <w:szCs w:val="16"/>
              </w:rPr>
              <w:t>3</w:t>
            </w:r>
          </w:p>
        </w:tc>
        <w:tc>
          <w:tcPr>
            <w:tcW w:w="1260" w:type="dxa"/>
            <w:tcBorders>
              <w:top w:val="nil"/>
              <w:left w:val="single" w:sz="8" w:space="0" w:color="auto"/>
              <w:bottom w:val="single" w:sz="8" w:space="0" w:color="auto"/>
              <w:right w:val="single" w:sz="8" w:space="0" w:color="auto"/>
            </w:tcBorders>
            <w:shd w:val="clear" w:color="auto" w:fill="auto"/>
            <w:vAlign w:val="center"/>
          </w:tcPr>
          <w:p w:rsidR="00AC0709" w:rsidRPr="00A22E3F" w:rsidRDefault="004D54FD" w:rsidP="00AC0709">
            <w:pPr>
              <w:widowControl/>
              <w:autoSpaceDE/>
              <w:autoSpaceDN/>
              <w:jc w:val="center"/>
              <w:rPr>
                <w:rFonts w:eastAsia="Times New Roman"/>
                <w:b/>
                <w:color w:val="000000"/>
                <w:sz w:val="16"/>
                <w:szCs w:val="16"/>
              </w:rPr>
            </w:pPr>
            <w:r w:rsidRPr="00A22E3F">
              <w:rPr>
                <w:rFonts w:eastAsia="Times New Roman"/>
                <w:b/>
                <w:color w:val="000000"/>
                <w:sz w:val="16"/>
                <w:szCs w:val="16"/>
              </w:rPr>
              <w:t>0 - $26,650</w:t>
            </w:r>
          </w:p>
        </w:tc>
        <w:tc>
          <w:tcPr>
            <w:tcW w:w="1710" w:type="dxa"/>
            <w:tcBorders>
              <w:top w:val="nil"/>
              <w:left w:val="nil"/>
              <w:bottom w:val="single" w:sz="8" w:space="0" w:color="auto"/>
              <w:right w:val="single" w:sz="8" w:space="0" w:color="auto"/>
            </w:tcBorders>
            <w:shd w:val="clear" w:color="auto" w:fill="auto"/>
            <w:vAlign w:val="center"/>
          </w:tcPr>
          <w:p w:rsidR="00AC0709" w:rsidRPr="00A22E3F" w:rsidRDefault="004D54FD" w:rsidP="00AC0709">
            <w:pPr>
              <w:widowControl/>
              <w:autoSpaceDE/>
              <w:autoSpaceDN/>
              <w:jc w:val="center"/>
              <w:rPr>
                <w:rFonts w:eastAsia="Times New Roman"/>
                <w:b/>
                <w:color w:val="000000"/>
                <w:sz w:val="16"/>
                <w:szCs w:val="16"/>
              </w:rPr>
            </w:pPr>
            <w:r w:rsidRPr="00A22E3F">
              <w:rPr>
                <w:rFonts w:eastAsia="Times New Roman"/>
                <w:b/>
                <w:color w:val="000000"/>
                <w:sz w:val="16"/>
                <w:szCs w:val="16"/>
              </w:rPr>
              <w:t>$26,651 - $33,313</w:t>
            </w:r>
          </w:p>
        </w:tc>
        <w:tc>
          <w:tcPr>
            <w:tcW w:w="1710" w:type="dxa"/>
            <w:tcBorders>
              <w:top w:val="nil"/>
              <w:left w:val="nil"/>
              <w:bottom w:val="single" w:sz="8" w:space="0" w:color="auto"/>
              <w:right w:val="single" w:sz="8" w:space="0" w:color="auto"/>
            </w:tcBorders>
            <w:shd w:val="clear" w:color="auto" w:fill="auto"/>
            <w:vAlign w:val="center"/>
          </w:tcPr>
          <w:p w:rsidR="00AC0709" w:rsidRPr="00A22E3F" w:rsidRDefault="004D54FD" w:rsidP="00AC0709">
            <w:pPr>
              <w:widowControl/>
              <w:autoSpaceDE/>
              <w:autoSpaceDN/>
              <w:jc w:val="center"/>
              <w:rPr>
                <w:rFonts w:eastAsia="Times New Roman"/>
                <w:b/>
                <w:color w:val="000000"/>
                <w:sz w:val="16"/>
                <w:szCs w:val="16"/>
              </w:rPr>
            </w:pPr>
            <w:r w:rsidRPr="00A22E3F">
              <w:rPr>
                <w:rFonts w:eastAsia="Times New Roman"/>
                <w:b/>
                <w:color w:val="000000"/>
                <w:sz w:val="16"/>
                <w:szCs w:val="16"/>
              </w:rPr>
              <w:t>$33,314 - $39,975</w:t>
            </w:r>
          </w:p>
        </w:tc>
        <w:tc>
          <w:tcPr>
            <w:tcW w:w="1800" w:type="dxa"/>
            <w:tcBorders>
              <w:top w:val="nil"/>
              <w:left w:val="nil"/>
              <w:bottom w:val="single" w:sz="8" w:space="0" w:color="auto"/>
              <w:right w:val="single" w:sz="8" w:space="0" w:color="auto"/>
            </w:tcBorders>
            <w:shd w:val="clear" w:color="auto" w:fill="auto"/>
            <w:vAlign w:val="center"/>
          </w:tcPr>
          <w:p w:rsidR="00AC0709" w:rsidRPr="00A22E3F" w:rsidRDefault="004D54FD" w:rsidP="00AC0709">
            <w:pPr>
              <w:widowControl/>
              <w:autoSpaceDE/>
              <w:autoSpaceDN/>
              <w:jc w:val="center"/>
              <w:rPr>
                <w:rFonts w:eastAsia="Times New Roman"/>
                <w:b/>
                <w:color w:val="000000"/>
                <w:sz w:val="16"/>
                <w:szCs w:val="16"/>
              </w:rPr>
            </w:pPr>
            <w:r w:rsidRPr="00A22E3F">
              <w:rPr>
                <w:rFonts w:eastAsia="Times New Roman"/>
                <w:b/>
                <w:color w:val="000000"/>
                <w:sz w:val="16"/>
                <w:szCs w:val="16"/>
              </w:rPr>
              <w:t>$39,976 - $46,638</w:t>
            </w:r>
          </w:p>
        </w:tc>
        <w:tc>
          <w:tcPr>
            <w:tcW w:w="1890" w:type="dxa"/>
            <w:tcBorders>
              <w:top w:val="nil"/>
              <w:left w:val="nil"/>
              <w:bottom w:val="single" w:sz="8" w:space="0" w:color="auto"/>
              <w:right w:val="single" w:sz="8" w:space="0" w:color="auto"/>
            </w:tcBorders>
            <w:shd w:val="clear" w:color="auto" w:fill="auto"/>
            <w:vAlign w:val="center"/>
          </w:tcPr>
          <w:p w:rsidR="00AC0709" w:rsidRPr="00A22E3F" w:rsidRDefault="004D54FD" w:rsidP="00AC0709">
            <w:pPr>
              <w:widowControl/>
              <w:autoSpaceDE/>
              <w:autoSpaceDN/>
              <w:jc w:val="center"/>
              <w:rPr>
                <w:rFonts w:eastAsia="Times New Roman"/>
                <w:b/>
                <w:color w:val="000000"/>
                <w:sz w:val="16"/>
                <w:szCs w:val="16"/>
              </w:rPr>
            </w:pPr>
            <w:r w:rsidRPr="00A22E3F">
              <w:rPr>
                <w:rFonts w:eastAsia="Times New Roman"/>
                <w:b/>
                <w:color w:val="000000"/>
                <w:sz w:val="16"/>
                <w:szCs w:val="16"/>
              </w:rPr>
              <w:t>$46,639 - $53,300</w:t>
            </w:r>
          </w:p>
        </w:tc>
        <w:tc>
          <w:tcPr>
            <w:tcW w:w="1440" w:type="dxa"/>
            <w:tcBorders>
              <w:top w:val="nil"/>
              <w:left w:val="nil"/>
              <w:bottom w:val="single" w:sz="8" w:space="0" w:color="auto"/>
              <w:right w:val="single" w:sz="8" w:space="0" w:color="auto"/>
            </w:tcBorders>
            <w:shd w:val="clear" w:color="auto" w:fill="auto"/>
            <w:vAlign w:val="center"/>
          </w:tcPr>
          <w:p w:rsidR="00AC0709" w:rsidRPr="00A22E3F" w:rsidRDefault="004D54FD" w:rsidP="00AC0709">
            <w:pPr>
              <w:widowControl/>
              <w:autoSpaceDE/>
              <w:autoSpaceDN/>
              <w:jc w:val="center"/>
              <w:rPr>
                <w:rFonts w:eastAsia="Times New Roman"/>
                <w:b/>
                <w:color w:val="000000"/>
                <w:sz w:val="16"/>
                <w:szCs w:val="16"/>
              </w:rPr>
            </w:pPr>
            <w:r w:rsidRPr="00A22E3F">
              <w:rPr>
                <w:rFonts w:eastAsia="Times New Roman"/>
                <w:b/>
                <w:color w:val="000000"/>
                <w:sz w:val="16"/>
                <w:szCs w:val="16"/>
              </w:rPr>
              <w:t>$53,301 +</w:t>
            </w:r>
          </w:p>
        </w:tc>
      </w:tr>
      <w:tr w:rsidR="00E51074" w:rsidRPr="00A22E3F" w:rsidTr="00916F13">
        <w:trPr>
          <w:trHeight w:val="375"/>
        </w:trPr>
        <w:tc>
          <w:tcPr>
            <w:tcW w:w="1260" w:type="dxa"/>
            <w:tcBorders>
              <w:top w:val="nil"/>
              <w:left w:val="single" w:sz="4" w:space="0" w:color="auto"/>
              <w:bottom w:val="single" w:sz="4" w:space="0" w:color="auto"/>
              <w:right w:val="single" w:sz="4" w:space="0" w:color="auto"/>
            </w:tcBorders>
            <w:shd w:val="clear" w:color="000000" w:fill="F0F0E8"/>
            <w:noWrap/>
            <w:vAlign w:val="center"/>
            <w:hideMark/>
          </w:tcPr>
          <w:p w:rsidR="00AC0709" w:rsidRPr="00A22E3F" w:rsidRDefault="00AC0709" w:rsidP="00AC0709">
            <w:pPr>
              <w:widowControl/>
              <w:autoSpaceDE/>
              <w:autoSpaceDN/>
              <w:jc w:val="center"/>
              <w:rPr>
                <w:rFonts w:eastAsia="Times New Roman"/>
                <w:b/>
                <w:bCs/>
                <w:color w:val="000000"/>
                <w:sz w:val="16"/>
                <w:szCs w:val="16"/>
              </w:rPr>
            </w:pPr>
            <w:r w:rsidRPr="00A22E3F">
              <w:rPr>
                <w:rFonts w:eastAsia="Times New Roman"/>
                <w:b/>
                <w:bCs/>
                <w:color w:val="000000"/>
                <w:sz w:val="16"/>
                <w:szCs w:val="16"/>
              </w:rPr>
              <w:t>4</w:t>
            </w:r>
          </w:p>
        </w:tc>
        <w:tc>
          <w:tcPr>
            <w:tcW w:w="1260" w:type="dxa"/>
            <w:tcBorders>
              <w:top w:val="nil"/>
              <w:left w:val="single" w:sz="8" w:space="0" w:color="auto"/>
              <w:bottom w:val="single" w:sz="8" w:space="0" w:color="auto"/>
              <w:right w:val="single" w:sz="8" w:space="0" w:color="auto"/>
            </w:tcBorders>
            <w:shd w:val="clear" w:color="auto" w:fill="auto"/>
            <w:vAlign w:val="center"/>
          </w:tcPr>
          <w:p w:rsidR="00AC0709" w:rsidRPr="00A22E3F" w:rsidRDefault="004D54FD" w:rsidP="00AC0709">
            <w:pPr>
              <w:widowControl/>
              <w:autoSpaceDE/>
              <w:autoSpaceDN/>
              <w:jc w:val="center"/>
              <w:rPr>
                <w:rFonts w:eastAsia="Times New Roman"/>
                <w:b/>
                <w:color w:val="000000"/>
                <w:sz w:val="16"/>
                <w:szCs w:val="16"/>
              </w:rPr>
            </w:pPr>
            <w:r w:rsidRPr="00A22E3F">
              <w:rPr>
                <w:rFonts w:eastAsia="Times New Roman"/>
                <w:b/>
                <w:color w:val="000000"/>
                <w:sz w:val="16"/>
                <w:szCs w:val="16"/>
              </w:rPr>
              <w:t>0 - $32,150</w:t>
            </w:r>
          </w:p>
        </w:tc>
        <w:tc>
          <w:tcPr>
            <w:tcW w:w="1710" w:type="dxa"/>
            <w:tcBorders>
              <w:top w:val="nil"/>
              <w:left w:val="nil"/>
              <w:bottom w:val="single" w:sz="8" w:space="0" w:color="auto"/>
              <w:right w:val="single" w:sz="8" w:space="0" w:color="auto"/>
            </w:tcBorders>
            <w:shd w:val="clear" w:color="auto" w:fill="auto"/>
            <w:vAlign w:val="center"/>
          </w:tcPr>
          <w:p w:rsidR="00AC0709" w:rsidRPr="00A22E3F" w:rsidRDefault="004D54FD" w:rsidP="00AC0709">
            <w:pPr>
              <w:widowControl/>
              <w:autoSpaceDE/>
              <w:autoSpaceDN/>
              <w:jc w:val="center"/>
              <w:rPr>
                <w:rFonts w:eastAsia="Times New Roman"/>
                <w:b/>
                <w:color w:val="000000"/>
                <w:sz w:val="16"/>
                <w:szCs w:val="16"/>
              </w:rPr>
            </w:pPr>
            <w:r w:rsidRPr="00A22E3F">
              <w:rPr>
                <w:rFonts w:eastAsia="Times New Roman"/>
                <w:b/>
                <w:color w:val="000000"/>
                <w:sz w:val="16"/>
                <w:szCs w:val="16"/>
              </w:rPr>
              <w:t>$32,151 - $40,188</w:t>
            </w:r>
          </w:p>
        </w:tc>
        <w:tc>
          <w:tcPr>
            <w:tcW w:w="1710" w:type="dxa"/>
            <w:tcBorders>
              <w:top w:val="nil"/>
              <w:left w:val="nil"/>
              <w:bottom w:val="single" w:sz="8" w:space="0" w:color="auto"/>
              <w:right w:val="single" w:sz="8" w:space="0" w:color="auto"/>
            </w:tcBorders>
            <w:shd w:val="clear" w:color="auto" w:fill="auto"/>
            <w:vAlign w:val="center"/>
          </w:tcPr>
          <w:p w:rsidR="00AC0709" w:rsidRPr="00A22E3F" w:rsidRDefault="004D54FD" w:rsidP="00AC0709">
            <w:pPr>
              <w:widowControl/>
              <w:autoSpaceDE/>
              <w:autoSpaceDN/>
              <w:jc w:val="center"/>
              <w:rPr>
                <w:rFonts w:eastAsia="Times New Roman"/>
                <w:b/>
                <w:color w:val="000000"/>
                <w:sz w:val="16"/>
                <w:szCs w:val="16"/>
              </w:rPr>
            </w:pPr>
            <w:r w:rsidRPr="00A22E3F">
              <w:rPr>
                <w:rFonts w:eastAsia="Times New Roman"/>
                <w:b/>
                <w:color w:val="000000"/>
                <w:sz w:val="16"/>
                <w:szCs w:val="16"/>
              </w:rPr>
              <w:t>$40,189 - $48,225</w:t>
            </w:r>
          </w:p>
        </w:tc>
        <w:tc>
          <w:tcPr>
            <w:tcW w:w="1800" w:type="dxa"/>
            <w:tcBorders>
              <w:top w:val="nil"/>
              <w:left w:val="nil"/>
              <w:bottom w:val="single" w:sz="8" w:space="0" w:color="auto"/>
              <w:right w:val="single" w:sz="8" w:space="0" w:color="auto"/>
            </w:tcBorders>
            <w:shd w:val="clear" w:color="auto" w:fill="auto"/>
            <w:vAlign w:val="center"/>
          </w:tcPr>
          <w:p w:rsidR="00AC0709" w:rsidRPr="00A22E3F" w:rsidRDefault="004D54FD" w:rsidP="00AC0709">
            <w:pPr>
              <w:widowControl/>
              <w:autoSpaceDE/>
              <w:autoSpaceDN/>
              <w:jc w:val="center"/>
              <w:rPr>
                <w:rFonts w:eastAsia="Times New Roman"/>
                <w:b/>
                <w:color w:val="000000"/>
                <w:sz w:val="16"/>
                <w:szCs w:val="16"/>
              </w:rPr>
            </w:pPr>
            <w:r w:rsidRPr="00A22E3F">
              <w:rPr>
                <w:rFonts w:eastAsia="Times New Roman"/>
                <w:b/>
                <w:color w:val="000000"/>
                <w:sz w:val="16"/>
                <w:szCs w:val="16"/>
              </w:rPr>
              <w:t>$48,226 - $52,263</w:t>
            </w:r>
          </w:p>
        </w:tc>
        <w:tc>
          <w:tcPr>
            <w:tcW w:w="1890" w:type="dxa"/>
            <w:tcBorders>
              <w:top w:val="nil"/>
              <w:left w:val="nil"/>
              <w:bottom w:val="single" w:sz="8" w:space="0" w:color="auto"/>
              <w:right w:val="single" w:sz="8" w:space="0" w:color="auto"/>
            </w:tcBorders>
            <w:shd w:val="clear" w:color="auto" w:fill="auto"/>
            <w:vAlign w:val="center"/>
          </w:tcPr>
          <w:p w:rsidR="00AC0709" w:rsidRPr="00A22E3F" w:rsidRDefault="004D54FD" w:rsidP="00AC0709">
            <w:pPr>
              <w:widowControl/>
              <w:autoSpaceDE/>
              <w:autoSpaceDN/>
              <w:jc w:val="center"/>
              <w:rPr>
                <w:rFonts w:eastAsia="Times New Roman"/>
                <w:b/>
                <w:color w:val="000000"/>
                <w:sz w:val="16"/>
                <w:szCs w:val="16"/>
              </w:rPr>
            </w:pPr>
            <w:r w:rsidRPr="00A22E3F">
              <w:rPr>
                <w:rFonts w:eastAsia="Times New Roman"/>
                <w:b/>
                <w:color w:val="000000"/>
                <w:sz w:val="16"/>
                <w:szCs w:val="16"/>
              </w:rPr>
              <w:t>$52,264 - $64,300</w:t>
            </w:r>
          </w:p>
        </w:tc>
        <w:tc>
          <w:tcPr>
            <w:tcW w:w="1440" w:type="dxa"/>
            <w:tcBorders>
              <w:top w:val="nil"/>
              <w:left w:val="nil"/>
              <w:bottom w:val="single" w:sz="8" w:space="0" w:color="auto"/>
              <w:right w:val="single" w:sz="8" w:space="0" w:color="auto"/>
            </w:tcBorders>
            <w:shd w:val="clear" w:color="auto" w:fill="auto"/>
            <w:vAlign w:val="center"/>
          </w:tcPr>
          <w:p w:rsidR="00AC0709" w:rsidRPr="00A22E3F" w:rsidRDefault="004D54FD" w:rsidP="00AC0709">
            <w:pPr>
              <w:widowControl/>
              <w:autoSpaceDE/>
              <w:autoSpaceDN/>
              <w:jc w:val="center"/>
              <w:rPr>
                <w:rFonts w:eastAsia="Times New Roman"/>
                <w:b/>
                <w:color w:val="000000"/>
                <w:sz w:val="16"/>
                <w:szCs w:val="16"/>
              </w:rPr>
            </w:pPr>
            <w:r w:rsidRPr="00A22E3F">
              <w:rPr>
                <w:rFonts w:eastAsia="Times New Roman"/>
                <w:b/>
                <w:color w:val="000000"/>
                <w:sz w:val="16"/>
                <w:szCs w:val="16"/>
              </w:rPr>
              <w:t>$64,301 +</w:t>
            </w:r>
          </w:p>
        </w:tc>
      </w:tr>
      <w:tr w:rsidR="00E51074" w:rsidRPr="00A22E3F" w:rsidTr="00916F13">
        <w:trPr>
          <w:trHeight w:val="37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AC0709" w:rsidRPr="00A22E3F" w:rsidRDefault="00AC0709" w:rsidP="00AC0709">
            <w:pPr>
              <w:widowControl/>
              <w:autoSpaceDE/>
              <w:autoSpaceDN/>
              <w:jc w:val="center"/>
              <w:rPr>
                <w:rFonts w:eastAsia="Times New Roman"/>
                <w:b/>
                <w:bCs/>
                <w:color w:val="000000"/>
                <w:sz w:val="16"/>
                <w:szCs w:val="16"/>
              </w:rPr>
            </w:pPr>
            <w:r w:rsidRPr="00A22E3F">
              <w:rPr>
                <w:rFonts w:eastAsia="Times New Roman"/>
                <w:b/>
                <w:bCs/>
                <w:color w:val="000000"/>
                <w:sz w:val="16"/>
                <w:szCs w:val="16"/>
              </w:rPr>
              <w:t>5</w:t>
            </w:r>
          </w:p>
        </w:tc>
        <w:tc>
          <w:tcPr>
            <w:tcW w:w="1260" w:type="dxa"/>
            <w:tcBorders>
              <w:top w:val="nil"/>
              <w:left w:val="single" w:sz="8" w:space="0" w:color="auto"/>
              <w:bottom w:val="single" w:sz="8" w:space="0" w:color="auto"/>
              <w:right w:val="single" w:sz="8" w:space="0" w:color="auto"/>
            </w:tcBorders>
            <w:shd w:val="clear" w:color="auto" w:fill="auto"/>
            <w:vAlign w:val="center"/>
          </w:tcPr>
          <w:p w:rsidR="00AC0709" w:rsidRPr="00A22E3F" w:rsidRDefault="004D54FD" w:rsidP="00AC0709">
            <w:pPr>
              <w:widowControl/>
              <w:autoSpaceDE/>
              <w:autoSpaceDN/>
              <w:jc w:val="center"/>
              <w:rPr>
                <w:rFonts w:eastAsia="Times New Roman"/>
                <w:b/>
                <w:color w:val="000000"/>
                <w:sz w:val="16"/>
                <w:szCs w:val="16"/>
              </w:rPr>
            </w:pPr>
            <w:r w:rsidRPr="00A22E3F">
              <w:rPr>
                <w:rFonts w:eastAsia="Times New Roman"/>
                <w:b/>
                <w:color w:val="000000"/>
                <w:sz w:val="16"/>
                <w:szCs w:val="16"/>
              </w:rPr>
              <w:t>0 - $37,650</w:t>
            </w:r>
          </w:p>
        </w:tc>
        <w:tc>
          <w:tcPr>
            <w:tcW w:w="1710" w:type="dxa"/>
            <w:tcBorders>
              <w:top w:val="nil"/>
              <w:left w:val="nil"/>
              <w:bottom w:val="single" w:sz="8" w:space="0" w:color="auto"/>
              <w:right w:val="single" w:sz="8" w:space="0" w:color="auto"/>
            </w:tcBorders>
            <w:shd w:val="clear" w:color="auto" w:fill="auto"/>
            <w:vAlign w:val="center"/>
          </w:tcPr>
          <w:p w:rsidR="00AC0709" w:rsidRPr="00A22E3F" w:rsidRDefault="004D54FD" w:rsidP="00AC0709">
            <w:pPr>
              <w:widowControl/>
              <w:autoSpaceDE/>
              <w:autoSpaceDN/>
              <w:jc w:val="center"/>
              <w:rPr>
                <w:rFonts w:eastAsia="Times New Roman"/>
                <w:b/>
                <w:color w:val="000000"/>
                <w:sz w:val="16"/>
                <w:szCs w:val="16"/>
              </w:rPr>
            </w:pPr>
            <w:r w:rsidRPr="00A22E3F">
              <w:rPr>
                <w:rFonts w:eastAsia="Times New Roman"/>
                <w:b/>
                <w:color w:val="000000"/>
                <w:sz w:val="16"/>
                <w:szCs w:val="16"/>
              </w:rPr>
              <w:t>$37,651 - $47,063</w:t>
            </w:r>
          </w:p>
        </w:tc>
        <w:tc>
          <w:tcPr>
            <w:tcW w:w="1710" w:type="dxa"/>
            <w:tcBorders>
              <w:top w:val="nil"/>
              <w:left w:val="nil"/>
              <w:bottom w:val="single" w:sz="8" w:space="0" w:color="auto"/>
              <w:right w:val="single" w:sz="8" w:space="0" w:color="auto"/>
            </w:tcBorders>
            <w:shd w:val="clear" w:color="auto" w:fill="auto"/>
            <w:vAlign w:val="center"/>
          </w:tcPr>
          <w:p w:rsidR="00AC0709" w:rsidRPr="00A22E3F" w:rsidRDefault="004D54FD" w:rsidP="00AC0709">
            <w:pPr>
              <w:widowControl/>
              <w:autoSpaceDE/>
              <w:autoSpaceDN/>
              <w:jc w:val="center"/>
              <w:rPr>
                <w:rFonts w:eastAsia="Times New Roman"/>
                <w:b/>
                <w:color w:val="000000"/>
                <w:sz w:val="16"/>
                <w:szCs w:val="16"/>
              </w:rPr>
            </w:pPr>
            <w:r w:rsidRPr="00A22E3F">
              <w:rPr>
                <w:rFonts w:eastAsia="Times New Roman"/>
                <w:b/>
                <w:color w:val="000000"/>
                <w:sz w:val="16"/>
                <w:szCs w:val="16"/>
              </w:rPr>
              <w:t>$47,064 - $56,475</w:t>
            </w:r>
          </w:p>
        </w:tc>
        <w:tc>
          <w:tcPr>
            <w:tcW w:w="1800" w:type="dxa"/>
            <w:tcBorders>
              <w:top w:val="nil"/>
              <w:left w:val="nil"/>
              <w:bottom w:val="single" w:sz="8" w:space="0" w:color="auto"/>
              <w:right w:val="single" w:sz="8" w:space="0" w:color="auto"/>
            </w:tcBorders>
            <w:shd w:val="clear" w:color="auto" w:fill="auto"/>
            <w:vAlign w:val="center"/>
          </w:tcPr>
          <w:p w:rsidR="00AC0709" w:rsidRPr="00A22E3F" w:rsidRDefault="004D54FD" w:rsidP="00AC0709">
            <w:pPr>
              <w:widowControl/>
              <w:autoSpaceDE/>
              <w:autoSpaceDN/>
              <w:jc w:val="center"/>
              <w:rPr>
                <w:rFonts w:eastAsia="Times New Roman"/>
                <w:b/>
                <w:color w:val="000000"/>
                <w:sz w:val="16"/>
                <w:szCs w:val="16"/>
              </w:rPr>
            </w:pPr>
            <w:r w:rsidRPr="00A22E3F">
              <w:rPr>
                <w:rFonts w:eastAsia="Times New Roman"/>
                <w:b/>
                <w:color w:val="000000"/>
                <w:sz w:val="16"/>
                <w:szCs w:val="16"/>
              </w:rPr>
              <w:t>$56,476 - $65,888</w:t>
            </w:r>
          </w:p>
        </w:tc>
        <w:tc>
          <w:tcPr>
            <w:tcW w:w="1890" w:type="dxa"/>
            <w:tcBorders>
              <w:top w:val="nil"/>
              <w:left w:val="nil"/>
              <w:bottom w:val="single" w:sz="8" w:space="0" w:color="auto"/>
              <w:right w:val="single" w:sz="8" w:space="0" w:color="auto"/>
            </w:tcBorders>
            <w:shd w:val="clear" w:color="auto" w:fill="auto"/>
            <w:vAlign w:val="center"/>
          </w:tcPr>
          <w:p w:rsidR="00AC0709" w:rsidRPr="00A22E3F" w:rsidRDefault="004D54FD" w:rsidP="00AC0709">
            <w:pPr>
              <w:widowControl/>
              <w:autoSpaceDE/>
              <w:autoSpaceDN/>
              <w:jc w:val="center"/>
              <w:rPr>
                <w:rFonts w:eastAsia="Times New Roman"/>
                <w:b/>
                <w:color w:val="000000"/>
                <w:sz w:val="16"/>
                <w:szCs w:val="16"/>
              </w:rPr>
            </w:pPr>
            <w:r w:rsidRPr="00A22E3F">
              <w:rPr>
                <w:rFonts w:eastAsia="Times New Roman"/>
                <w:b/>
                <w:color w:val="000000"/>
                <w:sz w:val="16"/>
                <w:szCs w:val="16"/>
              </w:rPr>
              <w:t>$65,889 - $75,300</w:t>
            </w:r>
          </w:p>
        </w:tc>
        <w:tc>
          <w:tcPr>
            <w:tcW w:w="1440" w:type="dxa"/>
            <w:tcBorders>
              <w:top w:val="nil"/>
              <w:left w:val="nil"/>
              <w:bottom w:val="single" w:sz="8" w:space="0" w:color="auto"/>
              <w:right w:val="single" w:sz="8" w:space="0" w:color="auto"/>
            </w:tcBorders>
            <w:shd w:val="clear" w:color="auto" w:fill="auto"/>
            <w:vAlign w:val="center"/>
          </w:tcPr>
          <w:p w:rsidR="00AC0709" w:rsidRPr="00A22E3F" w:rsidRDefault="004D54FD" w:rsidP="00AC0709">
            <w:pPr>
              <w:widowControl/>
              <w:autoSpaceDE/>
              <w:autoSpaceDN/>
              <w:jc w:val="center"/>
              <w:rPr>
                <w:rFonts w:eastAsia="Times New Roman"/>
                <w:b/>
                <w:color w:val="000000"/>
                <w:sz w:val="16"/>
                <w:szCs w:val="16"/>
              </w:rPr>
            </w:pPr>
            <w:r w:rsidRPr="00A22E3F">
              <w:rPr>
                <w:rFonts w:eastAsia="Times New Roman"/>
                <w:b/>
                <w:color w:val="000000"/>
                <w:sz w:val="16"/>
                <w:szCs w:val="16"/>
              </w:rPr>
              <w:t>$75,301 +</w:t>
            </w:r>
          </w:p>
        </w:tc>
      </w:tr>
      <w:tr w:rsidR="00E51074" w:rsidRPr="00A22E3F" w:rsidTr="00916F13">
        <w:trPr>
          <w:trHeight w:val="375"/>
        </w:trPr>
        <w:tc>
          <w:tcPr>
            <w:tcW w:w="1260" w:type="dxa"/>
            <w:tcBorders>
              <w:top w:val="nil"/>
              <w:left w:val="single" w:sz="4" w:space="0" w:color="auto"/>
              <w:bottom w:val="single" w:sz="4" w:space="0" w:color="auto"/>
              <w:right w:val="single" w:sz="4" w:space="0" w:color="auto"/>
            </w:tcBorders>
            <w:shd w:val="clear" w:color="000000" w:fill="F0F0E8"/>
            <w:noWrap/>
            <w:vAlign w:val="center"/>
            <w:hideMark/>
          </w:tcPr>
          <w:p w:rsidR="00AC0709" w:rsidRPr="00A22E3F" w:rsidRDefault="00AC0709" w:rsidP="00AC0709">
            <w:pPr>
              <w:widowControl/>
              <w:autoSpaceDE/>
              <w:autoSpaceDN/>
              <w:jc w:val="center"/>
              <w:rPr>
                <w:rFonts w:eastAsia="Times New Roman"/>
                <w:b/>
                <w:bCs/>
                <w:color w:val="000000"/>
                <w:sz w:val="16"/>
                <w:szCs w:val="16"/>
              </w:rPr>
            </w:pPr>
            <w:r w:rsidRPr="00A22E3F">
              <w:rPr>
                <w:rFonts w:eastAsia="Times New Roman"/>
                <w:b/>
                <w:bCs/>
                <w:color w:val="000000"/>
                <w:sz w:val="16"/>
                <w:szCs w:val="16"/>
              </w:rPr>
              <w:t>6</w:t>
            </w:r>
          </w:p>
        </w:tc>
        <w:tc>
          <w:tcPr>
            <w:tcW w:w="1260" w:type="dxa"/>
            <w:tcBorders>
              <w:top w:val="nil"/>
              <w:left w:val="single" w:sz="8" w:space="0" w:color="auto"/>
              <w:bottom w:val="single" w:sz="8" w:space="0" w:color="auto"/>
              <w:right w:val="single" w:sz="8" w:space="0" w:color="auto"/>
            </w:tcBorders>
            <w:shd w:val="clear" w:color="auto" w:fill="auto"/>
            <w:vAlign w:val="center"/>
          </w:tcPr>
          <w:p w:rsidR="00AC0709" w:rsidRPr="00A22E3F" w:rsidRDefault="004D54FD" w:rsidP="00AC0709">
            <w:pPr>
              <w:widowControl/>
              <w:autoSpaceDE/>
              <w:autoSpaceDN/>
              <w:jc w:val="center"/>
              <w:rPr>
                <w:rFonts w:eastAsia="Times New Roman"/>
                <w:b/>
                <w:color w:val="000000"/>
                <w:sz w:val="16"/>
                <w:szCs w:val="16"/>
              </w:rPr>
            </w:pPr>
            <w:r w:rsidRPr="00A22E3F">
              <w:rPr>
                <w:rFonts w:eastAsia="Times New Roman"/>
                <w:b/>
                <w:color w:val="000000"/>
                <w:sz w:val="16"/>
                <w:szCs w:val="16"/>
              </w:rPr>
              <w:t>0 - $43,150</w:t>
            </w:r>
          </w:p>
        </w:tc>
        <w:tc>
          <w:tcPr>
            <w:tcW w:w="1710" w:type="dxa"/>
            <w:tcBorders>
              <w:top w:val="nil"/>
              <w:left w:val="nil"/>
              <w:bottom w:val="single" w:sz="8" w:space="0" w:color="auto"/>
              <w:right w:val="single" w:sz="8" w:space="0" w:color="auto"/>
            </w:tcBorders>
            <w:shd w:val="clear" w:color="auto" w:fill="auto"/>
            <w:vAlign w:val="center"/>
          </w:tcPr>
          <w:p w:rsidR="00AC0709" w:rsidRPr="00A22E3F" w:rsidRDefault="004D54FD" w:rsidP="00AC0709">
            <w:pPr>
              <w:widowControl/>
              <w:autoSpaceDE/>
              <w:autoSpaceDN/>
              <w:jc w:val="center"/>
              <w:rPr>
                <w:rFonts w:eastAsia="Times New Roman"/>
                <w:b/>
                <w:color w:val="000000"/>
                <w:sz w:val="16"/>
                <w:szCs w:val="16"/>
              </w:rPr>
            </w:pPr>
            <w:r w:rsidRPr="00A22E3F">
              <w:rPr>
                <w:rFonts w:eastAsia="Times New Roman"/>
                <w:b/>
                <w:color w:val="000000"/>
                <w:sz w:val="16"/>
                <w:szCs w:val="16"/>
              </w:rPr>
              <w:t>$43,151 - $53,938</w:t>
            </w:r>
          </w:p>
        </w:tc>
        <w:tc>
          <w:tcPr>
            <w:tcW w:w="1710" w:type="dxa"/>
            <w:tcBorders>
              <w:top w:val="nil"/>
              <w:left w:val="nil"/>
              <w:bottom w:val="single" w:sz="8" w:space="0" w:color="auto"/>
              <w:right w:val="single" w:sz="8" w:space="0" w:color="auto"/>
            </w:tcBorders>
            <w:shd w:val="clear" w:color="auto" w:fill="auto"/>
            <w:vAlign w:val="center"/>
          </w:tcPr>
          <w:p w:rsidR="00AC0709" w:rsidRPr="00A22E3F" w:rsidRDefault="004D54FD" w:rsidP="00AC0709">
            <w:pPr>
              <w:widowControl/>
              <w:autoSpaceDE/>
              <w:autoSpaceDN/>
              <w:jc w:val="center"/>
              <w:rPr>
                <w:rFonts w:eastAsia="Times New Roman"/>
                <w:b/>
                <w:color w:val="000000"/>
                <w:sz w:val="16"/>
                <w:szCs w:val="16"/>
              </w:rPr>
            </w:pPr>
            <w:r w:rsidRPr="00A22E3F">
              <w:rPr>
                <w:rFonts w:eastAsia="Times New Roman"/>
                <w:b/>
                <w:color w:val="000000"/>
                <w:sz w:val="16"/>
                <w:szCs w:val="16"/>
              </w:rPr>
              <w:t>$53,939 - $64,725</w:t>
            </w:r>
          </w:p>
        </w:tc>
        <w:tc>
          <w:tcPr>
            <w:tcW w:w="1800" w:type="dxa"/>
            <w:tcBorders>
              <w:top w:val="nil"/>
              <w:left w:val="nil"/>
              <w:bottom w:val="single" w:sz="8" w:space="0" w:color="auto"/>
              <w:right w:val="single" w:sz="8" w:space="0" w:color="auto"/>
            </w:tcBorders>
            <w:shd w:val="clear" w:color="auto" w:fill="auto"/>
            <w:vAlign w:val="center"/>
          </w:tcPr>
          <w:p w:rsidR="00AC0709" w:rsidRPr="00A22E3F" w:rsidRDefault="004D54FD" w:rsidP="00AC0709">
            <w:pPr>
              <w:widowControl/>
              <w:autoSpaceDE/>
              <w:autoSpaceDN/>
              <w:jc w:val="center"/>
              <w:rPr>
                <w:rFonts w:eastAsia="Times New Roman"/>
                <w:b/>
                <w:color w:val="000000"/>
                <w:sz w:val="16"/>
                <w:szCs w:val="16"/>
              </w:rPr>
            </w:pPr>
            <w:r w:rsidRPr="00A22E3F">
              <w:rPr>
                <w:rFonts w:eastAsia="Times New Roman"/>
                <w:b/>
                <w:color w:val="000000"/>
                <w:sz w:val="16"/>
                <w:szCs w:val="16"/>
              </w:rPr>
              <w:t>$64,726 - $75,513</w:t>
            </w:r>
          </w:p>
        </w:tc>
        <w:tc>
          <w:tcPr>
            <w:tcW w:w="1890" w:type="dxa"/>
            <w:tcBorders>
              <w:top w:val="nil"/>
              <w:left w:val="nil"/>
              <w:bottom w:val="single" w:sz="8" w:space="0" w:color="auto"/>
              <w:right w:val="single" w:sz="8" w:space="0" w:color="auto"/>
            </w:tcBorders>
            <w:shd w:val="clear" w:color="auto" w:fill="auto"/>
            <w:vAlign w:val="center"/>
          </w:tcPr>
          <w:p w:rsidR="00AC0709" w:rsidRPr="00A22E3F" w:rsidRDefault="004D54FD" w:rsidP="00AC0709">
            <w:pPr>
              <w:widowControl/>
              <w:autoSpaceDE/>
              <w:autoSpaceDN/>
              <w:jc w:val="center"/>
              <w:rPr>
                <w:rFonts w:eastAsia="Times New Roman"/>
                <w:b/>
                <w:color w:val="000000"/>
                <w:sz w:val="16"/>
                <w:szCs w:val="16"/>
              </w:rPr>
            </w:pPr>
            <w:r w:rsidRPr="00A22E3F">
              <w:rPr>
                <w:rFonts w:eastAsia="Times New Roman"/>
                <w:b/>
                <w:color w:val="000000"/>
                <w:sz w:val="16"/>
                <w:szCs w:val="16"/>
              </w:rPr>
              <w:t>$75,514 - $</w:t>
            </w:r>
            <w:r w:rsidR="00A16AEF" w:rsidRPr="00A22E3F">
              <w:rPr>
                <w:rFonts w:eastAsia="Times New Roman"/>
                <w:b/>
                <w:color w:val="000000"/>
                <w:sz w:val="16"/>
                <w:szCs w:val="16"/>
              </w:rPr>
              <w:t>86,300</w:t>
            </w:r>
          </w:p>
        </w:tc>
        <w:tc>
          <w:tcPr>
            <w:tcW w:w="1440" w:type="dxa"/>
            <w:tcBorders>
              <w:top w:val="nil"/>
              <w:left w:val="nil"/>
              <w:bottom w:val="single" w:sz="8" w:space="0" w:color="auto"/>
              <w:right w:val="single" w:sz="8" w:space="0" w:color="auto"/>
            </w:tcBorders>
            <w:shd w:val="clear" w:color="auto" w:fill="auto"/>
            <w:vAlign w:val="center"/>
          </w:tcPr>
          <w:p w:rsidR="00AC0709" w:rsidRPr="00A22E3F" w:rsidRDefault="00A16AEF" w:rsidP="00AC0709">
            <w:pPr>
              <w:widowControl/>
              <w:autoSpaceDE/>
              <w:autoSpaceDN/>
              <w:jc w:val="center"/>
              <w:rPr>
                <w:rFonts w:eastAsia="Times New Roman"/>
                <w:b/>
                <w:color w:val="000000"/>
                <w:sz w:val="16"/>
                <w:szCs w:val="16"/>
              </w:rPr>
            </w:pPr>
            <w:r w:rsidRPr="00A22E3F">
              <w:rPr>
                <w:rFonts w:eastAsia="Times New Roman"/>
                <w:b/>
                <w:color w:val="000000"/>
                <w:sz w:val="16"/>
                <w:szCs w:val="16"/>
              </w:rPr>
              <w:t>$86,301 +</w:t>
            </w:r>
          </w:p>
        </w:tc>
      </w:tr>
      <w:tr w:rsidR="00E51074" w:rsidRPr="00A22E3F" w:rsidTr="00916F13">
        <w:trPr>
          <w:trHeight w:val="37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AC0709" w:rsidRPr="00A22E3F" w:rsidRDefault="00AC0709" w:rsidP="00AC0709">
            <w:pPr>
              <w:widowControl/>
              <w:autoSpaceDE/>
              <w:autoSpaceDN/>
              <w:jc w:val="center"/>
              <w:rPr>
                <w:rFonts w:eastAsia="Times New Roman"/>
                <w:b/>
                <w:bCs/>
                <w:color w:val="000000"/>
                <w:sz w:val="16"/>
                <w:szCs w:val="16"/>
              </w:rPr>
            </w:pPr>
            <w:r w:rsidRPr="00A22E3F">
              <w:rPr>
                <w:rFonts w:eastAsia="Times New Roman"/>
                <w:b/>
                <w:bCs/>
                <w:color w:val="000000"/>
                <w:sz w:val="16"/>
                <w:szCs w:val="16"/>
              </w:rPr>
              <w:t>7</w:t>
            </w:r>
          </w:p>
        </w:tc>
        <w:tc>
          <w:tcPr>
            <w:tcW w:w="1260" w:type="dxa"/>
            <w:tcBorders>
              <w:top w:val="nil"/>
              <w:left w:val="single" w:sz="8" w:space="0" w:color="auto"/>
              <w:bottom w:val="single" w:sz="8" w:space="0" w:color="auto"/>
              <w:right w:val="single" w:sz="8" w:space="0" w:color="auto"/>
            </w:tcBorders>
            <w:shd w:val="clear" w:color="auto" w:fill="auto"/>
            <w:vAlign w:val="center"/>
          </w:tcPr>
          <w:p w:rsidR="00AC0709" w:rsidRPr="00A22E3F" w:rsidRDefault="00A16AEF" w:rsidP="00AC0709">
            <w:pPr>
              <w:widowControl/>
              <w:autoSpaceDE/>
              <w:autoSpaceDN/>
              <w:jc w:val="center"/>
              <w:rPr>
                <w:rFonts w:eastAsia="Times New Roman"/>
                <w:b/>
                <w:color w:val="000000"/>
                <w:sz w:val="16"/>
                <w:szCs w:val="16"/>
              </w:rPr>
            </w:pPr>
            <w:r w:rsidRPr="00A22E3F">
              <w:rPr>
                <w:rFonts w:eastAsia="Times New Roman"/>
                <w:b/>
                <w:color w:val="000000"/>
                <w:sz w:val="16"/>
                <w:szCs w:val="16"/>
              </w:rPr>
              <w:t>0 - $48,650</w:t>
            </w:r>
          </w:p>
        </w:tc>
        <w:tc>
          <w:tcPr>
            <w:tcW w:w="1710" w:type="dxa"/>
            <w:tcBorders>
              <w:top w:val="nil"/>
              <w:left w:val="nil"/>
              <w:bottom w:val="single" w:sz="8" w:space="0" w:color="auto"/>
              <w:right w:val="single" w:sz="8" w:space="0" w:color="auto"/>
            </w:tcBorders>
            <w:shd w:val="clear" w:color="auto" w:fill="auto"/>
            <w:vAlign w:val="center"/>
          </w:tcPr>
          <w:p w:rsidR="00AC0709" w:rsidRPr="00A22E3F" w:rsidRDefault="00A16AEF" w:rsidP="00AC0709">
            <w:pPr>
              <w:widowControl/>
              <w:autoSpaceDE/>
              <w:autoSpaceDN/>
              <w:jc w:val="center"/>
              <w:rPr>
                <w:rFonts w:eastAsia="Times New Roman"/>
                <w:b/>
                <w:color w:val="000000"/>
                <w:sz w:val="16"/>
                <w:szCs w:val="16"/>
              </w:rPr>
            </w:pPr>
            <w:r w:rsidRPr="00A22E3F">
              <w:rPr>
                <w:rFonts w:eastAsia="Times New Roman"/>
                <w:b/>
                <w:color w:val="000000"/>
                <w:sz w:val="16"/>
                <w:szCs w:val="16"/>
              </w:rPr>
              <w:t>$48,651 - $60,813</w:t>
            </w:r>
          </w:p>
        </w:tc>
        <w:tc>
          <w:tcPr>
            <w:tcW w:w="1710" w:type="dxa"/>
            <w:tcBorders>
              <w:top w:val="nil"/>
              <w:left w:val="nil"/>
              <w:bottom w:val="single" w:sz="8" w:space="0" w:color="auto"/>
              <w:right w:val="single" w:sz="8" w:space="0" w:color="auto"/>
            </w:tcBorders>
            <w:shd w:val="clear" w:color="auto" w:fill="auto"/>
            <w:vAlign w:val="center"/>
          </w:tcPr>
          <w:p w:rsidR="00AC0709" w:rsidRPr="00A22E3F" w:rsidRDefault="00A16AEF" w:rsidP="00AC0709">
            <w:pPr>
              <w:widowControl/>
              <w:autoSpaceDE/>
              <w:autoSpaceDN/>
              <w:jc w:val="center"/>
              <w:rPr>
                <w:rFonts w:eastAsia="Times New Roman"/>
                <w:b/>
                <w:color w:val="000000"/>
                <w:sz w:val="16"/>
                <w:szCs w:val="16"/>
              </w:rPr>
            </w:pPr>
            <w:r w:rsidRPr="00A22E3F">
              <w:rPr>
                <w:rFonts w:eastAsia="Times New Roman"/>
                <w:b/>
                <w:color w:val="000000"/>
                <w:sz w:val="16"/>
                <w:szCs w:val="16"/>
              </w:rPr>
              <w:t>$60,814 - $72,975</w:t>
            </w:r>
          </w:p>
        </w:tc>
        <w:tc>
          <w:tcPr>
            <w:tcW w:w="1800" w:type="dxa"/>
            <w:tcBorders>
              <w:top w:val="nil"/>
              <w:left w:val="nil"/>
              <w:bottom w:val="single" w:sz="8" w:space="0" w:color="auto"/>
              <w:right w:val="single" w:sz="8" w:space="0" w:color="auto"/>
            </w:tcBorders>
            <w:shd w:val="clear" w:color="auto" w:fill="auto"/>
            <w:vAlign w:val="center"/>
          </w:tcPr>
          <w:p w:rsidR="00AC0709" w:rsidRPr="00A22E3F" w:rsidRDefault="00A16AEF" w:rsidP="00AC0709">
            <w:pPr>
              <w:widowControl/>
              <w:autoSpaceDE/>
              <w:autoSpaceDN/>
              <w:jc w:val="center"/>
              <w:rPr>
                <w:rFonts w:eastAsia="Times New Roman"/>
                <w:b/>
                <w:color w:val="000000"/>
                <w:sz w:val="16"/>
                <w:szCs w:val="16"/>
              </w:rPr>
            </w:pPr>
            <w:r w:rsidRPr="00A22E3F">
              <w:rPr>
                <w:rFonts w:eastAsia="Times New Roman"/>
                <w:b/>
                <w:color w:val="000000"/>
                <w:sz w:val="16"/>
                <w:szCs w:val="16"/>
              </w:rPr>
              <w:t>$72,976 - $85,138</w:t>
            </w:r>
          </w:p>
        </w:tc>
        <w:tc>
          <w:tcPr>
            <w:tcW w:w="1890" w:type="dxa"/>
            <w:tcBorders>
              <w:top w:val="nil"/>
              <w:left w:val="nil"/>
              <w:bottom w:val="single" w:sz="8" w:space="0" w:color="auto"/>
              <w:right w:val="single" w:sz="8" w:space="0" w:color="auto"/>
            </w:tcBorders>
            <w:shd w:val="clear" w:color="auto" w:fill="auto"/>
            <w:vAlign w:val="center"/>
          </w:tcPr>
          <w:p w:rsidR="00AC0709" w:rsidRPr="00A22E3F" w:rsidRDefault="00A16AEF" w:rsidP="00AC0709">
            <w:pPr>
              <w:widowControl/>
              <w:autoSpaceDE/>
              <w:autoSpaceDN/>
              <w:jc w:val="center"/>
              <w:rPr>
                <w:rFonts w:eastAsia="Times New Roman"/>
                <w:b/>
                <w:color w:val="000000"/>
                <w:sz w:val="16"/>
                <w:szCs w:val="16"/>
              </w:rPr>
            </w:pPr>
            <w:r w:rsidRPr="00A22E3F">
              <w:rPr>
                <w:rFonts w:eastAsia="Times New Roman"/>
                <w:b/>
                <w:color w:val="000000"/>
                <w:sz w:val="16"/>
                <w:szCs w:val="16"/>
              </w:rPr>
              <w:t>$85,139 - $97,300</w:t>
            </w:r>
          </w:p>
        </w:tc>
        <w:tc>
          <w:tcPr>
            <w:tcW w:w="1440" w:type="dxa"/>
            <w:tcBorders>
              <w:top w:val="nil"/>
              <w:left w:val="nil"/>
              <w:bottom w:val="single" w:sz="8" w:space="0" w:color="auto"/>
              <w:right w:val="single" w:sz="8" w:space="0" w:color="auto"/>
            </w:tcBorders>
            <w:shd w:val="clear" w:color="auto" w:fill="auto"/>
            <w:vAlign w:val="center"/>
          </w:tcPr>
          <w:p w:rsidR="00AC0709" w:rsidRPr="00A22E3F" w:rsidRDefault="00A16AEF" w:rsidP="00AC0709">
            <w:pPr>
              <w:widowControl/>
              <w:autoSpaceDE/>
              <w:autoSpaceDN/>
              <w:jc w:val="center"/>
              <w:rPr>
                <w:rFonts w:eastAsia="Times New Roman"/>
                <w:b/>
                <w:color w:val="000000"/>
                <w:sz w:val="16"/>
                <w:szCs w:val="16"/>
              </w:rPr>
            </w:pPr>
            <w:r w:rsidRPr="00A22E3F">
              <w:rPr>
                <w:rFonts w:eastAsia="Times New Roman"/>
                <w:b/>
                <w:color w:val="000000"/>
                <w:sz w:val="16"/>
                <w:szCs w:val="16"/>
              </w:rPr>
              <w:t>$97,301 +</w:t>
            </w:r>
          </w:p>
        </w:tc>
      </w:tr>
      <w:tr w:rsidR="00E51074" w:rsidRPr="00A22E3F" w:rsidTr="00916F13">
        <w:trPr>
          <w:trHeight w:val="375"/>
        </w:trPr>
        <w:tc>
          <w:tcPr>
            <w:tcW w:w="1260" w:type="dxa"/>
            <w:tcBorders>
              <w:top w:val="nil"/>
              <w:left w:val="single" w:sz="4" w:space="0" w:color="auto"/>
              <w:bottom w:val="single" w:sz="4" w:space="0" w:color="auto"/>
              <w:right w:val="single" w:sz="4" w:space="0" w:color="auto"/>
            </w:tcBorders>
            <w:shd w:val="clear" w:color="000000" w:fill="F0F0E8"/>
            <w:noWrap/>
            <w:vAlign w:val="center"/>
            <w:hideMark/>
          </w:tcPr>
          <w:p w:rsidR="00AC0709" w:rsidRPr="00A22E3F" w:rsidRDefault="00AC0709" w:rsidP="00AC0709">
            <w:pPr>
              <w:widowControl/>
              <w:autoSpaceDE/>
              <w:autoSpaceDN/>
              <w:jc w:val="center"/>
              <w:rPr>
                <w:rFonts w:eastAsia="Times New Roman"/>
                <w:b/>
                <w:bCs/>
                <w:color w:val="000000"/>
                <w:sz w:val="16"/>
                <w:szCs w:val="16"/>
              </w:rPr>
            </w:pPr>
            <w:r w:rsidRPr="00A22E3F">
              <w:rPr>
                <w:rFonts w:eastAsia="Times New Roman"/>
                <w:b/>
                <w:bCs/>
                <w:color w:val="000000"/>
                <w:sz w:val="16"/>
                <w:szCs w:val="16"/>
              </w:rPr>
              <w:t>8</w:t>
            </w:r>
          </w:p>
        </w:tc>
        <w:tc>
          <w:tcPr>
            <w:tcW w:w="1260" w:type="dxa"/>
            <w:tcBorders>
              <w:top w:val="nil"/>
              <w:left w:val="single" w:sz="8" w:space="0" w:color="auto"/>
              <w:bottom w:val="single" w:sz="8" w:space="0" w:color="auto"/>
              <w:right w:val="single" w:sz="8" w:space="0" w:color="auto"/>
            </w:tcBorders>
            <w:shd w:val="clear" w:color="auto" w:fill="auto"/>
            <w:vAlign w:val="center"/>
          </w:tcPr>
          <w:p w:rsidR="00AC0709" w:rsidRPr="00A22E3F" w:rsidRDefault="00A16AEF" w:rsidP="00AC0709">
            <w:pPr>
              <w:widowControl/>
              <w:autoSpaceDE/>
              <w:autoSpaceDN/>
              <w:jc w:val="center"/>
              <w:rPr>
                <w:rFonts w:eastAsia="Times New Roman"/>
                <w:b/>
                <w:color w:val="000000"/>
                <w:sz w:val="16"/>
                <w:szCs w:val="16"/>
              </w:rPr>
            </w:pPr>
            <w:r w:rsidRPr="00A22E3F">
              <w:rPr>
                <w:rFonts w:eastAsia="Times New Roman"/>
                <w:b/>
                <w:color w:val="000000"/>
                <w:sz w:val="16"/>
                <w:szCs w:val="16"/>
              </w:rPr>
              <w:t>0 - $54,150</w:t>
            </w:r>
          </w:p>
        </w:tc>
        <w:tc>
          <w:tcPr>
            <w:tcW w:w="1710" w:type="dxa"/>
            <w:tcBorders>
              <w:top w:val="nil"/>
              <w:left w:val="nil"/>
              <w:bottom w:val="single" w:sz="8" w:space="0" w:color="auto"/>
              <w:right w:val="single" w:sz="8" w:space="0" w:color="auto"/>
            </w:tcBorders>
            <w:shd w:val="clear" w:color="auto" w:fill="auto"/>
            <w:vAlign w:val="center"/>
          </w:tcPr>
          <w:p w:rsidR="00AC0709" w:rsidRPr="00A22E3F" w:rsidRDefault="00A16AEF" w:rsidP="00AC0709">
            <w:pPr>
              <w:widowControl/>
              <w:autoSpaceDE/>
              <w:autoSpaceDN/>
              <w:jc w:val="center"/>
              <w:rPr>
                <w:rFonts w:eastAsia="Times New Roman"/>
                <w:b/>
                <w:color w:val="000000"/>
                <w:sz w:val="16"/>
                <w:szCs w:val="16"/>
              </w:rPr>
            </w:pPr>
            <w:r w:rsidRPr="00A22E3F">
              <w:rPr>
                <w:rFonts w:eastAsia="Times New Roman"/>
                <w:b/>
                <w:color w:val="000000"/>
                <w:sz w:val="16"/>
                <w:szCs w:val="16"/>
              </w:rPr>
              <w:t>$54,151 - $67,688</w:t>
            </w:r>
          </w:p>
        </w:tc>
        <w:tc>
          <w:tcPr>
            <w:tcW w:w="1710" w:type="dxa"/>
            <w:tcBorders>
              <w:top w:val="nil"/>
              <w:left w:val="nil"/>
              <w:bottom w:val="single" w:sz="8" w:space="0" w:color="auto"/>
              <w:right w:val="single" w:sz="8" w:space="0" w:color="auto"/>
            </w:tcBorders>
            <w:shd w:val="clear" w:color="auto" w:fill="auto"/>
            <w:vAlign w:val="center"/>
          </w:tcPr>
          <w:p w:rsidR="00AC0709" w:rsidRPr="00A22E3F" w:rsidRDefault="00A16AEF" w:rsidP="00AC0709">
            <w:pPr>
              <w:widowControl/>
              <w:autoSpaceDE/>
              <w:autoSpaceDN/>
              <w:jc w:val="center"/>
              <w:rPr>
                <w:rFonts w:eastAsia="Times New Roman"/>
                <w:b/>
                <w:color w:val="000000"/>
                <w:sz w:val="16"/>
                <w:szCs w:val="16"/>
              </w:rPr>
            </w:pPr>
            <w:r w:rsidRPr="00A22E3F">
              <w:rPr>
                <w:rFonts w:eastAsia="Times New Roman"/>
                <w:b/>
                <w:color w:val="000000"/>
                <w:sz w:val="16"/>
                <w:szCs w:val="16"/>
              </w:rPr>
              <w:t>$67,689 - $81,225</w:t>
            </w:r>
          </w:p>
        </w:tc>
        <w:tc>
          <w:tcPr>
            <w:tcW w:w="1800" w:type="dxa"/>
            <w:tcBorders>
              <w:top w:val="nil"/>
              <w:left w:val="nil"/>
              <w:bottom w:val="single" w:sz="8" w:space="0" w:color="auto"/>
              <w:right w:val="single" w:sz="8" w:space="0" w:color="auto"/>
            </w:tcBorders>
            <w:shd w:val="clear" w:color="auto" w:fill="auto"/>
            <w:vAlign w:val="center"/>
          </w:tcPr>
          <w:p w:rsidR="00AC0709" w:rsidRPr="00A22E3F" w:rsidRDefault="00A16AEF" w:rsidP="00AC0709">
            <w:pPr>
              <w:widowControl/>
              <w:autoSpaceDE/>
              <w:autoSpaceDN/>
              <w:jc w:val="center"/>
              <w:rPr>
                <w:rFonts w:eastAsia="Times New Roman"/>
                <w:b/>
                <w:color w:val="000000"/>
                <w:sz w:val="16"/>
                <w:szCs w:val="16"/>
              </w:rPr>
            </w:pPr>
            <w:r w:rsidRPr="00A22E3F">
              <w:rPr>
                <w:rFonts w:eastAsia="Times New Roman"/>
                <w:b/>
                <w:color w:val="000000"/>
                <w:sz w:val="16"/>
                <w:szCs w:val="16"/>
              </w:rPr>
              <w:t>$81,226 - $94,763</w:t>
            </w:r>
          </w:p>
        </w:tc>
        <w:tc>
          <w:tcPr>
            <w:tcW w:w="1890" w:type="dxa"/>
            <w:tcBorders>
              <w:top w:val="nil"/>
              <w:left w:val="nil"/>
              <w:bottom w:val="single" w:sz="8" w:space="0" w:color="auto"/>
              <w:right w:val="single" w:sz="8" w:space="0" w:color="auto"/>
            </w:tcBorders>
            <w:shd w:val="clear" w:color="auto" w:fill="auto"/>
            <w:vAlign w:val="center"/>
          </w:tcPr>
          <w:p w:rsidR="00AC0709" w:rsidRPr="00A22E3F" w:rsidRDefault="00A16AEF" w:rsidP="00AC0709">
            <w:pPr>
              <w:widowControl/>
              <w:autoSpaceDE/>
              <w:autoSpaceDN/>
              <w:jc w:val="center"/>
              <w:rPr>
                <w:rFonts w:eastAsia="Times New Roman"/>
                <w:b/>
                <w:color w:val="000000"/>
                <w:sz w:val="16"/>
                <w:szCs w:val="16"/>
              </w:rPr>
            </w:pPr>
            <w:r w:rsidRPr="00A22E3F">
              <w:rPr>
                <w:rFonts w:eastAsia="Times New Roman"/>
                <w:b/>
                <w:color w:val="000000"/>
                <w:sz w:val="16"/>
                <w:szCs w:val="16"/>
              </w:rPr>
              <w:t>$94,764 - $108,300</w:t>
            </w:r>
          </w:p>
        </w:tc>
        <w:tc>
          <w:tcPr>
            <w:tcW w:w="1440" w:type="dxa"/>
            <w:tcBorders>
              <w:top w:val="nil"/>
              <w:left w:val="nil"/>
              <w:bottom w:val="single" w:sz="8" w:space="0" w:color="auto"/>
              <w:right w:val="single" w:sz="8" w:space="0" w:color="auto"/>
            </w:tcBorders>
            <w:shd w:val="clear" w:color="auto" w:fill="auto"/>
            <w:vAlign w:val="center"/>
          </w:tcPr>
          <w:p w:rsidR="00AC0709" w:rsidRPr="00A22E3F" w:rsidRDefault="00A16AEF" w:rsidP="00AC0709">
            <w:pPr>
              <w:widowControl/>
              <w:autoSpaceDE/>
              <w:autoSpaceDN/>
              <w:jc w:val="center"/>
              <w:rPr>
                <w:rFonts w:eastAsia="Times New Roman"/>
                <w:b/>
                <w:color w:val="000000"/>
                <w:sz w:val="16"/>
                <w:szCs w:val="16"/>
              </w:rPr>
            </w:pPr>
            <w:r w:rsidRPr="00A22E3F">
              <w:rPr>
                <w:rFonts w:eastAsia="Times New Roman"/>
                <w:b/>
                <w:color w:val="000000"/>
                <w:sz w:val="16"/>
                <w:szCs w:val="16"/>
              </w:rPr>
              <w:t>$108,301 +</w:t>
            </w:r>
          </w:p>
        </w:tc>
      </w:tr>
      <w:tr w:rsidR="00E51074" w:rsidRPr="00A22E3F" w:rsidTr="00916F13">
        <w:trPr>
          <w:trHeight w:val="375"/>
        </w:trPr>
        <w:tc>
          <w:tcPr>
            <w:tcW w:w="1260" w:type="dxa"/>
            <w:tcBorders>
              <w:top w:val="nil"/>
              <w:left w:val="single" w:sz="4" w:space="0" w:color="auto"/>
              <w:bottom w:val="single" w:sz="4" w:space="0" w:color="auto"/>
              <w:right w:val="single" w:sz="4" w:space="0" w:color="auto"/>
            </w:tcBorders>
            <w:shd w:val="clear" w:color="000000" w:fill="F0F0E8"/>
            <w:noWrap/>
            <w:vAlign w:val="center"/>
          </w:tcPr>
          <w:p w:rsidR="00F26B5C" w:rsidRPr="00A22E3F" w:rsidRDefault="00E51074" w:rsidP="00AC0709">
            <w:pPr>
              <w:widowControl/>
              <w:autoSpaceDE/>
              <w:autoSpaceDN/>
              <w:jc w:val="center"/>
              <w:rPr>
                <w:rFonts w:eastAsia="Times New Roman"/>
                <w:b/>
                <w:bCs/>
                <w:color w:val="000000"/>
                <w:sz w:val="16"/>
                <w:szCs w:val="16"/>
              </w:rPr>
            </w:pPr>
            <w:r w:rsidRPr="00A22E3F">
              <w:rPr>
                <w:rFonts w:eastAsia="Times New Roman"/>
                <w:b/>
                <w:bCs/>
                <w:color w:val="000000"/>
                <w:sz w:val="16"/>
                <w:szCs w:val="16"/>
              </w:rPr>
              <w:t>9</w:t>
            </w:r>
          </w:p>
        </w:tc>
        <w:tc>
          <w:tcPr>
            <w:tcW w:w="1260" w:type="dxa"/>
            <w:tcBorders>
              <w:top w:val="nil"/>
              <w:left w:val="single" w:sz="8" w:space="0" w:color="auto"/>
              <w:bottom w:val="single" w:sz="8" w:space="0" w:color="auto"/>
              <w:right w:val="single" w:sz="8" w:space="0" w:color="auto"/>
            </w:tcBorders>
            <w:shd w:val="clear" w:color="auto" w:fill="auto"/>
            <w:vAlign w:val="center"/>
          </w:tcPr>
          <w:p w:rsidR="00F26B5C" w:rsidRPr="00A22E3F" w:rsidRDefault="00A16AEF" w:rsidP="00AC0709">
            <w:pPr>
              <w:widowControl/>
              <w:autoSpaceDE/>
              <w:autoSpaceDN/>
              <w:jc w:val="center"/>
              <w:rPr>
                <w:rFonts w:eastAsia="Times New Roman"/>
                <w:b/>
                <w:color w:val="000000"/>
                <w:sz w:val="16"/>
                <w:szCs w:val="16"/>
              </w:rPr>
            </w:pPr>
            <w:r w:rsidRPr="00A22E3F">
              <w:rPr>
                <w:rFonts w:eastAsia="Times New Roman"/>
                <w:b/>
                <w:color w:val="000000"/>
                <w:sz w:val="16"/>
                <w:szCs w:val="16"/>
              </w:rPr>
              <w:t>0 - $59,650</w:t>
            </w:r>
          </w:p>
        </w:tc>
        <w:tc>
          <w:tcPr>
            <w:tcW w:w="1710" w:type="dxa"/>
            <w:tcBorders>
              <w:top w:val="nil"/>
              <w:left w:val="nil"/>
              <w:bottom w:val="single" w:sz="8" w:space="0" w:color="auto"/>
              <w:right w:val="single" w:sz="8" w:space="0" w:color="auto"/>
            </w:tcBorders>
            <w:shd w:val="clear" w:color="auto" w:fill="auto"/>
            <w:vAlign w:val="center"/>
          </w:tcPr>
          <w:p w:rsidR="00F26B5C" w:rsidRPr="00A22E3F" w:rsidRDefault="00A16AEF" w:rsidP="00AC0709">
            <w:pPr>
              <w:widowControl/>
              <w:autoSpaceDE/>
              <w:autoSpaceDN/>
              <w:jc w:val="center"/>
              <w:rPr>
                <w:rFonts w:eastAsia="Times New Roman"/>
                <w:b/>
                <w:color w:val="000000"/>
                <w:sz w:val="16"/>
                <w:szCs w:val="16"/>
              </w:rPr>
            </w:pPr>
            <w:r w:rsidRPr="00A22E3F">
              <w:rPr>
                <w:rFonts w:eastAsia="Times New Roman"/>
                <w:b/>
                <w:color w:val="000000"/>
                <w:sz w:val="16"/>
                <w:szCs w:val="16"/>
              </w:rPr>
              <w:t>$59,651 - $74,563</w:t>
            </w:r>
          </w:p>
        </w:tc>
        <w:tc>
          <w:tcPr>
            <w:tcW w:w="1710" w:type="dxa"/>
            <w:tcBorders>
              <w:top w:val="nil"/>
              <w:left w:val="nil"/>
              <w:bottom w:val="single" w:sz="8" w:space="0" w:color="auto"/>
              <w:right w:val="single" w:sz="8" w:space="0" w:color="auto"/>
            </w:tcBorders>
            <w:shd w:val="clear" w:color="auto" w:fill="auto"/>
            <w:vAlign w:val="center"/>
          </w:tcPr>
          <w:p w:rsidR="00F26B5C" w:rsidRPr="00A22E3F" w:rsidRDefault="00A16AEF" w:rsidP="00AC0709">
            <w:pPr>
              <w:widowControl/>
              <w:autoSpaceDE/>
              <w:autoSpaceDN/>
              <w:jc w:val="center"/>
              <w:rPr>
                <w:rFonts w:eastAsia="Times New Roman"/>
                <w:b/>
                <w:color w:val="000000"/>
                <w:sz w:val="16"/>
                <w:szCs w:val="16"/>
              </w:rPr>
            </w:pPr>
            <w:r w:rsidRPr="00A22E3F">
              <w:rPr>
                <w:rFonts w:eastAsia="Times New Roman"/>
                <w:b/>
                <w:color w:val="000000"/>
                <w:sz w:val="16"/>
                <w:szCs w:val="16"/>
              </w:rPr>
              <w:t>$74,564 - $89,475</w:t>
            </w:r>
          </w:p>
        </w:tc>
        <w:tc>
          <w:tcPr>
            <w:tcW w:w="1800" w:type="dxa"/>
            <w:tcBorders>
              <w:top w:val="nil"/>
              <w:left w:val="nil"/>
              <w:bottom w:val="single" w:sz="8" w:space="0" w:color="auto"/>
              <w:right w:val="single" w:sz="8" w:space="0" w:color="auto"/>
            </w:tcBorders>
            <w:shd w:val="clear" w:color="auto" w:fill="auto"/>
            <w:vAlign w:val="center"/>
          </w:tcPr>
          <w:p w:rsidR="00F26B5C" w:rsidRPr="00A22E3F" w:rsidRDefault="00A16AEF" w:rsidP="00AC0709">
            <w:pPr>
              <w:widowControl/>
              <w:autoSpaceDE/>
              <w:autoSpaceDN/>
              <w:jc w:val="center"/>
              <w:rPr>
                <w:rFonts w:eastAsia="Times New Roman"/>
                <w:b/>
                <w:color w:val="000000"/>
                <w:sz w:val="16"/>
                <w:szCs w:val="16"/>
              </w:rPr>
            </w:pPr>
            <w:r w:rsidRPr="00A22E3F">
              <w:rPr>
                <w:rFonts w:eastAsia="Times New Roman"/>
                <w:b/>
                <w:color w:val="000000"/>
                <w:sz w:val="16"/>
                <w:szCs w:val="16"/>
              </w:rPr>
              <w:t>$89,476 - $104,388</w:t>
            </w:r>
          </w:p>
        </w:tc>
        <w:tc>
          <w:tcPr>
            <w:tcW w:w="1890" w:type="dxa"/>
            <w:tcBorders>
              <w:top w:val="nil"/>
              <w:left w:val="nil"/>
              <w:bottom w:val="single" w:sz="8" w:space="0" w:color="auto"/>
              <w:right w:val="single" w:sz="8" w:space="0" w:color="auto"/>
            </w:tcBorders>
            <w:shd w:val="clear" w:color="auto" w:fill="auto"/>
            <w:vAlign w:val="center"/>
          </w:tcPr>
          <w:p w:rsidR="00F26B5C" w:rsidRPr="00A22E3F" w:rsidRDefault="00A16AEF" w:rsidP="00AC0709">
            <w:pPr>
              <w:widowControl/>
              <w:autoSpaceDE/>
              <w:autoSpaceDN/>
              <w:jc w:val="center"/>
              <w:rPr>
                <w:rFonts w:eastAsia="Times New Roman"/>
                <w:b/>
                <w:color w:val="000000"/>
                <w:sz w:val="16"/>
                <w:szCs w:val="16"/>
              </w:rPr>
            </w:pPr>
            <w:r w:rsidRPr="00A22E3F">
              <w:rPr>
                <w:rFonts w:eastAsia="Times New Roman"/>
                <w:b/>
                <w:color w:val="000000"/>
                <w:sz w:val="16"/>
                <w:szCs w:val="16"/>
              </w:rPr>
              <w:t>$104,389 - $119,300</w:t>
            </w:r>
          </w:p>
        </w:tc>
        <w:tc>
          <w:tcPr>
            <w:tcW w:w="1440" w:type="dxa"/>
            <w:tcBorders>
              <w:top w:val="nil"/>
              <w:left w:val="nil"/>
              <w:bottom w:val="single" w:sz="8" w:space="0" w:color="auto"/>
              <w:right w:val="single" w:sz="8" w:space="0" w:color="auto"/>
            </w:tcBorders>
            <w:shd w:val="clear" w:color="auto" w:fill="auto"/>
            <w:vAlign w:val="center"/>
          </w:tcPr>
          <w:p w:rsidR="00F26B5C" w:rsidRPr="00A22E3F" w:rsidRDefault="00A16AEF" w:rsidP="00AC0709">
            <w:pPr>
              <w:widowControl/>
              <w:autoSpaceDE/>
              <w:autoSpaceDN/>
              <w:jc w:val="center"/>
              <w:rPr>
                <w:rFonts w:eastAsia="Times New Roman"/>
                <w:b/>
                <w:color w:val="000000"/>
                <w:sz w:val="16"/>
                <w:szCs w:val="16"/>
              </w:rPr>
            </w:pPr>
            <w:r w:rsidRPr="00A22E3F">
              <w:rPr>
                <w:rFonts w:eastAsia="Times New Roman"/>
                <w:b/>
                <w:color w:val="000000"/>
                <w:sz w:val="16"/>
                <w:szCs w:val="16"/>
              </w:rPr>
              <w:t>$119,301 +</w:t>
            </w:r>
          </w:p>
        </w:tc>
      </w:tr>
      <w:tr w:rsidR="00E51074" w:rsidRPr="00A22E3F" w:rsidTr="00916F13">
        <w:trPr>
          <w:trHeight w:val="375"/>
        </w:trPr>
        <w:tc>
          <w:tcPr>
            <w:tcW w:w="1260" w:type="dxa"/>
            <w:tcBorders>
              <w:top w:val="nil"/>
              <w:left w:val="single" w:sz="4" w:space="0" w:color="auto"/>
              <w:bottom w:val="single" w:sz="4" w:space="0" w:color="auto"/>
              <w:right w:val="single" w:sz="4" w:space="0" w:color="auto"/>
            </w:tcBorders>
            <w:shd w:val="clear" w:color="000000" w:fill="F0F0E8"/>
            <w:noWrap/>
            <w:vAlign w:val="center"/>
          </w:tcPr>
          <w:p w:rsidR="00F26B5C" w:rsidRPr="00A22E3F" w:rsidRDefault="00E51074" w:rsidP="00AC0709">
            <w:pPr>
              <w:widowControl/>
              <w:autoSpaceDE/>
              <w:autoSpaceDN/>
              <w:jc w:val="center"/>
              <w:rPr>
                <w:rFonts w:eastAsia="Times New Roman"/>
                <w:b/>
                <w:bCs/>
                <w:color w:val="000000"/>
                <w:sz w:val="16"/>
                <w:szCs w:val="16"/>
              </w:rPr>
            </w:pPr>
            <w:r w:rsidRPr="00A22E3F">
              <w:rPr>
                <w:rFonts w:eastAsia="Times New Roman"/>
                <w:b/>
                <w:bCs/>
                <w:color w:val="000000"/>
                <w:sz w:val="16"/>
                <w:szCs w:val="16"/>
              </w:rPr>
              <w:t>10</w:t>
            </w:r>
          </w:p>
        </w:tc>
        <w:tc>
          <w:tcPr>
            <w:tcW w:w="1260" w:type="dxa"/>
            <w:tcBorders>
              <w:top w:val="nil"/>
              <w:left w:val="single" w:sz="8" w:space="0" w:color="auto"/>
              <w:bottom w:val="single" w:sz="8" w:space="0" w:color="auto"/>
              <w:right w:val="single" w:sz="8" w:space="0" w:color="auto"/>
            </w:tcBorders>
            <w:shd w:val="clear" w:color="auto" w:fill="auto"/>
            <w:vAlign w:val="center"/>
          </w:tcPr>
          <w:p w:rsidR="00F26B5C" w:rsidRPr="00A22E3F" w:rsidRDefault="00A16AEF" w:rsidP="00AC0709">
            <w:pPr>
              <w:widowControl/>
              <w:autoSpaceDE/>
              <w:autoSpaceDN/>
              <w:jc w:val="center"/>
              <w:rPr>
                <w:rFonts w:eastAsia="Times New Roman"/>
                <w:b/>
                <w:color w:val="000000"/>
                <w:sz w:val="16"/>
                <w:szCs w:val="16"/>
              </w:rPr>
            </w:pPr>
            <w:r w:rsidRPr="00A22E3F">
              <w:rPr>
                <w:rFonts w:eastAsia="Times New Roman"/>
                <w:b/>
                <w:color w:val="000000"/>
                <w:sz w:val="16"/>
                <w:szCs w:val="16"/>
              </w:rPr>
              <w:t>0 - $65,150</w:t>
            </w:r>
          </w:p>
        </w:tc>
        <w:tc>
          <w:tcPr>
            <w:tcW w:w="1710" w:type="dxa"/>
            <w:tcBorders>
              <w:top w:val="nil"/>
              <w:left w:val="nil"/>
              <w:bottom w:val="single" w:sz="8" w:space="0" w:color="auto"/>
              <w:right w:val="single" w:sz="8" w:space="0" w:color="auto"/>
            </w:tcBorders>
            <w:shd w:val="clear" w:color="auto" w:fill="auto"/>
            <w:vAlign w:val="center"/>
          </w:tcPr>
          <w:p w:rsidR="00F26B5C" w:rsidRPr="00A22E3F" w:rsidRDefault="00A16AEF" w:rsidP="00AC0709">
            <w:pPr>
              <w:widowControl/>
              <w:autoSpaceDE/>
              <w:autoSpaceDN/>
              <w:jc w:val="center"/>
              <w:rPr>
                <w:rFonts w:eastAsia="Times New Roman"/>
                <w:b/>
                <w:color w:val="000000"/>
                <w:sz w:val="16"/>
                <w:szCs w:val="16"/>
              </w:rPr>
            </w:pPr>
            <w:r w:rsidRPr="00A22E3F">
              <w:rPr>
                <w:rFonts w:eastAsia="Times New Roman"/>
                <w:b/>
                <w:color w:val="000000"/>
                <w:sz w:val="16"/>
                <w:szCs w:val="16"/>
              </w:rPr>
              <w:t>$65,151 - $81,438</w:t>
            </w:r>
          </w:p>
        </w:tc>
        <w:tc>
          <w:tcPr>
            <w:tcW w:w="1710" w:type="dxa"/>
            <w:tcBorders>
              <w:top w:val="nil"/>
              <w:left w:val="nil"/>
              <w:bottom w:val="single" w:sz="8" w:space="0" w:color="auto"/>
              <w:right w:val="single" w:sz="8" w:space="0" w:color="auto"/>
            </w:tcBorders>
            <w:shd w:val="clear" w:color="auto" w:fill="auto"/>
            <w:vAlign w:val="center"/>
          </w:tcPr>
          <w:p w:rsidR="00F26B5C" w:rsidRPr="00A22E3F" w:rsidRDefault="00A16AEF" w:rsidP="00AC0709">
            <w:pPr>
              <w:widowControl/>
              <w:autoSpaceDE/>
              <w:autoSpaceDN/>
              <w:jc w:val="center"/>
              <w:rPr>
                <w:rFonts w:eastAsia="Times New Roman"/>
                <w:b/>
                <w:color w:val="000000"/>
                <w:sz w:val="16"/>
                <w:szCs w:val="16"/>
              </w:rPr>
            </w:pPr>
            <w:r w:rsidRPr="00A22E3F">
              <w:rPr>
                <w:rFonts w:eastAsia="Times New Roman"/>
                <w:b/>
                <w:color w:val="000000"/>
                <w:sz w:val="16"/>
                <w:szCs w:val="16"/>
              </w:rPr>
              <w:t>$81,439 - $97,725</w:t>
            </w:r>
          </w:p>
        </w:tc>
        <w:tc>
          <w:tcPr>
            <w:tcW w:w="1800" w:type="dxa"/>
            <w:tcBorders>
              <w:top w:val="nil"/>
              <w:left w:val="nil"/>
              <w:bottom w:val="single" w:sz="8" w:space="0" w:color="auto"/>
              <w:right w:val="single" w:sz="8" w:space="0" w:color="auto"/>
            </w:tcBorders>
            <w:shd w:val="clear" w:color="auto" w:fill="auto"/>
            <w:vAlign w:val="center"/>
          </w:tcPr>
          <w:p w:rsidR="00F26B5C" w:rsidRPr="00A22E3F" w:rsidRDefault="00A16AEF" w:rsidP="00AC0709">
            <w:pPr>
              <w:widowControl/>
              <w:autoSpaceDE/>
              <w:autoSpaceDN/>
              <w:jc w:val="center"/>
              <w:rPr>
                <w:rFonts w:eastAsia="Times New Roman"/>
                <w:b/>
                <w:color w:val="000000"/>
                <w:sz w:val="16"/>
                <w:szCs w:val="16"/>
              </w:rPr>
            </w:pPr>
            <w:r w:rsidRPr="00A22E3F">
              <w:rPr>
                <w:rFonts w:eastAsia="Times New Roman"/>
                <w:b/>
                <w:color w:val="000000"/>
                <w:sz w:val="16"/>
                <w:szCs w:val="16"/>
              </w:rPr>
              <w:t>$97,726 - $114,013</w:t>
            </w:r>
          </w:p>
        </w:tc>
        <w:tc>
          <w:tcPr>
            <w:tcW w:w="1890" w:type="dxa"/>
            <w:tcBorders>
              <w:top w:val="nil"/>
              <w:left w:val="nil"/>
              <w:bottom w:val="single" w:sz="8" w:space="0" w:color="auto"/>
              <w:right w:val="single" w:sz="8" w:space="0" w:color="auto"/>
            </w:tcBorders>
            <w:shd w:val="clear" w:color="auto" w:fill="auto"/>
            <w:vAlign w:val="center"/>
          </w:tcPr>
          <w:p w:rsidR="00F26B5C" w:rsidRPr="00A22E3F" w:rsidRDefault="00A16AEF" w:rsidP="00AC0709">
            <w:pPr>
              <w:widowControl/>
              <w:autoSpaceDE/>
              <w:autoSpaceDN/>
              <w:jc w:val="center"/>
              <w:rPr>
                <w:rFonts w:eastAsia="Times New Roman"/>
                <w:b/>
                <w:color w:val="000000"/>
                <w:sz w:val="16"/>
                <w:szCs w:val="16"/>
              </w:rPr>
            </w:pPr>
            <w:r w:rsidRPr="00A22E3F">
              <w:rPr>
                <w:rFonts w:eastAsia="Times New Roman"/>
                <w:b/>
                <w:color w:val="000000"/>
                <w:sz w:val="16"/>
                <w:szCs w:val="16"/>
              </w:rPr>
              <w:t>$114,014 - $130,300</w:t>
            </w:r>
          </w:p>
        </w:tc>
        <w:tc>
          <w:tcPr>
            <w:tcW w:w="1440" w:type="dxa"/>
            <w:tcBorders>
              <w:top w:val="nil"/>
              <w:left w:val="nil"/>
              <w:bottom w:val="single" w:sz="8" w:space="0" w:color="auto"/>
              <w:right w:val="single" w:sz="8" w:space="0" w:color="auto"/>
            </w:tcBorders>
            <w:shd w:val="clear" w:color="auto" w:fill="auto"/>
            <w:vAlign w:val="center"/>
          </w:tcPr>
          <w:p w:rsidR="00F26B5C" w:rsidRPr="00A22E3F" w:rsidRDefault="00A16AEF" w:rsidP="00AC0709">
            <w:pPr>
              <w:widowControl/>
              <w:autoSpaceDE/>
              <w:autoSpaceDN/>
              <w:jc w:val="center"/>
              <w:rPr>
                <w:rFonts w:eastAsia="Times New Roman"/>
                <w:b/>
                <w:color w:val="000000"/>
                <w:sz w:val="16"/>
                <w:szCs w:val="16"/>
              </w:rPr>
            </w:pPr>
            <w:r w:rsidRPr="00A22E3F">
              <w:rPr>
                <w:rFonts w:eastAsia="Times New Roman"/>
                <w:b/>
                <w:color w:val="000000"/>
                <w:sz w:val="16"/>
                <w:szCs w:val="16"/>
              </w:rPr>
              <w:t>$130,301 +</w:t>
            </w:r>
          </w:p>
        </w:tc>
      </w:tr>
      <w:tr w:rsidR="00AC0709" w:rsidRPr="00A22E3F" w:rsidTr="00916F13">
        <w:trPr>
          <w:trHeight w:val="269"/>
        </w:trPr>
        <w:tc>
          <w:tcPr>
            <w:tcW w:w="1107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0709" w:rsidRPr="00A22E3F" w:rsidRDefault="00AC0709" w:rsidP="00AC0709">
            <w:pPr>
              <w:widowControl/>
              <w:autoSpaceDE/>
              <w:autoSpaceDN/>
              <w:jc w:val="center"/>
              <w:rPr>
                <w:rFonts w:eastAsia="Times New Roman"/>
                <w:b/>
                <w:bCs/>
                <w:color w:val="000000"/>
                <w:sz w:val="16"/>
                <w:szCs w:val="16"/>
              </w:rPr>
            </w:pPr>
            <w:r w:rsidRPr="00A22E3F">
              <w:rPr>
                <w:rFonts w:eastAsia="Times New Roman"/>
                <w:b/>
                <w:bCs/>
                <w:color w:val="000000"/>
                <w:sz w:val="16"/>
                <w:szCs w:val="16"/>
              </w:rPr>
              <w:t xml:space="preserve">For Families with more than </w:t>
            </w:r>
            <w:r w:rsidR="00F26B5C" w:rsidRPr="00A22E3F">
              <w:rPr>
                <w:rFonts w:eastAsia="Times New Roman"/>
                <w:b/>
                <w:bCs/>
                <w:color w:val="000000"/>
                <w:sz w:val="16"/>
                <w:szCs w:val="16"/>
              </w:rPr>
              <w:t>10</w:t>
            </w:r>
            <w:r w:rsidRPr="00A22E3F">
              <w:rPr>
                <w:rFonts w:eastAsia="Times New Roman"/>
                <w:b/>
                <w:bCs/>
                <w:color w:val="000000"/>
                <w:sz w:val="16"/>
                <w:szCs w:val="16"/>
              </w:rPr>
              <w:t xml:space="preserve"> members, add $5</w:t>
            </w:r>
            <w:r w:rsidR="006A78CA" w:rsidRPr="00A22E3F">
              <w:rPr>
                <w:rFonts w:eastAsia="Times New Roman"/>
                <w:b/>
                <w:bCs/>
                <w:color w:val="000000"/>
                <w:sz w:val="16"/>
                <w:szCs w:val="16"/>
              </w:rPr>
              <w:t>,50</w:t>
            </w:r>
            <w:r w:rsidR="00597B02" w:rsidRPr="00A22E3F">
              <w:rPr>
                <w:rFonts w:eastAsia="Times New Roman"/>
                <w:b/>
                <w:bCs/>
                <w:color w:val="000000"/>
                <w:sz w:val="16"/>
                <w:szCs w:val="16"/>
              </w:rPr>
              <w:t>0</w:t>
            </w:r>
            <w:r w:rsidRPr="00A22E3F">
              <w:rPr>
                <w:rFonts w:eastAsia="Times New Roman"/>
                <w:b/>
                <w:bCs/>
                <w:color w:val="000000"/>
                <w:sz w:val="16"/>
                <w:szCs w:val="16"/>
              </w:rPr>
              <w:t xml:space="preserve"> for each additional member</w:t>
            </w:r>
          </w:p>
        </w:tc>
      </w:tr>
    </w:tbl>
    <w:tbl>
      <w:tblPr>
        <w:tblStyle w:val="TableGrid"/>
        <w:tblpPr w:leftFromText="180" w:rightFromText="180" w:vertAnchor="text" w:horzAnchor="margin" w:tblpX="-275" w:tblpY="305"/>
        <w:tblW w:w="11155" w:type="dxa"/>
        <w:tblLayout w:type="fixed"/>
        <w:tblLook w:val="04A0" w:firstRow="1" w:lastRow="0" w:firstColumn="1" w:lastColumn="0" w:noHBand="0" w:noVBand="1"/>
      </w:tblPr>
      <w:tblGrid>
        <w:gridCol w:w="11155"/>
      </w:tblGrid>
      <w:tr w:rsidR="00AC0709" w:rsidRPr="00A22E3F" w:rsidTr="004123F8">
        <w:trPr>
          <w:trHeight w:val="2600"/>
        </w:trPr>
        <w:tc>
          <w:tcPr>
            <w:tcW w:w="11155" w:type="dxa"/>
            <w:hideMark/>
          </w:tcPr>
          <w:p w:rsidR="009E1E61" w:rsidRPr="00A22E3F" w:rsidRDefault="009E1E61" w:rsidP="00916F13">
            <w:pPr>
              <w:rPr>
                <w:rFonts w:ascii="Times New Roman" w:hAnsi="Times New Roman" w:cs="Times New Roman"/>
                <w:b/>
                <w:color w:val="2D2F2E"/>
                <w:sz w:val="20"/>
                <w:szCs w:val="20"/>
              </w:rPr>
            </w:pPr>
          </w:p>
          <w:p w:rsidR="00AC0709" w:rsidRPr="00A22E3F" w:rsidRDefault="00AC0709" w:rsidP="00916F13">
            <w:pPr>
              <w:rPr>
                <w:rFonts w:ascii="Times New Roman" w:hAnsi="Times New Roman" w:cs="Times New Roman"/>
                <w:b/>
                <w:bCs/>
                <w:i/>
                <w:iCs/>
                <w:color w:val="2D2F2E"/>
                <w:sz w:val="20"/>
                <w:szCs w:val="20"/>
              </w:rPr>
            </w:pPr>
            <w:r w:rsidRPr="00A22E3F">
              <w:rPr>
                <w:rFonts w:ascii="Times New Roman" w:hAnsi="Times New Roman" w:cs="Times New Roman"/>
                <w:b/>
                <w:color w:val="2D2F2E"/>
                <w:sz w:val="20"/>
                <w:szCs w:val="20"/>
              </w:rPr>
              <w:t xml:space="preserve">All sliding fee levels will receive a 100% discount of charge with a nominal fee or discounted rate as outlined below.  Persons over 200% of FPG will be responsible for the full charge and receive no discount**.  </w:t>
            </w:r>
            <w:r w:rsidRPr="00A22E3F">
              <w:rPr>
                <w:rFonts w:ascii="Times New Roman" w:hAnsi="Times New Roman" w:cs="Times New Roman"/>
                <w:b/>
                <w:color w:val="2D2F2E"/>
                <w:sz w:val="20"/>
                <w:szCs w:val="20"/>
              </w:rPr>
              <w:br/>
            </w:r>
            <w:r w:rsidRPr="00A22E3F">
              <w:rPr>
                <w:rFonts w:ascii="Times New Roman" w:hAnsi="Times New Roman" w:cs="Times New Roman"/>
                <w:b/>
                <w:color w:val="2D2F2E"/>
                <w:sz w:val="20"/>
                <w:szCs w:val="20"/>
              </w:rPr>
              <w:br/>
            </w:r>
            <w:r w:rsidRPr="00A22E3F">
              <w:rPr>
                <w:rFonts w:ascii="Times New Roman" w:hAnsi="Times New Roman" w:cs="Times New Roman"/>
                <w:b/>
                <w:bCs/>
                <w:color w:val="2D2F2E"/>
                <w:sz w:val="20"/>
                <w:szCs w:val="20"/>
              </w:rPr>
              <w:t>**Any p</w:t>
            </w:r>
            <w:r w:rsidRPr="00A22E3F">
              <w:rPr>
                <w:rFonts w:ascii="Times New Roman" w:hAnsi="Times New Roman" w:cs="Times New Roman"/>
                <w:b/>
                <w:bCs/>
                <w:i/>
                <w:iCs/>
                <w:color w:val="2D2F2E"/>
                <w:sz w:val="20"/>
                <w:szCs w:val="20"/>
              </w:rPr>
              <w:t>atients paying in full at the time of service will receive a 35% discount on services rendered.  This discount will be in addition to the Sliding Fee Scale Discount for patients that qualify.</w:t>
            </w:r>
          </w:p>
          <w:p w:rsidR="00AC0709" w:rsidRPr="00A22E3F" w:rsidRDefault="00AC0709" w:rsidP="00916F13">
            <w:pPr>
              <w:rPr>
                <w:rFonts w:ascii="Times New Roman" w:hAnsi="Times New Roman" w:cs="Times New Roman"/>
                <w:b/>
                <w:color w:val="2D2F2E"/>
                <w:sz w:val="20"/>
                <w:szCs w:val="20"/>
              </w:rPr>
            </w:pPr>
          </w:p>
          <w:p w:rsidR="00AC0709" w:rsidRPr="00A22E3F" w:rsidRDefault="00AC0709" w:rsidP="00916F13">
            <w:pPr>
              <w:pStyle w:val="BodyText"/>
              <w:spacing w:before="212" w:line="271" w:lineRule="auto"/>
              <w:ind w:left="110" w:right="135" w:hanging="6"/>
              <w:rPr>
                <w:rFonts w:ascii="Times New Roman" w:hAnsi="Times New Roman" w:cs="Times New Roman"/>
                <w:b/>
                <w:color w:val="2D2F2E"/>
                <w:sz w:val="20"/>
                <w:szCs w:val="20"/>
              </w:rPr>
            </w:pPr>
            <w:r w:rsidRPr="00A22E3F">
              <w:rPr>
                <w:rFonts w:ascii="Times New Roman" w:hAnsi="Times New Roman" w:cs="Times New Roman"/>
                <w:b/>
                <w:color w:val="2D2F2E"/>
                <w:sz w:val="20"/>
                <w:szCs w:val="20"/>
              </w:rPr>
              <w:t>Patients qualifying for a sliding scale discount will be expected to pay a nominal (flat) fee for Level I and a discounted rate for Level II-IV based on our sliding fee scale at the time services are rendered. This payment will cover all charges incurred as part of a single visit, including ancillary services such as those received from laboratory and injections. Charges for all services rendered are to be recognized at their full value within the KMHA fee schedule and fully discounted apart from the applicable flat fee established for the services.</w:t>
            </w:r>
          </w:p>
          <w:p w:rsidR="00AC0709" w:rsidRPr="00A22E3F" w:rsidRDefault="00AC0709" w:rsidP="00916F13">
            <w:pPr>
              <w:pStyle w:val="BodyText"/>
              <w:spacing w:before="196"/>
              <w:ind w:left="114"/>
              <w:rPr>
                <w:rFonts w:ascii="Times New Roman" w:hAnsi="Times New Roman" w:cs="Times New Roman"/>
                <w:b/>
                <w:color w:val="2C2D2D"/>
                <w:sz w:val="16"/>
                <w:szCs w:val="16"/>
              </w:rPr>
            </w:pPr>
            <w:r w:rsidRPr="00A22E3F">
              <w:rPr>
                <w:rFonts w:ascii="Times New Roman" w:hAnsi="Times New Roman" w:cs="Times New Roman"/>
                <w:b/>
                <w:color w:val="2C2D2D"/>
                <w:sz w:val="20"/>
                <w:szCs w:val="20"/>
                <w:u w:val="single" w:color="2C2D2D"/>
              </w:rPr>
              <w:t xml:space="preserve">Applicability: </w:t>
            </w:r>
            <w:r w:rsidRPr="00A22E3F">
              <w:rPr>
                <w:rFonts w:ascii="Times New Roman" w:hAnsi="Times New Roman" w:cs="Times New Roman"/>
                <w:b/>
                <w:color w:val="2C2D2D"/>
                <w:sz w:val="20"/>
                <w:szCs w:val="20"/>
              </w:rPr>
              <w:t xml:space="preserve"> This policy applies to all patients and all services offered at the clinic.</w:t>
            </w:r>
            <w:r w:rsidRPr="00A22E3F">
              <w:rPr>
                <w:b/>
                <w:sz w:val="20"/>
                <w:szCs w:val="20"/>
              </w:rPr>
              <w:t xml:space="preserve"> </w:t>
            </w:r>
            <w:r w:rsidRPr="00A22E3F">
              <w:rPr>
                <w:rFonts w:ascii="Times New Roman" w:hAnsi="Times New Roman" w:cs="Times New Roman"/>
                <w:b/>
                <w:color w:val="2C2D2D"/>
                <w:sz w:val="20"/>
                <w:szCs w:val="20"/>
              </w:rPr>
              <w:t>No patient will be denied services regardless of inability to pay.</w:t>
            </w:r>
          </w:p>
        </w:tc>
      </w:tr>
    </w:tbl>
    <w:tbl>
      <w:tblPr>
        <w:tblStyle w:val="TableGrid"/>
        <w:tblW w:w="11160" w:type="dxa"/>
        <w:tblInd w:w="-275" w:type="dxa"/>
        <w:tblLayout w:type="fixed"/>
        <w:tblLook w:val="04A0" w:firstRow="1" w:lastRow="0" w:firstColumn="1" w:lastColumn="0" w:noHBand="0" w:noVBand="1"/>
      </w:tblPr>
      <w:tblGrid>
        <w:gridCol w:w="2070"/>
        <w:gridCol w:w="1170"/>
        <w:gridCol w:w="1530"/>
        <w:gridCol w:w="1620"/>
        <w:gridCol w:w="1530"/>
        <w:gridCol w:w="1350"/>
        <w:gridCol w:w="1890"/>
      </w:tblGrid>
      <w:tr w:rsidR="0083578F" w:rsidRPr="00A22E3F" w:rsidTr="00916F13">
        <w:trPr>
          <w:trHeight w:val="375"/>
        </w:trPr>
        <w:tc>
          <w:tcPr>
            <w:tcW w:w="2070" w:type="dxa"/>
            <w:noWrap/>
            <w:hideMark/>
          </w:tcPr>
          <w:p w:rsidR="0083578F" w:rsidRPr="00A22E3F" w:rsidRDefault="0083578F">
            <w:pPr>
              <w:rPr>
                <w:rFonts w:ascii="Times New Roman" w:hAnsi="Times New Roman" w:cs="Times New Roman"/>
                <w:b/>
                <w:color w:val="2D2F2E"/>
                <w:sz w:val="16"/>
                <w:szCs w:val="16"/>
              </w:rPr>
            </w:pPr>
            <w:r w:rsidRPr="00A22E3F">
              <w:rPr>
                <w:rFonts w:ascii="Times New Roman" w:hAnsi="Times New Roman" w:cs="Times New Roman"/>
                <w:b/>
                <w:color w:val="2D2F2E"/>
                <w:sz w:val="16"/>
                <w:szCs w:val="16"/>
              </w:rPr>
              <w:t> </w:t>
            </w:r>
          </w:p>
        </w:tc>
        <w:tc>
          <w:tcPr>
            <w:tcW w:w="1170" w:type="dxa"/>
            <w:hideMark/>
          </w:tcPr>
          <w:p w:rsidR="0083578F" w:rsidRPr="00A22E3F" w:rsidRDefault="0083578F" w:rsidP="0083578F">
            <w:pPr>
              <w:rPr>
                <w:rFonts w:ascii="Times New Roman" w:hAnsi="Times New Roman" w:cs="Times New Roman"/>
                <w:b/>
                <w:bCs/>
                <w:color w:val="2D2F2E"/>
                <w:sz w:val="16"/>
                <w:szCs w:val="16"/>
              </w:rPr>
            </w:pPr>
            <w:r w:rsidRPr="00A22E3F">
              <w:rPr>
                <w:rFonts w:ascii="Times New Roman" w:hAnsi="Times New Roman" w:cs="Times New Roman"/>
                <w:b/>
                <w:bCs/>
                <w:color w:val="2D2F2E"/>
                <w:sz w:val="16"/>
                <w:szCs w:val="16"/>
              </w:rPr>
              <w:t>Nominal Fee</w:t>
            </w:r>
          </w:p>
        </w:tc>
        <w:tc>
          <w:tcPr>
            <w:tcW w:w="7920" w:type="dxa"/>
            <w:gridSpan w:val="5"/>
            <w:hideMark/>
          </w:tcPr>
          <w:p w:rsidR="0083578F" w:rsidRPr="00A22E3F" w:rsidRDefault="0083578F" w:rsidP="0083578F">
            <w:pPr>
              <w:rPr>
                <w:rFonts w:ascii="Times New Roman" w:hAnsi="Times New Roman" w:cs="Times New Roman"/>
                <w:b/>
                <w:bCs/>
                <w:color w:val="2D2F2E"/>
                <w:sz w:val="16"/>
                <w:szCs w:val="16"/>
              </w:rPr>
            </w:pPr>
            <w:r w:rsidRPr="00A22E3F">
              <w:rPr>
                <w:rFonts w:ascii="Times New Roman" w:hAnsi="Times New Roman" w:cs="Times New Roman"/>
                <w:b/>
                <w:bCs/>
                <w:color w:val="2D2F2E"/>
                <w:sz w:val="16"/>
                <w:szCs w:val="16"/>
              </w:rPr>
              <w:t>Discounted Rate</w:t>
            </w:r>
            <w:r w:rsidR="00504217" w:rsidRPr="00A22E3F">
              <w:rPr>
                <w:rFonts w:ascii="Times New Roman" w:hAnsi="Times New Roman" w:cs="Times New Roman"/>
                <w:b/>
                <w:bCs/>
                <w:color w:val="2D2F2E"/>
                <w:sz w:val="16"/>
                <w:szCs w:val="16"/>
              </w:rPr>
              <w:t xml:space="preserve"> (Level II-V)</w:t>
            </w:r>
          </w:p>
        </w:tc>
      </w:tr>
      <w:tr w:rsidR="0083578F" w:rsidRPr="00A22E3F" w:rsidTr="00916F13">
        <w:trPr>
          <w:trHeight w:val="315"/>
        </w:trPr>
        <w:tc>
          <w:tcPr>
            <w:tcW w:w="2070" w:type="dxa"/>
            <w:noWrap/>
            <w:hideMark/>
          </w:tcPr>
          <w:p w:rsidR="0083578F" w:rsidRPr="00A22E3F" w:rsidRDefault="0083578F">
            <w:pPr>
              <w:rPr>
                <w:rFonts w:ascii="Times New Roman" w:hAnsi="Times New Roman" w:cs="Times New Roman"/>
                <w:b/>
                <w:color w:val="2D2F2E"/>
                <w:sz w:val="16"/>
                <w:szCs w:val="16"/>
              </w:rPr>
            </w:pPr>
            <w:r w:rsidRPr="00A22E3F">
              <w:rPr>
                <w:rFonts w:ascii="Times New Roman" w:hAnsi="Times New Roman" w:cs="Times New Roman"/>
                <w:b/>
                <w:color w:val="2D2F2E"/>
                <w:sz w:val="16"/>
                <w:szCs w:val="16"/>
              </w:rPr>
              <w:t> </w:t>
            </w:r>
          </w:p>
        </w:tc>
        <w:tc>
          <w:tcPr>
            <w:tcW w:w="1170" w:type="dxa"/>
            <w:hideMark/>
          </w:tcPr>
          <w:p w:rsidR="0083578F" w:rsidRPr="00A22E3F" w:rsidRDefault="0083578F" w:rsidP="0083578F">
            <w:pPr>
              <w:rPr>
                <w:rFonts w:ascii="Times New Roman" w:hAnsi="Times New Roman" w:cs="Times New Roman"/>
                <w:b/>
                <w:bCs/>
                <w:color w:val="2D2F2E"/>
                <w:sz w:val="16"/>
                <w:szCs w:val="16"/>
              </w:rPr>
            </w:pPr>
            <w:r w:rsidRPr="00A22E3F">
              <w:rPr>
                <w:rFonts w:ascii="Times New Roman" w:hAnsi="Times New Roman" w:cs="Times New Roman"/>
                <w:b/>
                <w:bCs/>
                <w:color w:val="2D2F2E"/>
                <w:sz w:val="16"/>
                <w:szCs w:val="16"/>
              </w:rPr>
              <w:t>Level I</w:t>
            </w:r>
          </w:p>
        </w:tc>
        <w:tc>
          <w:tcPr>
            <w:tcW w:w="1530" w:type="dxa"/>
            <w:hideMark/>
          </w:tcPr>
          <w:p w:rsidR="0083578F" w:rsidRPr="00A22E3F" w:rsidRDefault="0083578F" w:rsidP="0083578F">
            <w:pPr>
              <w:rPr>
                <w:rFonts w:ascii="Times New Roman" w:hAnsi="Times New Roman" w:cs="Times New Roman"/>
                <w:b/>
                <w:bCs/>
                <w:color w:val="2D2F2E"/>
                <w:sz w:val="16"/>
                <w:szCs w:val="16"/>
              </w:rPr>
            </w:pPr>
            <w:r w:rsidRPr="00A22E3F">
              <w:rPr>
                <w:rFonts w:ascii="Times New Roman" w:hAnsi="Times New Roman" w:cs="Times New Roman"/>
                <w:b/>
                <w:bCs/>
                <w:color w:val="2D2F2E"/>
                <w:sz w:val="16"/>
                <w:szCs w:val="16"/>
              </w:rPr>
              <w:t>Level II</w:t>
            </w:r>
          </w:p>
        </w:tc>
        <w:tc>
          <w:tcPr>
            <w:tcW w:w="1620" w:type="dxa"/>
            <w:hideMark/>
          </w:tcPr>
          <w:p w:rsidR="0083578F" w:rsidRPr="00A22E3F" w:rsidRDefault="0083578F" w:rsidP="0083578F">
            <w:pPr>
              <w:rPr>
                <w:rFonts w:ascii="Times New Roman" w:hAnsi="Times New Roman" w:cs="Times New Roman"/>
                <w:b/>
                <w:bCs/>
                <w:color w:val="2D2F2E"/>
                <w:sz w:val="16"/>
                <w:szCs w:val="16"/>
              </w:rPr>
            </w:pPr>
            <w:r w:rsidRPr="00A22E3F">
              <w:rPr>
                <w:rFonts w:ascii="Times New Roman" w:hAnsi="Times New Roman" w:cs="Times New Roman"/>
                <w:b/>
                <w:bCs/>
                <w:color w:val="2D2F2E"/>
                <w:sz w:val="16"/>
                <w:szCs w:val="16"/>
              </w:rPr>
              <w:t>Level III</w:t>
            </w:r>
          </w:p>
        </w:tc>
        <w:tc>
          <w:tcPr>
            <w:tcW w:w="1530" w:type="dxa"/>
            <w:hideMark/>
          </w:tcPr>
          <w:p w:rsidR="0083578F" w:rsidRPr="00A22E3F" w:rsidRDefault="0083578F" w:rsidP="0083578F">
            <w:pPr>
              <w:rPr>
                <w:rFonts w:ascii="Times New Roman" w:hAnsi="Times New Roman" w:cs="Times New Roman"/>
                <w:b/>
                <w:bCs/>
                <w:color w:val="2D2F2E"/>
                <w:sz w:val="16"/>
                <w:szCs w:val="16"/>
              </w:rPr>
            </w:pPr>
            <w:r w:rsidRPr="00A22E3F">
              <w:rPr>
                <w:rFonts w:ascii="Times New Roman" w:hAnsi="Times New Roman" w:cs="Times New Roman"/>
                <w:b/>
                <w:bCs/>
                <w:color w:val="2D2F2E"/>
                <w:sz w:val="16"/>
                <w:szCs w:val="16"/>
              </w:rPr>
              <w:t>Level IV</w:t>
            </w:r>
          </w:p>
        </w:tc>
        <w:tc>
          <w:tcPr>
            <w:tcW w:w="1350" w:type="dxa"/>
            <w:hideMark/>
          </w:tcPr>
          <w:p w:rsidR="0083578F" w:rsidRPr="00A22E3F" w:rsidRDefault="0083578F" w:rsidP="0083578F">
            <w:pPr>
              <w:rPr>
                <w:rFonts w:ascii="Times New Roman" w:hAnsi="Times New Roman" w:cs="Times New Roman"/>
                <w:b/>
                <w:bCs/>
                <w:color w:val="2D2F2E"/>
                <w:sz w:val="16"/>
                <w:szCs w:val="16"/>
              </w:rPr>
            </w:pPr>
            <w:r w:rsidRPr="00A22E3F">
              <w:rPr>
                <w:rFonts w:ascii="Times New Roman" w:hAnsi="Times New Roman" w:cs="Times New Roman"/>
                <w:b/>
                <w:bCs/>
                <w:color w:val="2D2F2E"/>
                <w:sz w:val="16"/>
                <w:szCs w:val="16"/>
              </w:rPr>
              <w:t>Level V</w:t>
            </w:r>
          </w:p>
        </w:tc>
        <w:tc>
          <w:tcPr>
            <w:tcW w:w="1890" w:type="dxa"/>
            <w:hideMark/>
          </w:tcPr>
          <w:p w:rsidR="0083578F" w:rsidRPr="00A22E3F" w:rsidRDefault="0083578F" w:rsidP="0083578F">
            <w:pPr>
              <w:rPr>
                <w:rFonts w:ascii="Times New Roman" w:hAnsi="Times New Roman" w:cs="Times New Roman"/>
                <w:b/>
                <w:bCs/>
                <w:color w:val="2D2F2E"/>
                <w:sz w:val="16"/>
                <w:szCs w:val="16"/>
              </w:rPr>
            </w:pPr>
            <w:r w:rsidRPr="00A22E3F">
              <w:rPr>
                <w:rFonts w:ascii="Times New Roman" w:hAnsi="Times New Roman" w:cs="Times New Roman"/>
                <w:b/>
                <w:bCs/>
                <w:color w:val="2D2F2E"/>
                <w:sz w:val="16"/>
                <w:szCs w:val="16"/>
              </w:rPr>
              <w:t>Level VI</w:t>
            </w:r>
          </w:p>
        </w:tc>
      </w:tr>
      <w:tr w:rsidR="00A71E7B" w:rsidRPr="00A22E3F" w:rsidTr="00916F13">
        <w:trPr>
          <w:trHeight w:val="630"/>
        </w:trPr>
        <w:tc>
          <w:tcPr>
            <w:tcW w:w="2070" w:type="dxa"/>
            <w:hideMark/>
          </w:tcPr>
          <w:p w:rsidR="00A71E7B" w:rsidRPr="00A22E3F" w:rsidRDefault="00A71E7B" w:rsidP="00A71E7B">
            <w:pPr>
              <w:rPr>
                <w:rFonts w:ascii="Times New Roman" w:hAnsi="Times New Roman" w:cs="Times New Roman"/>
                <w:b/>
                <w:bCs/>
                <w:color w:val="2D2F2E"/>
                <w:sz w:val="16"/>
                <w:szCs w:val="16"/>
              </w:rPr>
            </w:pPr>
            <w:r w:rsidRPr="00A22E3F">
              <w:rPr>
                <w:rFonts w:ascii="Times New Roman" w:hAnsi="Times New Roman" w:cs="Times New Roman"/>
                <w:b/>
                <w:bCs/>
                <w:color w:val="2D2F2E"/>
                <w:sz w:val="16"/>
                <w:szCs w:val="16"/>
              </w:rPr>
              <w:t>340B Pharmacy Drugs</w:t>
            </w:r>
          </w:p>
        </w:tc>
        <w:tc>
          <w:tcPr>
            <w:tcW w:w="1170" w:type="dxa"/>
            <w:hideMark/>
          </w:tcPr>
          <w:p w:rsidR="00A71E7B" w:rsidRPr="00A22E3F" w:rsidRDefault="00A71E7B" w:rsidP="00A71E7B">
            <w:pPr>
              <w:rPr>
                <w:rFonts w:ascii="Times New Roman" w:hAnsi="Times New Roman" w:cs="Times New Roman"/>
                <w:b/>
                <w:color w:val="2D2F2E"/>
                <w:sz w:val="16"/>
                <w:szCs w:val="16"/>
              </w:rPr>
            </w:pPr>
            <w:r w:rsidRPr="00A22E3F">
              <w:rPr>
                <w:rFonts w:ascii="Times New Roman" w:hAnsi="Times New Roman" w:cs="Times New Roman"/>
                <w:b/>
                <w:color w:val="2D2F2E"/>
                <w:sz w:val="16"/>
                <w:szCs w:val="16"/>
              </w:rPr>
              <w:t>$0</w:t>
            </w:r>
          </w:p>
        </w:tc>
        <w:tc>
          <w:tcPr>
            <w:tcW w:w="1530" w:type="dxa"/>
            <w:hideMark/>
          </w:tcPr>
          <w:p w:rsidR="00A71E7B" w:rsidRPr="00A22E3F" w:rsidRDefault="00A71E7B" w:rsidP="00A71E7B">
            <w:pPr>
              <w:rPr>
                <w:rFonts w:ascii="Times New Roman" w:hAnsi="Times New Roman" w:cs="Times New Roman"/>
                <w:b/>
                <w:color w:val="2D2F2E"/>
                <w:sz w:val="16"/>
                <w:szCs w:val="16"/>
              </w:rPr>
            </w:pPr>
            <w:r w:rsidRPr="00A22E3F">
              <w:rPr>
                <w:rFonts w:ascii="Times New Roman" w:hAnsi="Times New Roman" w:cs="Times New Roman"/>
                <w:b/>
                <w:color w:val="2D2F2E"/>
                <w:sz w:val="16"/>
                <w:szCs w:val="16"/>
              </w:rPr>
              <w:t>340B price of drugs only</w:t>
            </w:r>
          </w:p>
        </w:tc>
        <w:tc>
          <w:tcPr>
            <w:tcW w:w="1620" w:type="dxa"/>
            <w:hideMark/>
          </w:tcPr>
          <w:p w:rsidR="00A71E7B" w:rsidRPr="00A22E3F" w:rsidRDefault="00A71E7B" w:rsidP="00A71E7B">
            <w:pPr>
              <w:rPr>
                <w:rFonts w:ascii="Times New Roman" w:hAnsi="Times New Roman" w:cs="Times New Roman"/>
                <w:b/>
                <w:color w:val="2D2F2E"/>
                <w:sz w:val="16"/>
                <w:szCs w:val="16"/>
              </w:rPr>
            </w:pPr>
            <w:r w:rsidRPr="00A22E3F">
              <w:rPr>
                <w:rFonts w:ascii="Times New Roman" w:hAnsi="Times New Roman" w:cs="Times New Roman"/>
                <w:b/>
                <w:color w:val="2D2F2E"/>
                <w:sz w:val="16"/>
                <w:szCs w:val="16"/>
              </w:rPr>
              <w:t>340B price of drugs plus 25% of dispensing and admin fees.</w:t>
            </w:r>
          </w:p>
        </w:tc>
        <w:tc>
          <w:tcPr>
            <w:tcW w:w="1530" w:type="dxa"/>
            <w:hideMark/>
          </w:tcPr>
          <w:p w:rsidR="00A71E7B" w:rsidRPr="00A22E3F" w:rsidRDefault="00A71E7B" w:rsidP="00A71E7B">
            <w:pPr>
              <w:rPr>
                <w:b/>
                <w:sz w:val="16"/>
                <w:szCs w:val="16"/>
              </w:rPr>
            </w:pPr>
            <w:r w:rsidRPr="00A22E3F">
              <w:rPr>
                <w:rFonts w:ascii="Times New Roman" w:hAnsi="Times New Roman" w:cs="Times New Roman"/>
                <w:b/>
                <w:color w:val="2D2F2E"/>
                <w:sz w:val="16"/>
                <w:szCs w:val="16"/>
              </w:rPr>
              <w:t>340B price of drugs plus 50% of dispensing and admin fees.</w:t>
            </w:r>
          </w:p>
        </w:tc>
        <w:tc>
          <w:tcPr>
            <w:tcW w:w="1350" w:type="dxa"/>
            <w:hideMark/>
          </w:tcPr>
          <w:p w:rsidR="00A71E7B" w:rsidRPr="00A22E3F" w:rsidRDefault="00A71E7B" w:rsidP="00A71E7B">
            <w:pPr>
              <w:rPr>
                <w:b/>
                <w:sz w:val="16"/>
                <w:szCs w:val="16"/>
              </w:rPr>
            </w:pPr>
            <w:r w:rsidRPr="00A22E3F">
              <w:rPr>
                <w:rFonts w:ascii="Times New Roman" w:hAnsi="Times New Roman" w:cs="Times New Roman"/>
                <w:b/>
                <w:color w:val="2D2F2E"/>
                <w:sz w:val="16"/>
                <w:szCs w:val="16"/>
              </w:rPr>
              <w:t>340B price of drugs plus 75% of dispensing and admin fees.</w:t>
            </w:r>
          </w:p>
        </w:tc>
        <w:tc>
          <w:tcPr>
            <w:tcW w:w="1890" w:type="dxa"/>
            <w:hideMark/>
          </w:tcPr>
          <w:p w:rsidR="00A71E7B" w:rsidRPr="00A22E3F" w:rsidRDefault="00A71E7B" w:rsidP="00A71E7B">
            <w:pPr>
              <w:rPr>
                <w:rFonts w:ascii="Times New Roman" w:hAnsi="Times New Roman" w:cs="Times New Roman"/>
                <w:b/>
                <w:color w:val="2D2F2E"/>
                <w:sz w:val="16"/>
                <w:szCs w:val="16"/>
              </w:rPr>
            </w:pPr>
            <w:r w:rsidRPr="00A22E3F">
              <w:rPr>
                <w:rFonts w:ascii="Times New Roman" w:hAnsi="Times New Roman" w:cs="Times New Roman"/>
                <w:b/>
                <w:color w:val="2D2F2E"/>
                <w:sz w:val="16"/>
                <w:szCs w:val="16"/>
              </w:rPr>
              <w:t>Full Fee</w:t>
            </w:r>
          </w:p>
          <w:p w:rsidR="00A71E7B" w:rsidRPr="00A22E3F" w:rsidRDefault="00A71E7B" w:rsidP="00A71E7B">
            <w:pPr>
              <w:rPr>
                <w:rFonts w:ascii="Times New Roman" w:hAnsi="Times New Roman" w:cs="Times New Roman"/>
                <w:b/>
                <w:color w:val="2D2F2E"/>
                <w:sz w:val="16"/>
                <w:szCs w:val="16"/>
              </w:rPr>
            </w:pPr>
            <w:r w:rsidRPr="00A22E3F">
              <w:rPr>
                <w:rFonts w:ascii="Times New Roman" w:hAnsi="Times New Roman" w:cs="Times New Roman"/>
                <w:b/>
                <w:color w:val="2D2F2E"/>
                <w:sz w:val="16"/>
                <w:szCs w:val="16"/>
              </w:rPr>
              <w:t>Patient pays 340b cost of the drug and 100% of fees</w:t>
            </w:r>
          </w:p>
        </w:tc>
      </w:tr>
      <w:tr w:rsidR="00CB141F" w:rsidRPr="00A22E3F" w:rsidTr="00916F13">
        <w:trPr>
          <w:trHeight w:val="945"/>
        </w:trPr>
        <w:tc>
          <w:tcPr>
            <w:tcW w:w="2070" w:type="dxa"/>
            <w:hideMark/>
          </w:tcPr>
          <w:p w:rsidR="0083578F" w:rsidRPr="00A22E3F" w:rsidRDefault="0083578F">
            <w:pPr>
              <w:rPr>
                <w:rFonts w:ascii="Times New Roman" w:hAnsi="Times New Roman" w:cs="Times New Roman"/>
                <w:b/>
                <w:bCs/>
                <w:color w:val="2D2F2E"/>
                <w:sz w:val="16"/>
                <w:szCs w:val="16"/>
              </w:rPr>
            </w:pPr>
            <w:r w:rsidRPr="00A22E3F">
              <w:rPr>
                <w:rFonts w:ascii="Times New Roman" w:hAnsi="Times New Roman" w:cs="Times New Roman"/>
                <w:b/>
                <w:bCs/>
                <w:color w:val="2D2F2E"/>
                <w:sz w:val="16"/>
                <w:szCs w:val="16"/>
              </w:rPr>
              <w:t>Medical</w:t>
            </w:r>
          </w:p>
        </w:tc>
        <w:tc>
          <w:tcPr>
            <w:tcW w:w="1170" w:type="dxa"/>
            <w:hideMark/>
          </w:tcPr>
          <w:p w:rsidR="0083578F" w:rsidRPr="00A22E3F" w:rsidRDefault="0083578F" w:rsidP="0083578F">
            <w:pPr>
              <w:rPr>
                <w:rFonts w:ascii="Times New Roman" w:hAnsi="Times New Roman" w:cs="Times New Roman"/>
                <w:b/>
                <w:color w:val="2D2F2E"/>
                <w:sz w:val="16"/>
                <w:szCs w:val="16"/>
              </w:rPr>
            </w:pPr>
            <w:r w:rsidRPr="00A22E3F">
              <w:rPr>
                <w:rFonts w:ascii="Times New Roman" w:hAnsi="Times New Roman" w:cs="Times New Roman"/>
                <w:b/>
                <w:color w:val="2D2F2E"/>
                <w:sz w:val="16"/>
                <w:szCs w:val="16"/>
              </w:rPr>
              <w:t xml:space="preserve">$0 </w:t>
            </w:r>
          </w:p>
        </w:tc>
        <w:tc>
          <w:tcPr>
            <w:tcW w:w="1530" w:type="dxa"/>
            <w:hideMark/>
          </w:tcPr>
          <w:p w:rsidR="0083578F" w:rsidRPr="00A22E3F" w:rsidRDefault="0083578F" w:rsidP="0083578F">
            <w:pPr>
              <w:rPr>
                <w:rFonts w:ascii="Times New Roman" w:hAnsi="Times New Roman" w:cs="Times New Roman"/>
                <w:b/>
                <w:color w:val="2D2F2E"/>
                <w:sz w:val="16"/>
                <w:szCs w:val="16"/>
              </w:rPr>
            </w:pPr>
            <w:r w:rsidRPr="00A22E3F">
              <w:rPr>
                <w:rFonts w:ascii="Times New Roman" w:hAnsi="Times New Roman" w:cs="Times New Roman"/>
                <w:b/>
                <w:color w:val="2D2F2E"/>
                <w:sz w:val="16"/>
                <w:szCs w:val="16"/>
              </w:rPr>
              <w:t xml:space="preserve">$10 </w:t>
            </w:r>
          </w:p>
        </w:tc>
        <w:tc>
          <w:tcPr>
            <w:tcW w:w="1620" w:type="dxa"/>
            <w:hideMark/>
          </w:tcPr>
          <w:p w:rsidR="0083578F" w:rsidRPr="00A22E3F" w:rsidRDefault="0083578F" w:rsidP="0083578F">
            <w:pPr>
              <w:rPr>
                <w:rFonts w:ascii="Times New Roman" w:hAnsi="Times New Roman" w:cs="Times New Roman"/>
                <w:b/>
                <w:color w:val="2D2F2E"/>
                <w:sz w:val="16"/>
                <w:szCs w:val="16"/>
              </w:rPr>
            </w:pPr>
            <w:r w:rsidRPr="00A22E3F">
              <w:rPr>
                <w:rFonts w:ascii="Times New Roman" w:hAnsi="Times New Roman" w:cs="Times New Roman"/>
                <w:b/>
                <w:color w:val="2D2F2E"/>
                <w:sz w:val="16"/>
                <w:szCs w:val="16"/>
              </w:rPr>
              <w:t xml:space="preserve">$25 </w:t>
            </w:r>
          </w:p>
        </w:tc>
        <w:tc>
          <w:tcPr>
            <w:tcW w:w="1530" w:type="dxa"/>
            <w:noWrap/>
            <w:hideMark/>
          </w:tcPr>
          <w:p w:rsidR="0083578F" w:rsidRPr="00A22E3F" w:rsidRDefault="0083578F" w:rsidP="0083578F">
            <w:pPr>
              <w:rPr>
                <w:rFonts w:ascii="Times New Roman" w:hAnsi="Times New Roman" w:cs="Times New Roman"/>
                <w:b/>
                <w:color w:val="2D2F2E"/>
                <w:sz w:val="16"/>
                <w:szCs w:val="16"/>
              </w:rPr>
            </w:pPr>
            <w:r w:rsidRPr="00A22E3F">
              <w:rPr>
                <w:rFonts w:ascii="Times New Roman" w:hAnsi="Times New Roman" w:cs="Times New Roman"/>
                <w:b/>
                <w:color w:val="2D2F2E"/>
                <w:sz w:val="16"/>
                <w:szCs w:val="16"/>
              </w:rPr>
              <w:t xml:space="preserve">$35 </w:t>
            </w:r>
          </w:p>
        </w:tc>
        <w:tc>
          <w:tcPr>
            <w:tcW w:w="1350" w:type="dxa"/>
            <w:hideMark/>
          </w:tcPr>
          <w:p w:rsidR="0083578F" w:rsidRPr="00A22E3F" w:rsidRDefault="0083578F" w:rsidP="0083578F">
            <w:pPr>
              <w:rPr>
                <w:rFonts w:ascii="Times New Roman" w:hAnsi="Times New Roman" w:cs="Times New Roman"/>
                <w:b/>
                <w:color w:val="2D2F2E"/>
                <w:sz w:val="16"/>
                <w:szCs w:val="16"/>
              </w:rPr>
            </w:pPr>
            <w:r w:rsidRPr="00A22E3F">
              <w:rPr>
                <w:rFonts w:ascii="Times New Roman" w:hAnsi="Times New Roman" w:cs="Times New Roman"/>
                <w:b/>
                <w:color w:val="2D2F2E"/>
                <w:sz w:val="16"/>
                <w:szCs w:val="16"/>
              </w:rPr>
              <w:t xml:space="preserve">$50 </w:t>
            </w:r>
          </w:p>
        </w:tc>
        <w:tc>
          <w:tcPr>
            <w:tcW w:w="1890" w:type="dxa"/>
            <w:hideMark/>
          </w:tcPr>
          <w:p w:rsidR="0083578F" w:rsidRPr="00A22E3F" w:rsidRDefault="0083578F" w:rsidP="0083578F">
            <w:pPr>
              <w:rPr>
                <w:rFonts w:ascii="Times New Roman" w:hAnsi="Times New Roman" w:cs="Times New Roman"/>
                <w:b/>
                <w:color w:val="2D2F2E"/>
                <w:sz w:val="16"/>
                <w:szCs w:val="16"/>
              </w:rPr>
            </w:pPr>
            <w:r w:rsidRPr="00A22E3F">
              <w:rPr>
                <w:rFonts w:ascii="Times New Roman" w:hAnsi="Times New Roman" w:cs="Times New Roman"/>
                <w:b/>
                <w:color w:val="2D2F2E"/>
                <w:sz w:val="16"/>
                <w:szCs w:val="16"/>
              </w:rPr>
              <w:t>Full Fee, unless paying in full on day of service</w:t>
            </w:r>
          </w:p>
        </w:tc>
      </w:tr>
      <w:tr w:rsidR="00CB141F" w:rsidRPr="00A22E3F" w:rsidTr="00916F13">
        <w:trPr>
          <w:trHeight w:val="945"/>
        </w:trPr>
        <w:tc>
          <w:tcPr>
            <w:tcW w:w="2070" w:type="dxa"/>
            <w:hideMark/>
          </w:tcPr>
          <w:p w:rsidR="0083578F" w:rsidRPr="00A22E3F" w:rsidRDefault="0083578F">
            <w:pPr>
              <w:rPr>
                <w:rFonts w:ascii="Times New Roman" w:hAnsi="Times New Roman" w:cs="Times New Roman"/>
                <w:b/>
                <w:bCs/>
                <w:color w:val="2D2F2E"/>
                <w:sz w:val="16"/>
                <w:szCs w:val="16"/>
              </w:rPr>
            </w:pPr>
            <w:r w:rsidRPr="00A22E3F">
              <w:rPr>
                <w:rFonts w:ascii="Times New Roman" w:hAnsi="Times New Roman" w:cs="Times New Roman"/>
                <w:b/>
                <w:bCs/>
                <w:color w:val="2D2F2E"/>
                <w:sz w:val="16"/>
                <w:szCs w:val="16"/>
              </w:rPr>
              <w:t>Behavioral Health</w:t>
            </w:r>
          </w:p>
        </w:tc>
        <w:tc>
          <w:tcPr>
            <w:tcW w:w="1170" w:type="dxa"/>
            <w:hideMark/>
          </w:tcPr>
          <w:p w:rsidR="0083578F" w:rsidRPr="00A22E3F" w:rsidRDefault="0083578F" w:rsidP="0083578F">
            <w:pPr>
              <w:rPr>
                <w:rFonts w:ascii="Times New Roman" w:hAnsi="Times New Roman" w:cs="Times New Roman"/>
                <w:b/>
                <w:color w:val="2D2F2E"/>
                <w:sz w:val="16"/>
                <w:szCs w:val="16"/>
              </w:rPr>
            </w:pPr>
            <w:r w:rsidRPr="00A22E3F">
              <w:rPr>
                <w:rFonts w:ascii="Times New Roman" w:hAnsi="Times New Roman" w:cs="Times New Roman"/>
                <w:b/>
                <w:color w:val="2D2F2E"/>
                <w:sz w:val="16"/>
                <w:szCs w:val="16"/>
              </w:rPr>
              <w:t xml:space="preserve">$0 </w:t>
            </w:r>
          </w:p>
        </w:tc>
        <w:tc>
          <w:tcPr>
            <w:tcW w:w="1530" w:type="dxa"/>
            <w:hideMark/>
          </w:tcPr>
          <w:p w:rsidR="0083578F" w:rsidRPr="00A22E3F" w:rsidRDefault="0083578F" w:rsidP="0083578F">
            <w:pPr>
              <w:rPr>
                <w:rFonts w:ascii="Times New Roman" w:hAnsi="Times New Roman" w:cs="Times New Roman"/>
                <w:b/>
                <w:color w:val="2D2F2E"/>
                <w:sz w:val="16"/>
                <w:szCs w:val="16"/>
              </w:rPr>
            </w:pPr>
            <w:r w:rsidRPr="00A22E3F">
              <w:rPr>
                <w:rFonts w:ascii="Times New Roman" w:hAnsi="Times New Roman" w:cs="Times New Roman"/>
                <w:b/>
                <w:color w:val="2D2F2E"/>
                <w:sz w:val="16"/>
                <w:szCs w:val="16"/>
              </w:rPr>
              <w:t xml:space="preserve">$10 </w:t>
            </w:r>
          </w:p>
        </w:tc>
        <w:tc>
          <w:tcPr>
            <w:tcW w:w="1620" w:type="dxa"/>
            <w:hideMark/>
          </w:tcPr>
          <w:p w:rsidR="0083578F" w:rsidRPr="00A22E3F" w:rsidRDefault="0083578F" w:rsidP="0083578F">
            <w:pPr>
              <w:rPr>
                <w:rFonts w:ascii="Times New Roman" w:hAnsi="Times New Roman" w:cs="Times New Roman"/>
                <w:b/>
                <w:color w:val="2D2F2E"/>
                <w:sz w:val="16"/>
                <w:szCs w:val="16"/>
              </w:rPr>
            </w:pPr>
            <w:r w:rsidRPr="00A22E3F">
              <w:rPr>
                <w:rFonts w:ascii="Times New Roman" w:hAnsi="Times New Roman" w:cs="Times New Roman"/>
                <w:b/>
                <w:color w:val="2D2F2E"/>
                <w:sz w:val="16"/>
                <w:szCs w:val="16"/>
              </w:rPr>
              <w:t xml:space="preserve">$25 </w:t>
            </w:r>
          </w:p>
        </w:tc>
        <w:tc>
          <w:tcPr>
            <w:tcW w:w="1530" w:type="dxa"/>
            <w:noWrap/>
            <w:hideMark/>
          </w:tcPr>
          <w:p w:rsidR="0083578F" w:rsidRPr="00A22E3F" w:rsidRDefault="0083578F" w:rsidP="0083578F">
            <w:pPr>
              <w:rPr>
                <w:rFonts w:ascii="Times New Roman" w:hAnsi="Times New Roman" w:cs="Times New Roman"/>
                <w:b/>
                <w:color w:val="2D2F2E"/>
                <w:sz w:val="16"/>
                <w:szCs w:val="16"/>
              </w:rPr>
            </w:pPr>
            <w:r w:rsidRPr="00A22E3F">
              <w:rPr>
                <w:rFonts w:ascii="Times New Roman" w:hAnsi="Times New Roman" w:cs="Times New Roman"/>
                <w:b/>
                <w:color w:val="2D2F2E"/>
                <w:sz w:val="16"/>
                <w:szCs w:val="16"/>
              </w:rPr>
              <w:t xml:space="preserve">$35 </w:t>
            </w:r>
          </w:p>
        </w:tc>
        <w:tc>
          <w:tcPr>
            <w:tcW w:w="1350" w:type="dxa"/>
            <w:hideMark/>
          </w:tcPr>
          <w:p w:rsidR="0083578F" w:rsidRPr="00A22E3F" w:rsidRDefault="0083578F" w:rsidP="0083578F">
            <w:pPr>
              <w:rPr>
                <w:rFonts w:ascii="Times New Roman" w:hAnsi="Times New Roman" w:cs="Times New Roman"/>
                <w:b/>
                <w:color w:val="2D2F2E"/>
                <w:sz w:val="16"/>
                <w:szCs w:val="16"/>
              </w:rPr>
            </w:pPr>
            <w:r w:rsidRPr="00A22E3F">
              <w:rPr>
                <w:rFonts w:ascii="Times New Roman" w:hAnsi="Times New Roman" w:cs="Times New Roman"/>
                <w:b/>
                <w:color w:val="2D2F2E"/>
                <w:sz w:val="16"/>
                <w:szCs w:val="16"/>
              </w:rPr>
              <w:t xml:space="preserve">$50 </w:t>
            </w:r>
          </w:p>
        </w:tc>
        <w:tc>
          <w:tcPr>
            <w:tcW w:w="1890" w:type="dxa"/>
            <w:hideMark/>
          </w:tcPr>
          <w:p w:rsidR="0083578F" w:rsidRPr="00A22E3F" w:rsidRDefault="0083578F" w:rsidP="0083578F">
            <w:pPr>
              <w:rPr>
                <w:rFonts w:ascii="Times New Roman" w:hAnsi="Times New Roman" w:cs="Times New Roman"/>
                <w:b/>
                <w:color w:val="2D2F2E"/>
                <w:sz w:val="16"/>
                <w:szCs w:val="16"/>
              </w:rPr>
            </w:pPr>
            <w:r w:rsidRPr="00A22E3F">
              <w:rPr>
                <w:rFonts w:ascii="Times New Roman" w:hAnsi="Times New Roman" w:cs="Times New Roman"/>
                <w:b/>
                <w:color w:val="2D2F2E"/>
                <w:sz w:val="16"/>
                <w:szCs w:val="16"/>
              </w:rPr>
              <w:t>Full Fee, unless paying in full on day of service</w:t>
            </w:r>
          </w:p>
        </w:tc>
      </w:tr>
      <w:tr w:rsidR="00CB141F" w:rsidRPr="00A22E3F" w:rsidTr="00916F13">
        <w:trPr>
          <w:trHeight w:val="960"/>
        </w:trPr>
        <w:tc>
          <w:tcPr>
            <w:tcW w:w="2070" w:type="dxa"/>
            <w:hideMark/>
          </w:tcPr>
          <w:p w:rsidR="0083578F" w:rsidRPr="00A22E3F" w:rsidRDefault="0083578F">
            <w:pPr>
              <w:rPr>
                <w:rFonts w:ascii="Times New Roman" w:hAnsi="Times New Roman" w:cs="Times New Roman"/>
                <w:b/>
                <w:bCs/>
                <w:color w:val="2D2F2E"/>
                <w:sz w:val="16"/>
                <w:szCs w:val="16"/>
              </w:rPr>
            </w:pPr>
            <w:r w:rsidRPr="00A22E3F">
              <w:rPr>
                <w:rFonts w:ascii="Times New Roman" w:hAnsi="Times New Roman" w:cs="Times New Roman"/>
                <w:b/>
                <w:bCs/>
                <w:color w:val="2D2F2E"/>
                <w:sz w:val="16"/>
                <w:szCs w:val="16"/>
              </w:rPr>
              <w:t>Dental (Preventative)</w:t>
            </w:r>
          </w:p>
        </w:tc>
        <w:tc>
          <w:tcPr>
            <w:tcW w:w="1170" w:type="dxa"/>
            <w:hideMark/>
          </w:tcPr>
          <w:p w:rsidR="0083578F" w:rsidRPr="00A22E3F" w:rsidRDefault="0083578F" w:rsidP="0083578F">
            <w:pPr>
              <w:rPr>
                <w:rFonts w:ascii="Times New Roman" w:hAnsi="Times New Roman" w:cs="Times New Roman"/>
                <w:b/>
                <w:color w:val="2D2F2E"/>
                <w:sz w:val="16"/>
                <w:szCs w:val="16"/>
              </w:rPr>
            </w:pPr>
            <w:r w:rsidRPr="00A22E3F">
              <w:rPr>
                <w:rFonts w:ascii="Times New Roman" w:hAnsi="Times New Roman" w:cs="Times New Roman"/>
                <w:b/>
                <w:color w:val="2D2F2E"/>
                <w:sz w:val="16"/>
                <w:szCs w:val="16"/>
              </w:rPr>
              <w:t xml:space="preserve">$50 </w:t>
            </w:r>
          </w:p>
        </w:tc>
        <w:tc>
          <w:tcPr>
            <w:tcW w:w="1530" w:type="dxa"/>
            <w:hideMark/>
          </w:tcPr>
          <w:p w:rsidR="0083578F" w:rsidRPr="00A22E3F" w:rsidRDefault="0083578F" w:rsidP="0083578F">
            <w:pPr>
              <w:rPr>
                <w:rFonts w:ascii="Times New Roman" w:hAnsi="Times New Roman" w:cs="Times New Roman"/>
                <w:b/>
                <w:color w:val="2D2F2E"/>
                <w:sz w:val="16"/>
                <w:szCs w:val="16"/>
              </w:rPr>
            </w:pPr>
            <w:r w:rsidRPr="00A22E3F">
              <w:rPr>
                <w:rFonts w:ascii="Times New Roman" w:hAnsi="Times New Roman" w:cs="Times New Roman"/>
                <w:b/>
                <w:color w:val="2D2F2E"/>
                <w:sz w:val="16"/>
                <w:szCs w:val="16"/>
              </w:rPr>
              <w:t xml:space="preserve">$60 </w:t>
            </w:r>
          </w:p>
        </w:tc>
        <w:tc>
          <w:tcPr>
            <w:tcW w:w="1620" w:type="dxa"/>
            <w:hideMark/>
          </w:tcPr>
          <w:p w:rsidR="0083578F" w:rsidRPr="00A22E3F" w:rsidRDefault="0083578F" w:rsidP="0083578F">
            <w:pPr>
              <w:rPr>
                <w:rFonts w:ascii="Times New Roman" w:hAnsi="Times New Roman" w:cs="Times New Roman"/>
                <w:b/>
                <w:color w:val="2D2F2E"/>
                <w:sz w:val="16"/>
                <w:szCs w:val="16"/>
              </w:rPr>
            </w:pPr>
            <w:r w:rsidRPr="00A22E3F">
              <w:rPr>
                <w:rFonts w:ascii="Times New Roman" w:hAnsi="Times New Roman" w:cs="Times New Roman"/>
                <w:b/>
                <w:color w:val="2D2F2E"/>
                <w:sz w:val="16"/>
                <w:szCs w:val="16"/>
              </w:rPr>
              <w:t xml:space="preserve">$75 </w:t>
            </w:r>
          </w:p>
        </w:tc>
        <w:tc>
          <w:tcPr>
            <w:tcW w:w="1530" w:type="dxa"/>
            <w:noWrap/>
            <w:hideMark/>
          </w:tcPr>
          <w:p w:rsidR="0083578F" w:rsidRPr="00A22E3F" w:rsidRDefault="0083578F" w:rsidP="0083578F">
            <w:pPr>
              <w:rPr>
                <w:rFonts w:ascii="Times New Roman" w:hAnsi="Times New Roman" w:cs="Times New Roman"/>
                <w:b/>
                <w:color w:val="2D2F2E"/>
                <w:sz w:val="16"/>
                <w:szCs w:val="16"/>
              </w:rPr>
            </w:pPr>
            <w:r w:rsidRPr="00A22E3F">
              <w:rPr>
                <w:rFonts w:ascii="Times New Roman" w:hAnsi="Times New Roman" w:cs="Times New Roman"/>
                <w:b/>
                <w:color w:val="2D2F2E"/>
                <w:sz w:val="16"/>
                <w:szCs w:val="16"/>
              </w:rPr>
              <w:t xml:space="preserve">$85 </w:t>
            </w:r>
          </w:p>
        </w:tc>
        <w:tc>
          <w:tcPr>
            <w:tcW w:w="1350" w:type="dxa"/>
            <w:hideMark/>
          </w:tcPr>
          <w:p w:rsidR="0083578F" w:rsidRPr="00A22E3F" w:rsidRDefault="0083578F" w:rsidP="0083578F">
            <w:pPr>
              <w:rPr>
                <w:rFonts w:ascii="Times New Roman" w:hAnsi="Times New Roman" w:cs="Times New Roman"/>
                <w:b/>
                <w:color w:val="2D2F2E"/>
                <w:sz w:val="16"/>
                <w:szCs w:val="16"/>
              </w:rPr>
            </w:pPr>
            <w:r w:rsidRPr="00A22E3F">
              <w:rPr>
                <w:rFonts w:ascii="Times New Roman" w:hAnsi="Times New Roman" w:cs="Times New Roman"/>
                <w:b/>
                <w:color w:val="2D2F2E"/>
                <w:sz w:val="16"/>
                <w:szCs w:val="16"/>
              </w:rPr>
              <w:t xml:space="preserve">$100 </w:t>
            </w:r>
          </w:p>
        </w:tc>
        <w:tc>
          <w:tcPr>
            <w:tcW w:w="1890" w:type="dxa"/>
            <w:hideMark/>
          </w:tcPr>
          <w:p w:rsidR="0083578F" w:rsidRPr="00A22E3F" w:rsidRDefault="0083578F" w:rsidP="0083578F">
            <w:pPr>
              <w:rPr>
                <w:rFonts w:ascii="Times New Roman" w:hAnsi="Times New Roman" w:cs="Times New Roman"/>
                <w:b/>
                <w:color w:val="2D2F2E"/>
                <w:sz w:val="16"/>
                <w:szCs w:val="16"/>
              </w:rPr>
            </w:pPr>
            <w:r w:rsidRPr="00A22E3F">
              <w:rPr>
                <w:rFonts w:ascii="Times New Roman" w:hAnsi="Times New Roman" w:cs="Times New Roman"/>
                <w:b/>
                <w:color w:val="2D2F2E"/>
                <w:sz w:val="16"/>
                <w:szCs w:val="16"/>
              </w:rPr>
              <w:t>Full Fee, unless paying in full on day of service</w:t>
            </w:r>
          </w:p>
        </w:tc>
      </w:tr>
      <w:tr w:rsidR="0083578F" w:rsidRPr="00A22E3F" w:rsidTr="00916F13">
        <w:trPr>
          <w:trHeight w:val="315"/>
        </w:trPr>
        <w:tc>
          <w:tcPr>
            <w:tcW w:w="2070" w:type="dxa"/>
            <w:vMerge w:val="restart"/>
            <w:hideMark/>
          </w:tcPr>
          <w:p w:rsidR="0083578F" w:rsidRPr="00A22E3F" w:rsidRDefault="0083578F" w:rsidP="00CB141F">
            <w:pPr>
              <w:rPr>
                <w:rFonts w:ascii="Times New Roman" w:hAnsi="Times New Roman" w:cs="Times New Roman"/>
                <w:b/>
                <w:bCs/>
                <w:color w:val="2D2F2E"/>
                <w:sz w:val="16"/>
                <w:szCs w:val="16"/>
              </w:rPr>
            </w:pPr>
            <w:r w:rsidRPr="00A22E3F">
              <w:rPr>
                <w:rFonts w:ascii="Times New Roman" w:hAnsi="Times New Roman" w:cs="Times New Roman"/>
                <w:b/>
                <w:bCs/>
                <w:color w:val="2D2F2E"/>
                <w:sz w:val="16"/>
                <w:szCs w:val="16"/>
              </w:rPr>
              <w:t>Dental (Dentures/Partials)</w:t>
            </w:r>
          </w:p>
          <w:p w:rsidR="00DD34A7" w:rsidRPr="00A22E3F" w:rsidRDefault="00DD34A7" w:rsidP="00CB141F">
            <w:pPr>
              <w:rPr>
                <w:rFonts w:ascii="Times New Roman" w:hAnsi="Times New Roman" w:cs="Times New Roman"/>
                <w:b/>
                <w:bCs/>
                <w:color w:val="2D2F2E"/>
                <w:sz w:val="16"/>
                <w:szCs w:val="16"/>
              </w:rPr>
            </w:pPr>
            <w:r w:rsidRPr="00A22E3F">
              <w:rPr>
                <w:rFonts w:ascii="Times New Roman" w:hAnsi="Times New Roman" w:cs="Times New Roman"/>
                <w:b/>
                <w:bCs/>
                <w:color w:val="2D2F2E"/>
                <w:sz w:val="16"/>
                <w:szCs w:val="16"/>
              </w:rPr>
              <w:t>(Crowns/Bridges)</w:t>
            </w:r>
          </w:p>
        </w:tc>
        <w:tc>
          <w:tcPr>
            <w:tcW w:w="9090" w:type="dxa"/>
            <w:gridSpan w:val="6"/>
            <w:hideMark/>
          </w:tcPr>
          <w:p w:rsidR="0083578F" w:rsidRPr="00A22E3F" w:rsidRDefault="0083578F" w:rsidP="0083578F">
            <w:pPr>
              <w:rPr>
                <w:rFonts w:ascii="Times New Roman" w:hAnsi="Times New Roman" w:cs="Times New Roman"/>
                <w:b/>
                <w:color w:val="2D2F2E"/>
                <w:sz w:val="16"/>
                <w:szCs w:val="16"/>
              </w:rPr>
            </w:pPr>
            <w:r w:rsidRPr="00A22E3F">
              <w:rPr>
                <w:rFonts w:ascii="Times New Roman" w:hAnsi="Times New Roman" w:cs="Times New Roman"/>
                <w:b/>
                <w:color w:val="2D2F2E"/>
                <w:sz w:val="16"/>
                <w:szCs w:val="16"/>
              </w:rPr>
              <w:t>$</w:t>
            </w:r>
            <w:r w:rsidR="009A0009" w:rsidRPr="00A22E3F">
              <w:rPr>
                <w:rFonts w:ascii="Times New Roman" w:hAnsi="Times New Roman" w:cs="Times New Roman"/>
                <w:b/>
                <w:color w:val="2D2F2E"/>
                <w:sz w:val="16"/>
                <w:szCs w:val="16"/>
              </w:rPr>
              <w:t>4</w:t>
            </w:r>
            <w:r w:rsidRPr="00A22E3F">
              <w:rPr>
                <w:rFonts w:ascii="Times New Roman" w:hAnsi="Times New Roman" w:cs="Times New Roman"/>
                <w:b/>
                <w:color w:val="2D2F2E"/>
                <w:sz w:val="16"/>
                <w:szCs w:val="16"/>
              </w:rPr>
              <w:t>00 Full Set Dentures or $</w:t>
            </w:r>
            <w:r w:rsidR="009A0009" w:rsidRPr="00A22E3F">
              <w:rPr>
                <w:rFonts w:ascii="Times New Roman" w:hAnsi="Times New Roman" w:cs="Times New Roman"/>
                <w:b/>
                <w:color w:val="2D2F2E"/>
                <w:sz w:val="16"/>
                <w:szCs w:val="16"/>
              </w:rPr>
              <w:t>3</w:t>
            </w:r>
            <w:r w:rsidRPr="00A22E3F">
              <w:rPr>
                <w:rFonts w:ascii="Times New Roman" w:hAnsi="Times New Roman" w:cs="Times New Roman"/>
                <w:b/>
                <w:color w:val="2D2F2E"/>
                <w:sz w:val="16"/>
                <w:szCs w:val="16"/>
              </w:rPr>
              <w:t>00 Per Partial + Applicable Level Charges</w:t>
            </w:r>
          </w:p>
        </w:tc>
      </w:tr>
      <w:tr w:rsidR="00DD34A7" w:rsidRPr="00A22E3F" w:rsidTr="00916F13">
        <w:trPr>
          <w:trHeight w:val="315"/>
        </w:trPr>
        <w:tc>
          <w:tcPr>
            <w:tcW w:w="2070" w:type="dxa"/>
            <w:vMerge/>
          </w:tcPr>
          <w:p w:rsidR="00DD34A7" w:rsidRPr="00A22E3F" w:rsidRDefault="00DD34A7">
            <w:pPr>
              <w:rPr>
                <w:rFonts w:ascii="Times New Roman" w:hAnsi="Times New Roman" w:cs="Times New Roman"/>
                <w:b/>
                <w:bCs/>
                <w:color w:val="2D2F2E"/>
                <w:sz w:val="16"/>
                <w:szCs w:val="16"/>
              </w:rPr>
            </w:pPr>
          </w:p>
        </w:tc>
        <w:tc>
          <w:tcPr>
            <w:tcW w:w="9090" w:type="dxa"/>
            <w:gridSpan w:val="6"/>
          </w:tcPr>
          <w:p w:rsidR="00DD34A7" w:rsidRPr="00A22E3F" w:rsidRDefault="00DD34A7" w:rsidP="0083578F">
            <w:pPr>
              <w:rPr>
                <w:rFonts w:ascii="Times New Roman" w:hAnsi="Times New Roman" w:cs="Times New Roman"/>
                <w:b/>
                <w:color w:val="2D2F2E"/>
                <w:sz w:val="16"/>
                <w:szCs w:val="16"/>
              </w:rPr>
            </w:pPr>
            <w:r w:rsidRPr="00A22E3F">
              <w:rPr>
                <w:rFonts w:ascii="Times New Roman" w:hAnsi="Times New Roman" w:cs="Times New Roman"/>
                <w:b/>
                <w:color w:val="2D2F2E"/>
                <w:sz w:val="16"/>
                <w:szCs w:val="16"/>
              </w:rPr>
              <w:t>$400 Per Unit on Bridges and $400 Per Unit on Crowns</w:t>
            </w:r>
          </w:p>
        </w:tc>
      </w:tr>
      <w:tr w:rsidR="0083578F" w:rsidRPr="00A22E3F" w:rsidTr="00916F13">
        <w:trPr>
          <w:trHeight w:val="315"/>
        </w:trPr>
        <w:tc>
          <w:tcPr>
            <w:tcW w:w="2070" w:type="dxa"/>
            <w:vMerge/>
            <w:hideMark/>
          </w:tcPr>
          <w:p w:rsidR="0083578F" w:rsidRPr="00A22E3F" w:rsidRDefault="0083578F">
            <w:pPr>
              <w:rPr>
                <w:rFonts w:ascii="Times New Roman" w:hAnsi="Times New Roman" w:cs="Times New Roman"/>
                <w:b/>
                <w:bCs/>
                <w:color w:val="2D2F2E"/>
                <w:sz w:val="16"/>
                <w:szCs w:val="16"/>
              </w:rPr>
            </w:pPr>
          </w:p>
        </w:tc>
        <w:tc>
          <w:tcPr>
            <w:tcW w:w="9090" w:type="dxa"/>
            <w:gridSpan w:val="6"/>
            <w:hideMark/>
          </w:tcPr>
          <w:p w:rsidR="0083578F" w:rsidRPr="00A22E3F" w:rsidRDefault="0083578F" w:rsidP="0083578F">
            <w:pPr>
              <w:rPr>
                <w:rFonts w:ascii="Times New Roman" w:hAnsi="Times New Roman" w:cs="Times New Roman"/>
                <w:b/>
                <w:color w:val="2D2F2E"/>
                <w:sz w:val="16"/>
                <w:szCs w:val="16"/>
              </w:rPr>
            </w:pPr>
            <w:r w:rsidRPr="00A22E3F">
              <w:rPr>
                <w:rFonts w:ascii="Times New Roman" w:hAnsi="Times New Roman" w:cs="Times New Roman"/>
                <w:b/>
                <w:color w:val="2D2F2E"/>
                <w:sz w:val="16"/>
                <w:szCs w:val="16"/>
              </w:rPr>
              <w:t>100% FPG or below would pay $</w:t>
            </w:r>
            <w:r w:rsidR="009A0009" w:rsidRPr="00A22E3F">
              <w:rPr>
                <w:rFonts w:ascii="Times New Roman" w:hAnsi="Times New Roman" w:cs="Times New Roman"/>
                <w:b/>
                <w:color w:val="2D2F2E"/>
                <w:sz w:val="16"/>
                <w:szCs w:val="16"/>
              </w:rPr>
              <w:t>4</w:t>
            </w:r>
            <w:r w:rsidRPr="00A22E3F">
              <w:rPr>
                <w:rFonts w:ascii="Times New Roman" w:hAnsi="Times New Roman" w:cs="Times New Roman"/>
                <w:b/>
                <w:color w:val="2D2F2E"/>
                <w:sz w:val="16"/>
                <w:szCs w:val="16"/>
              </w:rPr>
              <w:t>00 + $50 = $</w:t>
            </w:r>
            <w:r w:rsidR="00006D0A" w:rsidRPr="00A22E3F">
              <w:rPr>
                <w:rFonts w:ascii="Times New Roman" w:hAnsi="Times New Roman" w:cs="Times New Roman"/>
                <w:b/>
                <w:color w:val="2D2F2E"/>
                <w:sz w:val="16"/>
                <w:szCs w:val="16"/>
              </w:rPr>
              <w:t>4</w:t>
            </w:r>
            <w:r w:rsidRPr="00A22E3F">
              <w:rPr>
                <w:rFonts w:ascii="Times New Roman" w:hAnsi="Times New Roman" w:cs="Times New Roman"/>
                <w:b/>
                <w:color w:val="2D2F2E"/>
                <w:sz w:val="16"/>
                <w:szCs w:val="16"/>
              </w:rPr>
              <w:t>50</w:t>
            </w:r>
          </w:p>
        </w:tc>
      </w:tr>
      <w:tr w:rsidR="0083578F" w:rsidRPr="00A22E3F" w:rsidTr="00916F13">
        <w:trPr>
          <w:trHeight w:val="315"/>
        </w:trPr>
        <w:tc>
          <w:tcPr>
            <w:tcW w:w="2070" w:type="dxa"/>
            <w:vMerge/>
            <w:hideMark/>
          </w:tcPr>
          <w:p w:rsidR="0083578F" w:rsidRPr="00A22E3F" w:rsidRDefault="0083578F">
            <w:pPr>
              <w:rPr>
                <w:rFonts w:ascii="Times New Roman" w:hAnsi="Times New Roman" w:cs="Times New Roman"/>
                <w:b/>
                <w:bCs/>
                <w:color w:val="2D2F2E"/>
                <w:sz w:val="16"/>
                <w:szCs w:val="16"/>
              </w:rPr>
            </w:pPr>
          </w:p>
        </w:tc>
        <w:tc>
          <w:tcPr>
            <w:tcW w:w="9090" w:type="dxa"/>
            <w:gridSpan w:val="6"/>
            <w:hideMark/>
          </w:tcPr>
          <w:p w:rsidR="0083578F" w:rsidRPr="00A22E3F" w:rsidRDefault="0083578F" w:rsidP="0083578F">
            <w:pPr>
              <w:rPr>
                <w:rFonts w:ascii="Times New Roman" w:hAnsi="Times New Roman" w:cs="Times New Roman"/>
                <w:b/>
                <w:color w:val="2D2F2E"/>
                <w:sz w:val="16"/>
                <w:szCs w:val="16"/>
              </w:rPr>
            </w:pPr>
            <w:r w:rsidRPr="00A22E3F">
              <w:rPr>
                <w:rFonts w:ascii="Times New Roman" w:hAnsi="Times New Roman" w:cs="Times New Roman"/>
                <w:b/>
                <w:color w:val="2D2F2E"/>
                <w:sz w:val="16"/>
                <w:szCs w:val="16"/>
              </w:rPr>
              <w:t>101-125% FPG would pay $</w:t>
            </w:r>
            <w:r w:rsidR="009A0009" w:rsidRPr="00A22E3F">
              <w:rPr>
                <w:rFonts w:ascii="Times New Roman" w:hAnsi="Times New Roman" w:cs="Times New Roman"/>
                <w:b/>
                <w:color w:val="2D2F2E"/>
                <w:sz w:val="16"/>
                <w:szCs w:val="16"/>
              </w:rPr>
              <w:t>4</w:t>
            </w:r>
            <w:r w:rsidRPr="00A22E3F">
              <w:rPr>
                <w:rFonts w:ascii="Times New Roman" w:hAnsi="Times New Roman" w:cs="Times New Roman"/>
                <w:b/>
                <w:color w:val="2D2F2E"/>
                <w:sz w:val="16"/>
                <w:szCs w:val="16"/>
              </w:rPr>
              <w:t>00 +$60 = $</w:t>
            </w:r>
            <w:r w:rsidR="00006D0A" w:rsidRPr="00A22E3F">
              <w:rPr>
                <w:rFonts w:ascii="Times New Roman" w:hAnsi="Times New Roman" w:cs="Times New Roman"/>
                <w:b/>
                <w:color w:val="2D2F2E"/>
                <w:sz w:val="16"/>
                <w:szCs w:val="16"/>
              </w:rPr>
              <w:t>4</w:t>
            </w:r>
            <w:r w:rsidRPr="00A22E3F">
              <w:rPr>
                <w:rFonts w:ascii="Times New Roman" w:hAnsi="Times New Roman" w:cs="Times New Roman"/>
                <w:b/>
                <w:color w:val="2D2F2E"/>
                <w:sz w:val="16"/>
                <w:szCs w:val="16"/>
              </w:rPr>
              <w:t>60</w:t>
            </w:r>
          </w:p>
        </w:tc>
      </w:tr>
      <w:tr w:rsidR="0083578F" w:rsidRPr="00A22E3F" w:rsidTr="00916F13">
        <w:trPr>
          <w:trHeight w:val="315"/>
        </w:trPr>
        <w:tc>
          <w:tcPr>
            <w:tcW w:w="2070" w:type="dxa"/>
            <w:vMerge/>
            <w:hideMark/>
          </w:tcPr>
          <w:p w:rsidR="0083578F" w:rsidRPr="00A22E3F" w:rsidRDefault="0083578F">
            <w:pPr>
              <w:rPr>
                <w:rFonts w:ascii="Times New Roman" w:hAnsi="Times New Roman" w:cs="Times New Roman"/>
                <w:b/>
                <w:bCs/>
                <w:color w:val="2D2F2E"/>
                <w:sz w:val="16"/>
                <w:szCs w:val="16"/>
              </w:rPr>
            </w:pPr>
          </w:p>
        </w:tc>
        <w:tc>
          <w:tcPr>
            <w:tcW w:w="9090" w:type="dxa"/>
            <w:gridSpan w:val="6"/>
            <w:hideMark/>
          </w:tcPr>
          <w:p w:rsidR="0083578F" w:rsidRPr="00A22E3F" w:rsidRDefault="0083578F" w:rsidP="0083578F">
            <w:pPr>
              <w:rPr>
                <w:rFonts w:ascii="Times New Roman" w:hAnsi="Times New Roman" w:cs="Times New Roman"/>
                <w:b/>
                <w:color w:val="2D2F2E"/>
                <w:sz w:val="16"/>
                <w:szCs w:val="16"/>
              </w:rPr>
            </w:pPr>
            <w:r w:rsidRPr="00A22E3F">
              <w:rPr>
                <w:rFonts w:ascii="Times New Roman" w:hAnsi="Times New Roman" w:cs="Times New Roman"/>
                <w:b/>
                <w:color w:val="2D2F2E"/>
                <w:sz w:val="16"/>
                <w:szCs w:val="16"/>
              </w:rPr>
              <w:t>126-150% FPG would pay $</w:t>
            </w:r>
            <w:r w:rsidR="009A0009" w:rsidRPr="00A22E3F">
              <w:rPr>
                <w:rFonts w:ascii="Times New Roman" w:hAnsi="Times New Roman" w:cs="Times New Roman"/>
                <w:b/>
                <w:color w:val="2D2F2E"/>
                <w:sz w:val="16"/>
                <w:szCs w:val="16"/>
              </w:rPr>
              <w:t>4</w:t>
            </w:r>
            <w:r w:rsidRPr="00A22E3F">
              <w:rPr>
                <w:rFonts w:ascii="Times New Roman" w:hAnsi="Times New Roman" w:cs="Times New Roman"/>
                <w:b/>
                <w:color w:val="2D2F2E"/>
                <w:sz w:val="16"/>
                <w:szCs w:val="16"/>
              </w:rPr>
              <w:t>00 + $75 = $</w:t>
            </w:r>
            <w:r w:rsidR="00006D0A" w:rsidRPr="00A22E3F">
              <w:rPr>
                <w:rFonts w:ascii="Times New Roman" w:hAnsi="Times New Roman" w:cs="Times New Roman"/>
                <w:b/>
                <w:color w:val="2D2F2E"/>
                <w:sz w:val="16"/>
                <w:szCs w:val="16"/>
              </w:rPr>
              <w:t>4</w:t>
            </w:r>
            <w:r w:rsidRPr="00A22E3F">
              <w:rPr>
                <w:rFonts w:ascii="Times New Roman" w:hAnsi="Times New Roman" w:cs="Times New Roman"/>
                <w:b/>
                <w:color w:val="2D2F2E"/>
                <w:sz w:val="16"/>
                <w:szCs w:val="16"/>
              </w:rPr>
              <w:t>75</w:t>
            </w:r>
          </w:p>
        </w:tc>
      </w:tr>
      <w:tr w:rsidR="0083578F" w:rsidRPr="00A22E3F" w:rsidTr="00916F13">
        <w:trPr>
          <w:trHeight w:val="315"/>
        </w:trPr>
        <w:tc>
          <w:tcPr>
            <w:tcW w:w="2070" w:type="dxa"/>
            <w:vMerge/>
            <w:hideMark/>
          </w:tcPr>
          <w:p w:rsidR="0083578F" w:rsidRPr="00A22E3F" w:rsidRDefault="0083578F">
            <w:pPr>
              <w:rPr>
                <w:rFonts w:ascii="Times New Roman" w:hAnsi="Times New Roman" w:cs="Times New Roman"/>
                <w:b/>
                <w:bCs/>
                <w:color w:val="2D2F2E"/>
                <w:sz w:val="16"/>
                <w:szCs w:val="16"/>
              </w:rPr>
            </w:pPr>
          </w:p>
        </w:tc>
        <w:tc>
          <w:tcPr>
            <w:tcW w:w="9090" w:type="dxa"/>
            <w:gridSpan w:val="6"/>
            <w:hideMark/>
          </w:tcPr>
          <w:p w:rsidR="0083578F" w:rsidRPr="00A22E3F" w:rsidRDefault="0083578F" w:rsidP="0083578F">
            <w:pPr>
              <w:rPr>
                <w:rFonts w:ascii="Times New Roman" w:hAnsi="Times New Roman" w:cs="Times New Roman"/>
                <w:b/>
                <w:color w:val="2D2F2E"/>
                <w:sz w:val="16"/>
                <w:szCs w:val="16"/>
              </w:rPr>
            </w:pPr>
            <w:r w:rsidRPr="00A22E3F">
              <w:rPr>
                <w:rFonts w:ascii="Times New Roman" w:hAnsi="Times New Roman" w:cs="Times New Roman"/>
                <w:b/>
                <w:color w:val="2D2F2E"/>
                <w:sz w:val="16"/>
                <w:szCs w:val="16"/>
              </w:rPr>
              <w:t>151-175% FPG would pay $</w:t>
            </w:r>
            <w:r w:rsidR="009A0009" w:rsidRPr="00A22E3F">
              <w:rPr>
                <w:rFonts w:ascii="Times New Roman" w:hAnsi="Times New Roman" w:cs="Times New Roman"/>
                <w:b/>
                <w:color w:val="2D2F2E"/>
                <w:sz w:val="16"/>
                <w:szCs w:val="16"/>
              </w:rPr>
              <w:t>4</w:t>
            </w:r>
            <w:r w:rsidRPr="00A22E3F">
              <w:rPr>
                <w:rFonts w:ascii="Times New Roman" w:hAnsi="Times New Roman" w:cs="Times New Roman"/>
                <w:b/>
                <w:color w:val="2D2F2E"/>
                <w:sz w:val="16"/>
                <w:szCs w:val="16"/>
              </w:rPr>
              <w:t>00 + $85 = $</w:t>
            </w:r>
            <w:r w:rsidR="00006D0A" w:rsidRPr="00A22E3F">
              <w:rPr>
                <w:rFonts w:ascii="Times New Roman" w:hAnsi="Times New Roman" w:cs="Times New Roman"/>
                <w:b/>
                <w:color w:val="2D2F2E"/>
                <w:sz w:val="16"/>
                <w:szCs w:val="16"/>
              </w:rPr>
              <w:t>4</w:t>
            </w:r>
            <w:r w:rsidRPr="00A22E3F">
              <w:rPr>
                <w:rFonts w:ascii="Times New Roman" w:hAnsi="Times New Roman" w:cs="Times New Roman"/>
                <w:b/>
                <w:color w:val="2D2F2E"/>
                <w:sz w:val="16"/>
                <w:szCs w:val="16"/>
              </w:rPr>
              <w:t>85</w:t>
            </w:r>
          </w:p>
        </w:tc>
      </w:tr>
      <w:tr w:rsidR="0083578F" w:rsidRPr="00A22E3F" w:rsidTr="00916F13">
        <w:trPr>
          <w:trHeight w:val="315"/>
        </w:trPr>
        <w:tc>
          <w:tcPr>
            <w:tcW w:w="2070" w:type="dxa"/>
            <w:vMerge/>
            <w:hideMark/>
          </w:tcPr>
          <w:p w:rsidR="0083578F" w:rsidRPr="00A22E3F" w:rsidRDefault="0083578F">
            <w:pPr>
              <w:rPr>
                <w:rFonts w:ascii="Times New Roman" w:hAnsi="Times New Roman" w:cs="Times New Roman"/>
                <w:b/>
                <w:bCs/>
                <w:color w:val="2D2F2E"/>
                <w:sz w:val="16"/>
                <w:szCs w:val="16"/>
              </w:rPr>
            </w:pPr>
          </w:p>
        </w:tc>
        <w:tc>
          <w:tcPr>
            <w:tcW w:w="9090" w:type="dxa"/>
            <w:gridSpan w:val="6"/>
            <w:hideMark/>
          </w:tcPr>
          <w:p w:rsidR="0083578F" w:rsidRPr="00A22E3F" w:rsidRDefault="0083578F" w:rsidP="0083578F">
            <w:pPr>
              <w:rPr>
                <w:rFonts w:ascii="Times New Roman" w:hAnsi="Times New Roman" w:cs="Times New Roman"/>
                <w:b/>
                <w:color w:val="2D2F2E"/>
                <w:sz w:val="16"/>
                <w:szCs w:val="16"/>
              </w:rPr>
            </w:pPr>
            <w:r w:rsidRPr="00A22E3F">
              <w:rPr>
                <w:rFonts w:ascii="Times New Roman" w:hAnsi="Times New Roman" w:cs="Times New Roman"/>
                <w:b/>
                <w:color w:val="2D2F2E"/>
                <w:sz w:val="16"/>
                <w:szCs w:val="16"/>
              </w:rPr>
              <w:t>176-200% FPG would pay $</w:t>
            </w:r>
            <w:r w:rsidR="009A0009" w:rsidRPr="00A22E3F">
              <w:rPr>
                <w:rFonts w:ascii="Times New Roman" w:hAnsi="Times New Roman" w:cs="Times New Roman"/>
                <w:b/>
                <w:color w:val="2D2F2E"/>
                <w:sz w:val="16"/>
                <w:szCs w:val="16"/>
              </w:rPr>
              <w:t>4</w:t>
            </w:r>
            <w:r w:rsidRPr="00A22E3F">
              <w:rPr>
                <w:rFonts w:ascii="Times New Roman" w:hAnsi="Times New Roman" w:cs="Times New Roman"/>
                <w:b/>
                <w:color w:val="2D2F2E"/>
                <w:sz w:val="16"/>
                <w:szCs w:val="16"/>
              </w:rPr>
              <w:t>00 + $100 = $</w:t>
            </w:r>
            <w:r w:rsidR="00006D0A" w:rsidRPr="00A22E3F">
              <w:rPr>
                <w:rFonts w:ascii="Times New Roman" w:hAnsi="Times New Roman" w:cs="Times New Roman"/>
                <w:b/>
                <w:color w:val="2D2F2E"/>
                <w:sz w:val="16"/>
                <w:szCs w:val="16"/>
              </w:rPr>
              <w:t>5</w:t>
            </w:r>
            <w:r w:rsidRPr="00A22E3F">
              <w:rPr>
                <w:rFonts w:ascii="Times New Roman" w:hAnsi="Times New Roman" w:cs="Times New Roman"/>
                <w:b/>
                <w:color w:val="2D2F2E"/>
                <w:sz w:val="16"/>
                <w:szCs w:val="16"/>
              </w:rPr>
              <w:t>00</w:t>
            </w:r>
          </w:p>
        </w:tc>
      </w:tr>
      <w:tr w:rsidR="00DD34A7" w:rsidRPr="00A22E3F" w:rsidTr="00916F13">
        <w:trPr>
          <w:trHeight w:val="300"/>
        </w:trPr>
        <w:tc>
          <w:tcPr>
            <w:tcW w:w="2070" w:type="dxa"/>
            <w:noWrap/>
            <w:hideMark/>
          </w:tcPr>
          <w:p w:rsidR="00DD34A7" w:rsidRPr="00A22E3F" w:rsidRDefault="00DD34A7" w:rsidP="00DD34A7">
            <w:pPr>
              <w:rPr>
                <w:rFonts w:ascii="Times New Roman" w:hAnsi="Times New Roman" w:cs="Times New Roman"/>
                <w:b/>
                <w:color w:val="2D2F2E"/>
                <w:sz w:val="16"/>
                <w:szCs w:val="16"/>
              </w:rPr>
            </w:pPr>
            <w:r w:rsidRPr="00A22E3F">
              <w:rPr>
                <w:rFonts w:ascii="Times New Roman" w:hAnsi="Times New Roman" w:cs="Times New Roman"/>
                <w:b/>
                <w:color w:val="2D2F2E"/>
                <w:sz w:val="16"/>
                <w:szCs w:val="16"/>
              </w:rPr>
              <w:t>Root Canal</w:t>
            </w:r>
          </w:p>
        </w:tc>
        <w:tc>
          <w:tcPr>
            <w:tcW w:w="9090" w:type="dxa"/>
            <w:gridSpan w:val="6"/>
            <w:noWrap/>
          </w:tcPr>
          <w:p w:rsidR="00DD34A7" w:rsidRPr="00A22E3F" w:rsidRDefault="00DD34A7" w:rsidP="00DD34A7">
            <w:pPr>
              <w:rPr>
                <w:rFonts w:ascii="Times New Roman" w:hAnsi="Times New Roman" w:cs="Times New Roman"/>
                <w:b/>
                <w:color w:val="2D2F2E"/>
                <w:sz w:val="16"/>
                <w:szCs w:val="16"/>
              </w:rPr>
            </w:pPr>
            <w:r w:rsidRPr="00A22E3F">
              <w:rPr>
                <w:rFonts w:ascii="Times New Roman" w:hAnsi="Times New Roman" w:cs="Times New Roman"/>
                <w:b/>
                <w:color w:val="2D2F2E"/>
                <w:sz w:val="16"/>
                <w:szCs w:val="16"/>
              </w:rPr>
              <w:t>Applicable Level Charges per Visit for a total of 3 visits</w:t>
            </w:r>
          </w:p>
        </w:tc>
      </w:tr>
      <w:tr w:rsidR="00DD34A7" w:rsidRPr="00A22E3F" w:rsidTr="005F3E85">
        <w:trPr>
          <w:trHeight w:val="368"/>
        </w:trPr>
        <w:tc>
          <w:tcPr>
            <w:tcW w:w="11160" w:type="dxa"/>
            <w:gridSpan w:val="7"/>
            <w:hideMark/>
          </w:tcPr>
          <w:p w:rsidR="00DD34A7" w:rsidRPr="00A22E3F" w:rsidRDefault="00DD34A7" w:rsidP="00DD34A7">
            <w:pPr>
              <w:rPr>
                <w:rFonts w:ascii="Times New Roman" w:hAnsi="Times New Roman" w:cs="Times New Roman"/>
                <w:b/>
                <w:bCs/>
                <w:color w:val="2D2F2E"/>
                <w:sz w:val="16"/>
                <w:szCs w:val="16"/>
              </w:rPr>
            </w:pPr>
            <w:r w:rsidRPr="00A22E3F">
              <w:rPr>
                <w:rFonts w:ascii="Times New Roman" w:hAnsi="Times New Roman" w:cs="Times New Roman"/>
                <w:b/>
                <w:bCs/>
                <w:color w:val="2D2F2E"/>
                <w:sz w:val="16"/>
                <w:szCs w:val="16"/>
              </w:rPr>
              <w:t xml:space="preserve">Nominal Fee was determined by assessing the collection rates by discount pay class, write-off rates by discount pay class, patient surveys and board input.  </w:t>
            </w:r>
          </w:p>
        </w:tc>
      </w:tr>
      <w:tr w:rsidR="00DD34A7" w:rsidRPr="00A22E3F" w:rsidTr="007005C5">
        <w:trPr>
          <w:trHeight w:val="350"/>
        </w:trPr>
        <w:tc>
          <w:tcPr>
            <w:tcW w:w="11160" w:type="dxa"/>
            <w:gridSpan w:val="7"/>
            <w:hideMark/>
          </w:tcPr>
          <w:p w:rsidR="00DD34A7" w:rsidRPr="00A22E3F" w:rsidRDefault="00DD34A7" w:rsidP="00DD34A7">
            <w:pPr>
              <w:rPr>
                <w:rFonts w:ascii="Times New Roman" w:hAnsi="Times New Roman" w:cs="Times New Roman"/>
                <w:b/>
                <w:bCs/>
                <w:color w:val="2D2F2E"/>
                <w:sz w:val="16"/>
                <w:szCs w:val="16"/>
              </w:rPr>
            </w:pPr>
            <w:r w:rsidRPr="00A22E3F">
              <w:rPr>
                <w:rFonts w:ascii="Times New Roman" w:hAnsi="Times New Roman" w:cs="Times New Roman"/>
                <w:b/>
                <w:bCs/>
                <w:color w:val="2D2F2E"/>
                <w:sz w:val="16"/>
                <w:szCs w:val="16"/>
              </w:rPr>
              <w:t>Patients who are over the 200% FPG will be responsible for the fully loaded 340B cost (cost of medication + Administrative Fee + Dispense Fee)</w:t>
            </w:r>
          </w:p>
        </w:tc>
      </w:tr>
    </w:tbl>
    <w:p w:rsidR="0083578F" w:rsidRPr="00A22E3F" w:rsidRDefault="0083578F" w:rsidP="00CB141F">
      <w:pPr>
        <w:pStyle w:val="BodyText"/>
        <w:spacing w:before="195"/>
        <w:rPr>
          <w:rFonts w:ascii="Times New Roman" w:hAnsi="Times New Roman" w:cs="Times New Roman"/>
          <w:b/>
          <w:sz w:val="20"/>
          <w:szCs w:val="20"/>
        </w:rPr>
      </w:pPr>
      <w:r w:rsidRPr="00A22E3F">
        <w:rPr>
          <w:rFonts w:ascii="Times New Roman" w:hAnsi="Times New Roman" w:cs="Times New Roman"/>
          <w:b/>
          <w:color w:val="2D2E2E"/>
          <w:sz w:val="20"/>
          <w:szCs w:val="20"/>
        </w:rPr>
        <w:t>Patients lacking proper proof of income at the initial visit must provide this documentation within sixty</w:t>
      </w:r>
    </w:p>
    <w:p w:rsidR="00CB141F" w:rsidRPr="00A22E3F" w:rsidRDefault="0083578F" w:rsidP="00CB141F">
      <w:pPr>
        <w:pStyle w:val="BodyText"/>
        <w:spacing w:line="276" w:lineRule="auto"/>
        <w:ind w:right="117"/>
        <w:rPr>
          <w:rFonts w:ascii="Times New Roman" w:hAnsi="Times New Roman" w:cs="Times New Roman"/>
          <w:b/>
          <w:color w:val="2D2E2E"/>
          <w:sz w:val="20"/>
          <w:szCs w:val="20"/>
        </w:rPr>
      </w:pPr>
      <w:r w:rsidRPr="00A22E3F">
        <w:rPr>
          <w:rFonts w:ascii="Times New Roman" w:hAnsi="Times New Roman" w:cs="Times New Roman"/>
          <w:b/>
          <w:color w:val="2D2E2E"/>
          <w:sz w:val="20"/>
          <w:szCs w:val="20"/>
        </w:rPr>
        <w:t>(60) business days or the Sliding Scale Program eligibility provision will be cancelled. Should this action occur, the patient will then be placed in the full-pay (100%) category until income verification is provided unless other arrangements have been approved by the registration supervisor. Final determination of the eligibility and proof of income documents will be signed and reviewed by the Registration Staff.</w:t>
      </w:r>
    </w:p>
    <w:p w:rsidR="00A16AEF" w:rsidRPr="00A22E3F" w:rsidRDefault="00A16AEF" w:rsidP="00CB141F">
      <w:pPr>
        <w:pStyle w:val="BodyText"/>
        <w:spacing w:line="276" w:lineRule="auto"/>
        <w:ind w:right="117"/>
        <w:rPr>
          <w:rFonts w:ascii="Times New Roman" w:hAnsi="Times New Roman" w:cs="Times New Roman"/>
          <w:b/>
          <w:sz w:val="20"/>
          <w:szCs w:val="20"/>
        </w:rPr>
      </w:pPr>
    </w:p>
    <w:p w:rsidR="00102586" w:rsidRPr="00A22E3F" w:rsidRDefault="0083578F" w:rsidP="00CB141F">
      <w:pPr>
        <w:pStyle w:val="BodyText"/>
        <w:spacing w:line="276" w:lineRule="auto"/>
        <w:ind w:right="117"/>
        <w:rPr>
          <w:rFonts w:ascii="Times New Roman" w:hAnsi="Times New Roman" w:cs="Times New Roman"/>
          <w:b/>
          <w:color w:val="2D2F2E"/>
          <w:sz w:val="20"/>
          <w:szCs w:val="20"/>
        </w:rPr>
      </w:pPr>
      <w:r w:rsidRPr="00A22E3F">
        <w:rPr>
          <w:rFonts w:ascii="Times New Roman" w:hAnsi="Times New Roman" w:cs="Times New Roman"/>
          <w:b/>
          <w:color w:val="2D2F2E"/>
          <w:sz w:val="20"/>
          <w:szCs w:val="20"/>
        </w:rPr>
        <w:t xml:space="preserve">When determining the Master Fee Schedule KMHA will utilize the Optum 360 Custom Fee Analyzer. The Master Fee Schedule will be reviewed annually and approved by the Board of Directors. Nominal fees for the sliding fee scale will be determined by the HCH Advisory Committee as well as the Board of Directors annually. Information used in making this determination will be obtained from assessments of patient income levels, insurance status, percentage of population below the Federal Poverty Line, and comparisons to other area FQHC HCH Programs. In addition to this, annual reviews of historic Self Pay AR Reports will be analyzed in order to identify any barriers that may be present regarding patient’s ability to pay nominal fee amount. </w:t>
      </w:r>
    </w:p>
    <w:sectPr w:rsidR="00102586" w:rsidRPr="00A22E3F" w:rsidSect="00916F13">
      <w:type w:val="continuous"/>
      <w:pgSz w:w="12000" w:h="15720"/>
      <w:pgMar w:top="0" w:right="720" w:bottom="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15CA" w:rsidRDefault="00DB15CA" w:rsidP="00DB15CA">
      <w:r>
        <w:separator/>
      </w:r>
    </w:p>
  </w:endnote>
  <w:endnote w:type="continuationSeparator" w:id="0">
    <w:p w:rsidR="00DB15CA" w:rsidRDefault="00DB15CA" w:rsidP="00DB1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15CA" w:rsidRDefault="00DB15CA" w:rsidP="00DB15CA">
      <w:r>
        <w:separator/>
      </w:r>
    </w:p>
  </w:footnote>
  <w:footnote w:type="continuationSeparator" w:id="0">
    <w:p w:rsidR="00DB15CA" w:rsidRDefault="00DB15CA" w:rsidP="00DB15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2BA"/>
    <w:rsid w:val="00006D0A"/>
    <w:rsid w:val="000572FE"/>
    <w:rsid w:val="00070F4F"/>
    <w:rsid w:val="000A20AB"/>
    <w:rsid w:val="000B6634"/>
    <w:rsid w:val="000D6B36"/>
    <w:rsid w:val="000F2EA2"/>
    <w:rsid w:val="00102586"/>
    <w:rsid w:val="001178FE"/>
    <w:rsid w:val="00164D06"/>
    <w:rsid w:val="002E6402"/>
    <w:rsid w:val="003026AD"/>
    <w:rsid w:val="00317412"/>
    <w:rsid w:val="003266EA"/>
    <w:rsid w:val="00370A27"/>
    <w:rsid w:val="003B5D33"/>
    <w:rsid w:val="003E67F4"/>
    <w:rsid w:val="004123F8"/>
    <w:rsid w:val="00473D35"/>
    <w:rsid w:val="00481378"/>
    <w:rsid w:val="00491D44"/>
    <w:rsid w:val="0049608A"/>
    <w:rsid w:val="004B6801"/>
    <w:rsid w:val="004D54FD"/>
    <w:rsid w:val="00504217"/>
    <w:rsid w:val="005322A5"/>
    <w:rsid w:val="00546D73"/>
    <w:rsid w:val="00570A37"/>
    <w:rsid w:val="00597B02"/>
    <w:rsid w:val="005E7028"/>
    <w:rsid w:val="005F3E85"/>
    <w:rsid w:val="00651EE8"/>
    <w:rsid w:val="006A78CA"/>
    <w:rsid w:val="006D2362"/>
    <w:rsid w:val="006D5C32"/>
    <w:rsid w:val="006E0124"/>
    <w:rsid w:val="006E2B8A"/>
    <w:rsid w:val="007005C5"/>
    <w:rsid w:val="0074642C"/>
    <w:rsid w:val="00757DC3"/>
    <w:rsid w:val="00760742"/>
    <w:rsid w:val="00773339"/>
    <w:rsid w:val="007C0996"/>
    <w:rsid w:val="00804F48"/>
    <w:rsid w:val="0083578F"/>
    <w:rsid w:val="008E12BA"/>
    <w:rsid w:val="00916F13"/>
    <w:rsid w:val="009213EE"/>
    <w:rsid w:val="009228B6"/>
    <w:rsid w:val="00935326"/>
    <w:rsid w:val="009512BF"/>
    <w:rsid w:val="009868F4"/>
    <w:rsid w:val="00991F6B"/>
    <w:rsid w:val="009A0009"/>
    <w:rsid w:val="009D28D0"/>
    <w:rsid w:val="009E1E61"/>
    <w:rsid w:val="00A16AEF"/>
    <w:rsid w:val="00A22E3F"/>
    <w:rsid w:val="00A71E7B"/>
    <w:rsid w:val="00AC0709"/>
    <w:rsid w:val="00AC23B0"/>
    <w:rsid w:val="00B35801"/>
    <w:rsid w:val="00B5397B"/>
    <w:rsid w:val="00BB6D38"/>
    <w:rsid w:val="00BE7F6B"/>
    <w:rsid w:val="00BF1A0C"/>
    <w:rsid w:val="00C436CC"/>
    <w:rsid w:val="00C8490D"/>
    <w:rsid w:val="00C97FB1"/>
    <w:rsid w:val="00CB141F"/>
    <w:rsid w:val="00CF7BA4"/>
    <w:rsid w:val="00D85054"/>
    <w:rsid w:val="00DB15CA"/>
    <w:rsid w:val="00DB3CB0"/>
    <w:rsid w:val="00DB6E2F"/>
    <w:rsid w:val="00DC0399"/>
    <w:rsid w:val="00DD34A7"/>
    <w:rsid w:val="00E30B86"/>
    <w:rsid w:val="00E31491"/>
    <w:rsid w:val="00E51074"/>
    <w:rsid w:val="00E54DDF"/>
    <w:rsid w:val="00E6101A"/>
    <w:rsid w:val="00ED2A68"/>
    <w:rsid w:val="00EE4083"/>
    <w:rsid w:val="00F26B5C"/>
    <w:rsid w:val="00F5278B"/>
    <w:rsid w:val="00FA1B08"/>
    <w:rsid w:val="00FB0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38C51"/>
  <w15:docId w15:val="{137CC7A7-32CD-4243-A3DD-D906E5E0E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37" w:right="296"/>
      <w:jc w:val="center"/>
      <w:outlineLvl w:val="0"/>
    </w:pPr>
    <w:rPr>
      <w:rFonts w:ascii="Arial Unicode MS" w:eastAsia="Arial Unicode MS" w:hAnsi="Arial Unicode MS" w:cs="Arial Unicode M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410" w:lineRule="exact"/>
    </w:pPr>
    <w:rPr>
      <w:rFonts w:ascii="Arial Unicode MS" w:eastAsia="Arial Unicode MS" w:hAnsi="Arial Unicode MS" w:cs="Arial Unicode MS"/>
    </w:rPr>
  </w:style>
  <w:style w:type="paragraph" w:styleId="BalloonText">
    <w:name w:val="Balloon Text"/>
    <w:basedOn w:val="Normal"/>
    <w:link w:val="BalloonTextChar"/>
    <w:uiPriority w:val="99"/>
    <w:semiHidden/>
    <w:unhideWhenUsed/>
    <w:rsid w:val="00773339"/>
    <w:rPr>
      <w:rFonts w:ascii="Tahoma" w:hAnsi="Tahoma" w:cs="Tahoma"/>
      <w:sz w:val="16"/>
      <w:szCs w:val="16"/>
    </w:rPr>
  </w:style>
  <w:style w:type="character" w:customStyle="1" w:styleId="BalloonTextChar">
    <w:name w:val="Balloon Text Char"/>
    <w:basedOn w:val="DefaultParagraphFont"/>
    <w:link w:val="BalloonText"/>
    <w:uiPriority w:val="99"/>
    <w:semiHidden/>
    <w:rsid w:val="00773339"/>
    <w:rPr>
      <w:rFonts w:ascii="Tahoma" w:eastAsia="Calibri" w:hAnsi="Tahoma" w:cs="Tahoma"/>
      <w:sz w:val="16"/>
      <w:szCs w:val="16"/>
    </w:rPr>
  </w:style>
  <w:style w:type="paragraph" w:styleId="Header">
    <w:name w:val="header"/>
    <w:basedOn w:val="Normal"/>
    <w:link w:val="HeaderChar"/>
    <w:uiPriority w:val="99"/>
    <w:unhideWhenUsed/>
    <w:rsid w:val="00DB15CA"/>
    <w:pPr>
      <w:tabs>
        <w:tab w:val="center" w:pos="4680"/>
        <w:tab w:val="right" w:pos="9360"/>
      </w:tabs>
    </w:pPr>
  </w:style>
  <w:style w:type="character" w:customStyle="1" w:styleId="HeaderChar">
    <w:name w:val="Header Char"/>
    <w:basedOn w:val="DefaultParagraphFont"/>
    <w:link w:val="Header"/>
    <w:uiPriority w:val="99"/>
    <w:rsid w:val="00DB15CA"/>
    <w:rPr>
      <w:rFonts w:ascii="Calibri" w:eastAsia="Calibri" w:hAnsi="Calibri" w:cs="Calibri"/>
    </w:rPr>
  </w:style>
  <w:style w:type="paragraph" w:styleId="Footer">
    <w:name w:val="footer"/>
    <w:basedOn w:val="Normal"/>
    <w:link w:val="FooterChar"/>
    <w:uiPriority w:val="99"/>
    <w:unhideWhenUsed/>
    <w:rsid w:val="00DB15CA"/>
    <w:pPr>
      <w:tabs>
        <w:tab w:val="center" w:pos="4680"/>
        <w:tab w:val="right" w:pos="9360"/>
      </w:tabs>
    </w:pPr>
  </w:style>
  <w:style w:type="character" w:customStyle="1" w:styleId="FooterChar">
    <w:name w:val="Footer Char"/>
    <w:basedOn w:val="DefaultParagraphFont"/>
    <w:link w:val="Footer"/>
    <w:uiPriority w:val="99"/>
    <w:rsid w:val="00DB15CA"/>
    <w:rPr>
      <w:rFonts w:ascii="Calibri" w:eastAsia="Calibri" w:hAnsi="Calibri" w:cs="Calibri"/>
    </w:rPr>
  </w:style>
  <w:style w:type="table" w:styleId="TableGrid">
    <w:name w:val="Table Grid"/>
    <w:basedOn w:val="TableNormal"/>
    <w:uiPriority w:val="59"/>
    <w:rsid w:val="00FA1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5E7028"/>
    <w:pPr>
      <w:widowControl/>
      <w:autoSpaceDE/>
      <w:autoSpaceDN/>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905635">
      <w:bodyDiv w:val="1"/>
      <w:marLeft w:val="0"/>
      <w:marRight w:val="0"/>
      <w:marTop w:val="0"/>
      <w:marBottom w:val="0"/>
      <w:divBdr>
        <w:top w:val="none" w:sz="0" w:space="0" w:color="auto"/>
        <w:left w:val="none" w:sz="0" w:space="0" w:color="auto"/>
        <w:bottom w:val="none" w:sz="0" w:space="0" w:color="auto"/>
        <w:right w:val="none" w:sz="0" w:space="0" w:color="auto"/>
      </w:divBdr>
    </w:div>
    <w:div w:id="1373457409">
      <w:bodyDiv w:val="1"/>
      <w:marLeft w:val="0"/>
      <w:marRight w:val="0"/>
      <w:marTop w:val="0"/>
      <w:marBottom w:val="0"/>
      <w:divBdr>
        <w:top w:val="none" w:sz="0" w:space="0" w:color="auto"/>
        <w:left w:val="none" w:sz="0" w:space="0" w:color="auto"/>
        <w:bottom w:val="none" w:sz="0" w:space="0" w:color="auto"/>
        <w:right w:val="none" w:sz="0" w:space="0" w:color="auto"/>
      </w:divBdr>
    </w:div>
    <w:div w:id="1551964830">
      <w:bodyDiv w:val="1"/>
      <w:marLeft w:val="0"/>
      <w:marRight w:val="0"/>
      <w:marTop w:val="0"/>
      <w:marBottom w:val="0"/>
      <w:divBdr>
        <w:top w:val="none" w:sz="0" w:space="0" w:color="auto"/>
        <w:left w:val="none" w:sz="0" w:space="0" w:color="auto"/>
        <w:bottom w:val="none" w:sz="0" w:space="0" w:color="auto"/>
        <w:right w:val="none" w:sz="0" w:space="0" w:color="auto"/>
      </w:divBdr>
    </w:div>
    <w:div w:id="1615792668">
      <w:bodyDiv w:val="1"/>
      <w:marLeft w:val="0"/>
      <w:marRight w:val="0"/>
      <w:marTop w:val="0"/>
      <w:marBottom w:val="0"/>
      <w:divBdr>
        <w:top w:val="none" w:sz="0" w:space="0" w:color="auto"/>
        <w:left w:val="none" w:sz="0" w:space="0" w:color="auto"/>
        <w:bottom w:val="none" w:sz="0" w:space="0" w:color="auto"/>
        <w:right w:val="none" w:sz="0" w:space="0" w:color="auto"/>
      </w:divBdr>
    </w:div>
    <w:div w:id="1895046224">
      <w:bodyDiv w:val="1"/>
      <w:marLeft w:val="0"/>
      <w:marRight w:val="0"/>
      <w:marTop w:val="0"/>
      <w:marBottom w:val="0"/>
      <w:divBdr>
        <w:top w:val="none" w:sz="0" w:space="0" w:color="auto"/>
        <w:left w:val="none" w:sz="0" w:space="0" w:color="auto"/>
        <w:bottom w:val="none" w:sz="0" w:space="0" w:color="auto"/>
        <w:right w:val="none" w:sz="0" w:space="0" w:color="auto"/>
      </w:divBdr>
    </w:div>
    <w:div w:id="2091190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8B13F-4544-4926-B690-DC26BB2DA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1176</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Hardin</dc:creator>
  <cp:lastModifiedBy>Rosie Woolum</cp:lastModifiedBy>
  <cp:revision>9</cp:revision>
  <cp:lastPrinted>2025-02-07T17:38:00Z</cp:lastPrinted>
  <dcterms:created xsi:type="dcterms:W3CDTF">2025-02-07T16:55:00Z</dcterms:created>
  <dcterms:modified xsi:type="dcterms:W3CDTF">2025-02-13T20:15:00Z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2018-03-06T00:00:00Z</vt:filetime>
  </property>
  <property fmtid="{D5CDD505-2E9C-101B-9397-08002B2CF9AE}" pid="3" name="LastSaved">
    <vt:filetime>2018-03-06T00:00:00Z</vt:filetime>
  </property>
</Properties>
</file>