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62FD1" w14:textId="4F081500" w:rsidR="00C879AB" w:rsidRPr="00210DFF" w:rsidRDefault="00210DFF">
      <w:pPr>
        <w:rPr>
          <w:rFonts w:ascii="Times New Roman" w:hAnsi="Times New Roman" w:cs="Times New Roman"/>
        </w:rPr>
      </w:pPr>
      <w:r w:rsidRPr="00796754">
        <w:rPr>
          <w:rFonts w:ascii="Times New Roman" w:hAnsi="Times New Roman" w:cs="Times New Roman"/>
          <w:b/>
        </w:rPr>
        <w:t>To</w:t>
      </w:r>
      <w:r w:rsidRPr="00210DFF">
        <w:rPr>
          <w:rFonts w:ascii="Times New Roman" w:hAnsi="Times New Roman" w:cs="Times New Roman"/>
        </w:rPr>
        <w:t>:</w:t>
      </w:r>
      <w:r w:rsidR="006957C5">
        <w:rPr>
          <w:rFonts w:ascii="Times New Roman" w:hAnsi="Times New Roman" w:cs="Times New Roman"/>
        </w:rPr>
        <w:t xml:space="preserve"> </w:t>
      </w:r>
      <w:r w:rsidR="00796754">
        <w:rPr>
          <w:rFonts w:ascii="Times New Roman" w:hAnsi="Times New Roman" w:cs="Times New Roman"/>
        </w:rPr>
        <w:t>ABC Bank CEO</w:t>
      </w:r>
    </w:p>
    <w:p w14:paraId="6E684774" w14:textId="1893E99B" w:rsidR="00210DFF" w:rsidRPr="00210DFF" w:rsidRDefault="00210DFF">
      <w:pPr>
        <w:rPr>
          <w:rFonts w:ascii="Times New Roman" w:hAnsi="Times New Roman" w:cs="Times New Roman"/>
        </w:rPr>
      </w:pPr>
      <w:r w:rsidRPr="00B24E57">
        <w:rPr>
          <w:rFonts w:ascii="Times New Roman" w:hAnsi="Times New Roman" w:cs="Times New Roman"/>
          <w:b/>
        </w:rPr>
        <w:t>From</w:t>
      </w:r>
      <w:r w:rsidRPr="00210DFF">
        <w:rPr>
          <w:rFonts w:ascii="Times New Roman" w:hAnsi="Times New Roman" w:cs="Times New Roman"/>
        </w:rPr>
        <w:t>:</w:t>
      </w:r>
      <w:r>
        <w:rPr>
          <w:rFonts w:ascii="Times New Roman" w:hAnsi="Times New Roman" w:cs="Times New Roman"/>
        </w:rPr>
        <w:t xml:space="preserve"> </w:t>
      </w:r>
      <w:r w:rsidR="00C92B5C">
        <w:rPr>
          <w:rFonts w:ascii="Times New Roman" w:hAnsi="Times New Roman" w:cs="Times New Roman"/>
        </w:rPr>
        <w:t>Lisa LeFever</w:t>
      </w:r>
      <w:bookmarkStart w:id="0" w:name="_GoBack"/>
      <w:bookmarkEnd w:id="0"/>
    </w:p>
    <w:p w14:paraId="318A2F98" w14:textId="3160CB73" w:rsidR="00210DFF" w:rsidRPr="00210DFF" w:rsidRDefault="00210DFF">
      <w:pPr>
        <w:rPr>
          <w:rFonts w:ascii="Times New Roman" w:hAnsi="Times New Roman" w:cs="Times New Roman"/>
        </w:rPr>
      </w:pPr>
      <w:r w:rsidRPr="00B24E57">
        <w:rPr>
          <w:rFonts w:ascii="Times New Roman" w:hAnsi="Times New Roman" w:cs="Times New Roman"/>
          <w:b/>
        </w:rPr>
        <w:t>Date</w:t>
      </w:r>
      <w:r w:rsidRPr="00210DFF">
        <w:rPr>
          <w:rFonts w:ascii="Times New Roman" w:hAnsi="Times New Roman" w:cs="Times New Roman"/>
        </w:rPr>
        <w:t>:</w:t>
      </w:r>
      <w:r w:rsidR="00B24E57">
        <w:rPr>
          <w:rFonts w:ascii="Times New Roman" w:hAnsi="Times New Roman" w:cs="Times New Roman"/>
        </w:rPr>
        <w:t xml:space="preserve"> December 15, 2017</w:t>
      </w:r>
    </w:p>
    <w:p w14:paraId="37B7678F" w14:textId="3401EC00" w:rsidR="00210DFF" w:rsidRDefault="00210DFF">
      <w:pPr>
        <w:rPr>
          <w:rFonts w:ascii="Times New Roman" w:hAnsi="Times New Roman" w:cs="Times New Roman"/>
        </w:rPr>
      </w:pPr>
      <w:r w:rsidRPr="00B24E57">
        <w:rPr>
          <w:rFonts w:ascii="Times New Roman" w:hAnsi="Times New Roman" w:cs="Times New Roman"/>
          <w:b/>
        </w:rPr>
        <w:t>RE</w:t>
      </w:r>
      <w:r w:rsidRPr="00210DFF">
        <w:rPr>
          <w:rFonts w:ascii="Times New Roman" w:hAnsi="Times New Roman" w:cs="Times New Roman"/>
        </w:rPr>
        <w:t>:</w:t>
      </w:r>
      <w:r w:rsidR="00B24E57">
        <w:rPr>
          <w:rFonts w:ascii="Times New Roman" w:hAnsi="Times New Roman" w:cs="Times New Roman"/>
        </w:rPr>
        <w:t xml:space="preserve"> B/D and I/A</w:t>
      </w:r>
      <w:r w:rsidR="00972783">
        <w:rPr>
          <w:rFonts w:ascii="Times New Roman" w:hAnsi="Times New Roman" w:cs="Times New Roman"/>
        </w:rPr>
        <w:t xml:space="preserve"> Registration and Compliance Programs</w:t>
      </w:r>
    </w:p>
    <w:p w14:paraId="076B3CA7" w14:textId="77777777" w:rsidR="00B24E57" w:rsidRDefault="00B24E57">
      <w:pPr>
        <w:rPr>
          <w:rFonts w:ascii="Times New Roman" w:hAnsi="Times New Roman" w:cs="Times New Roman"/>
        </w:rPr>
      </w:pPr>
    </w:p>
    <w:p w14:paraId="0C6722C9" w14:textId="344A3710" w:rsidR="00582BA0" w:rsidRPr="002810DF" w:rsidRDefault="00820033" w:rsidP="002810DF">
      <w:pPr>
        <w:spacing w:line="480" w:lineRule="auto"/>
        <w:jc w:val="center"/>
        <w:rPr>
          <w:rFonts w:ascii="Times New Roman" w:hAnsi="Times New Roman" w:cs="Times New Roman"/>
          <w:b/>
          <w:u w:val="single"/>
        </w:rPr>
      </w:pPr>
      <w:r>
        <w:rPr>
          <w:rFonts w:ascii="Times New Roman" w:hAnsi="Times New Roman" w:cs="Times New Roman"/>
          <w:b/>
          <w:u w:val="single"/>
        </w:rPr>
        <w:t>ISSUE</w:t>
      </w:r>
    </w:p>
    <w:p w14:paraId="52A1F978" w14:textId="68BF7485" w:rsidR="00B24E57" w:rsidRDefault="00B24E57" w:rsidP="0051195D">
      <w:pPr>
        <w:spacing w:line="480" w:lineRule="auto"/>
        <w:ind w:firstLine="720"/>
        <w:rPr>
          <w:rFonts w:ascii="Times New Roman" w:hAnsi="Times New Roman" w:cs="Times New Roman"/>
        </w:rPr>
      </w:pPr>
      <w:r>
        <w:rPr>
          <w:rFonts w:ascii="Times New Roman" w:hAnsi="Times New Roman" w:cs="Times New Roman"/>
        </w:rPr>
        <w:t>ABC Bank would like to establish a U.S. registered broker</w:t>
      </w:r>
      <w:r w:rsidR="006376B1">
        <w:rPr>
          <w:rFonts w:ascii="Times New Roman" w:hAnsi="Times New Roman" w:cs="Times New Roman"/>
        </w:rPr>
        <w:t>-</w:t>
      </w:r>
      <w:r>
        <w:rPr>
          <w:rFonts w:ascii="Times New Roman" w:hAnsi="Times New Roman" w:cs="Times New Roman"/>
        </w:rPr>
        <w:t xml:space="preserve">dealer </w:t>
      </w:r>
      <w:r w:rsidR="0051195D">
        <w:rPr>
          <w:rFonts w:ascii="Times New Roman" w:hAnsi="Times New Roman" w:cs="Times New Roman"/>
        </w:rPr>
        <w:t xml:space="preserve">(B/D) </w:t>
      </w:r>
      <w:r>
        <w:rPr>
          <w:rFonts w:ascii="Times New Roman" w:hAnsi="Times New Roman" w:cs="Times New Roman"/>
        </w:rPr>
        <w:t>to engage in fixed income sales and trading, equity sales and trading, and investment banking activities</w:t>
      </w:r>
      <w:r w:rsidR="0051195D">
        <w:rPr>
          <w:rFonts w:ascii="Times New Roman" w:hAnsi="Times New Roman" w:cs="Times New Roman"/>
        </w:rPr>
        <w:t>,</w:t>
      </w:r>
      <w:r>
        <w:rPr>
          <w:rFonts w:ascii="Times New Roman" w:hAnsi="Times New Roman" w:cs="Times New Roman"/>
        </w:rPr>
        <w:t xml:space="preserve"> consisting of underwriting in fixed-income and equity securities as well as certain public finance activities</w:t>
      </w:r>
      <w:r w:rsidR="0051195D">
        <w:rPr>
          <w:rFonts w:ascii="Times New Roman" w:hAnsi="Times New Roman" w:cs="Times New Roman"/>
        </w:rPr>
        <w:t xml:space="preserve">, to serve solely institutional clients. </w:t>
      </w:r>
      <w:r>
        <w:rPr>
          <w:rFonts w:ascii="Times New Roman" w:hAnsi="Times New Roman" w:cs="Times New Roman"/>
        </w:rPr>
        <w:t xml:space="preserve">ABC Bank would </w:t>
      </w:r>
      <w:r w:rsidR="006957C5">
        <w:rPr>
          <w:rFonts w:ascii="Times New Roman" w:hAnsi="Times New Roman" w:cs="Times New Roman"/>
        </w:rPr>
        <w:t xml:space="preserve">also </w:t>
      </w:r>
      <w:r>
        <w:rPr>
          <w:rFonts w:ascii="Times New Roman" w:hAnsi="Times New Roman" w:cs="Times New Roman"/>
        </w:rPr>
        <w:t xml:space="preserve">like to establish a U.S. registered investment adviser </w:t>
      </w:r>
      <w:r w:rsidR="0051195D">
        <w:rPr>
          <w:rFonts w:ascii="Times New Roman" w:hAnsi="Times New Roman" w:cs="Times New Roman"/>
        </w:rPr>
        <w:t xml:space="preserve">(I/A) </w:t>
      </w:r>
      <w:r>
        <w:rPr>
          <w:rFonts w:ascii="Times New Roman" w:hAnsi="Times New Roman" w:cs="Times New Roman"/>
        </w:rPr>
        <w:t xml:space="preserve">to provide investment advice and portfolio management services to </w:t>
      </w:r>
      <w:r w:rsidR="0051195D">
        <w:rPr>
          <w:rFonts w:ascii="Times New Roman" w:hAnsi="Times New Roman" w:cs="Times New Roman"/>
        </w:rPr>
        <w:t xml:space="preserve">institutional customers and high net worth individuals. </w:t>
      </w:r>
    </w:p>
    <w:p w14:paraId="3EA8D180" w14:textId="78D77285" w:rsidR="006376B1" w:rsidRPr="00087F01" w:rsidRDefault="006376B1" w:rsidP="00087F01">
      <w:pPr>
        <w:spacing w:line="480" w:lineRule="auto"/>
        <w:jc w:val="center"/>
        <w:rPr>
          <w:rFonts w:ascii="Times New Roman" w:hAnsi="Times New Roman" w:cs="Times New Roman"/>
          <w:b/>
          <w:u w:val="single"/>
        </w:rPr>
      </w:pPr>
      <w:r w:rsidRPr="00087F01">
        <w:rPr>
          <w:rFonts w:ascii="Times New Roman" w:hAnsi="Times New Roman" w:cs="Times New Roman"/>
          <w:b/>
          <w:u w:val="single"/>
        </w:rPr>
        <w:t>SUMMARY</w:t>
      </w:r>
    </w:p>
    <w:p w14:paraId="78DFD8FF" w14:textId="0DF5E2FB" w:rsidR="00B24AA3" w:rsidRDefault="006376B1" w:rsidP="0051195D">
      <w:pPr>
        <w:spacing w:line="480" w:lineRule="auto"/>
        <w:ind w:firstLine="720"/>
        <w:rPr>
          <w:rFonts w:ascii="Times New Roman" w:hAnsi="Times New Roman" w:cs="Times New Roman"/>
        </w:rPr>
      </w:pPr>
      <w:r>
        <w:rPr>
          <w:rFonts w:ascii="Times New Roman" w:hAnsi="Times New Roman" w:cs="Times New Roman"/>
        </w:rPr>
        <w:t xml:space="preserve">The </w:t>
      </w:r>
      <w:r w:rsidR="002D31EA">
        <w:rPr>
          <w:rFonts w:ascii="Times New Roman" w:hAnsi="Times New Roman" w:cs="Times New Roman"/>
        </w:rPr>
        <w:t>processes</w:t>
      </w:r>
      <w:r>
        <w:rPr>
          <w:rFonts w:ascii="Times New Roman" w:hAnsi="Times New Roman" w:cs="Times New Roman"/>
        </w:rPr>
        <w:t xml:space="preserve"> described below </w:t>
      </w:r>
      <w:r w:rsidR="002D31EA">
        <w:rPr>
          <w:rFonts w:ascii="Times New Roman" w:hAnsi="Times New Roman" w:cs="Times New Roman"/>
        </w:rPr>
        <w:t>in Part I and I</w:t>
      </w:r>
      <w:r w:rsidR="00730379">
        <w:rPr>
          <w:rFonts w:ascii="Times New Roman" w:hAnsi="Times New Roman" w:cs="Times New Roman"/>
        </w:rPr>
        <w:t>I</w:t>
      </w:r>
      <w:r w:rsidR="002D31EA">
        <w:rPr>
          <w:rFonts w:ascii="Times New Roman" w:hAnsi="Times New Roman" w:cs="Times New Roman"/>
        </w:rPr>
        <w:t xml:space="preserve"> detail</w:t>
      </w:r>
      <w:r>
        <w:rPr>
          <w:rFonts w:ascii="Times New Roman" w:hAnsi="Times New Roman" w:cs="Times New Roman"/>
        </w:rPr>
        <w:t xml:space="preserve"> the steps that ABC must </w:t>
      </w:r>
      <w:r w:rsidR="002D31EA">
        <w:rPr>
          <w:rFonts w:ascii="Times New Roman" w:hAnsi="Times New Roman" w:cs="Times New Roman"/>
        </w:rPr>
        <w:t>take</w:t>
      </w:r>
      <w:r>
        <w:rPr>
          <w:rFonts w:ascii="Times New Roman" w:hAnsi="Times New Roman" w:cs="Times New Roman"/>
        </w:rPr>
        <w:t xml:space="preserve"> in order to reg</w:t>
      </w:r>
      <w:r w:rsidR="005B7E3C">
        <w:rPr>
          <w:rFonts w:ascii="Times New Roman" w:hAnsi="Times New Roman" w:cs="Times New Roman"/>
        </w:rPr>
        <w:t xml:space="preserve">ister </w:t>
      </w:r>
      <w:r w:rsidR="00BC181C">
        <w:rPr>
          <w:rFonts w:ascii="Times New Roman" w:hAnsi="Times New Roman" w:cs="Times New Roman"/>
        </w:rPr>
        <w:t xml:space="preserve">B/D and I/A </w:t>
      </w:r>
      <w:r w:rsidR="009F0595">
        <w:rPr>
          <w:rFonts w:ascii="Times New Roman" w:hAnsi="Times New Roman" w:cs="Times New Roman"/>
        </w:rPr>
        <w:t>affiliate</w:t>
      </w:r>
      <w:r w:rsidR="005B7E3C">
        <w:rPr>
          <w:rFonts w:ascii="Times New Roman" w:hAnsi="Times New Roman" w:cs="Times New Roman"/>
        </w:rPr>
        <w:t>s</w:t>
      </w:r>
      <w:r w:rsidR="009F0595">
        <w:rPr>
          <w:rFonts w:ascii="Times New Roman" w:hAnsi="Times New Roman" w:cs="Times New Roman"/>
        </w:rPr>
        <w:t xml:space="preserve"> </w:t>
      </w:r>
      <w:r w:rsidR="00BC181C">
        <w:rPr>
          <w:rFonts w:ascii="Times New Roman" w:hAnsi="Times New Roman" w:cs="Times New Roman"/>
        </w:rPr>
        <w:t xml:space="preserve">in the United States. </w:t>
      </w:r>
      <w:r w:rsidR="005A54D3">
        <w:rPr>
          <w:rFonts w:ascii="Times New Roman" w:hAnsi="Times New Roman" w:cs="Times New Roman"/>
        </w:rPr>
        <w:t xml:space="preserve">B/D registration is governed by the Securities Exchange Act of 1934 (Exchange Act), whereas I/A registration is governed primarily by the Investment Advisers Act of 1940 (Advisers Act). </w:t>
      </w:r>
      <w:r w:rsidR="009F0595">
        <w:rPr>
          <w:rFonts w:ascii="Times New Roman" w:hAnsi="Times New Roman" w:cs="Times New Roman"/>
        </w:rPr>
        <w:t>The B/D affiliate must register with the Securities and Exchange Commission (SEC)</w:t>
      </w:r>
      <w:r w:rsidR="0032564E">
        <w:rPr>
          <w:rFonts w:ascii="Times New Roman" w:hAnsi="Times New Roman" w:cs="Times New Roman"/>
        </w:rPr>
        <w:t>,</w:t>
      </w:r>
      <w:r w:rsidR="007A1E20">
        <w:rPr>
          <w:rFonts w:ascii="Times New Roman" w:hAnsi="Times New Roman" w:cs="Times New Roman"/>
        </w:rPr>
        <w:t xml:space="preserve"> </w:t>
      </w:r>
      <w:r w:rsidR="005B7E3C" w:rsidRPr="00F04C48">
        <w:rPr>
          <w:rFonts w:ascii="Times New Roman" w:hAnsi="Times New Roman" w:cs="Times New Roman"/>
        </w:rPr>
        <w:t>Financial Industry Regulatory Authority (FINRA</w:t>
      </w:r>
      <w:r w:rsidR="005B7E3C">
        <w:rPr>
          <w:rFonts w:ascii="Times New Roman" w:hAnsi="Times New Roman" w:cs="Times New Roman"/>
        </w:rPr>
        <w:t xml:space="preserve">), the </w:t>
      </w:r>
      <w:r w:rsidR="005B7E3C" w:rsidRPr="00D26489">
        <w:rPr>
          <w:rFonts w:ascii="Times New Roman" w:hAnsi="Times New Roman" w:cs="Times New Roman"/>
        </w:rPr>
        <w:t>Securities Investor Protection Corporation</w:t>
      </w:r>
      <w:r w:rsidR="005B7E3C">
        <w:rPr>
          <w:rFonts w:ascii="Times New Roman" w:hAnsi="Times New Roman" w:cs="Times New Roman"/>
        </w:rPr>
        <w:t xml:space="preserve"> (SIPC), </w:t>
      </w:r>
      <w:r w:rsidR="009F0595">
        <w:rPr>
          <w:rFonts w:ascii="Times New Roman" w:hAnsi="Times New Roman" w:cs="Times New Roman"/>
        </w:rPr>
        <w:t xml:space="preserve">and state regulators. </w:t>
      </w:r>
      <w:r w:rsidR="00CE2BB8">
        <w:rPr>
          <w:rFonts w:ascii="Times New Roman" w:hAnsi="Times New Roman" w:cs="Times New Roman"/>
        </w:rPr>
        <w:t>ABC B/D could provide advisory services without necessitating I/A registration if those services were “solely incidental” to its B/D activities</w:t>
      </w:r>
      <w:r w:rsidR="007A1E20">
        <w:rPr>
          <w:rFonts w:ascii="Times New Roman" w:hAnsi="Times New Roman" w:cs="Times New Roman"/>
        </w:rPr>
        <w:t>.</w:t>
      </w:r>
      <w:r w:rsidR="00D74F0E">
        <w:rPr>
          <w:rStyle w:val="FootnoteReference"/>
          <w:rFonts w:ascii="Times New Roman" w:hAnsi="Times New Roman" w:cs="Times New Roman"/>
        </w:rPr>
        <w:footnoteReference w:id="1"/>
      </w:r>
      <w:r w:rsidR="007A1E20">
        <w:rPr>
          <w:rFonts w:ascii="Times New Roman" w:hAnsi="Times New Roman" w:cs="Times New Roman"/>
        </w:rPr>
        <w:t xml:space="preserve"> H</w:t>
      </w:r>
      <w:r w:rsidR="00CE2BB8">
        <w:rPr>
          <w:rFonts w:ascii="Times New Roman" w:hAnsi="Times New Roman" w:cs="Times New Roman"/>
        </w:rPr>
        <w:t xml:space="preserve">owever, since ABC I/A will serve </w:t>
      </w:r>
      <w:r w:rsidR="007A1E20">
        <w:rPr>
          <w:rFonts w:ascii="Times New Roman" w:hAnsi="Times New Roman" w:cs="Times New Roman"/>
        </w:rPr>
        <w:t xml:space="preserve">high net worth individuals, </w:t>
      </w:r>
      <w:r w:rsidR="00CE2BB8">
        <w:rPr>
          <w:rFonts w:ascii="Times New Roman" w:hAnsi="Times New Roman" w:cs="Times New Roman"/>
        </w:rPr>
        <w:t xml:space="preserve">customers not served by ABC B/D, </w:t>
      </w:r>
      <w:r w:rsidR="007A1E20">
        <w:rPr>
          <w:rFonts w:ascii="Times New Roman" w:hAnsi="Times New Roman" w:cs="Times New Roman"/>
        </w:rPr>
        <w:t>the</w:t>
      </w:r>
      <w:r w:rsidR="00CE2BB8">
        <w:rPr>
          <w:rFonts w:ascii="Times New Roman" w:hAnsi="Times New Roman" w:cs="Times New Roman"/>
        </w:rPr>
        <w:t xml:space="preserve"> I/A </w:t>
      </w:r>
      <w:r w:rsidR="007A1E20">
        <w:rPr>
          <w:rFonts w:ascii="Times New Roman" w:hAnsi="Times New Roman" w:cs="Times New Roman"/>
        </w:rPr>
        <w:t xml:space="preserve">entity </w:t>
      </w:r>
      <w:r w:rsidR="0055137E">
        <w:rPr>
          <w:rFonts w:ascii="Times New Roman" w:hAnsi="Times New Roman" w:cs="Times New Roman"/>
        </w:rPr>
        <w:t xml:space="preserve">cannot use the B/D exemption and it </w:t>
      </w:r>
      <w:r w:rsidR="00CE2BB8">
        <w:rPr>
          <w:rFonts w:ascii="Times New Roman" w:hAnsi="Times New Roman" w:cs="Times New Roman"/>
        </w:rPr>
        <w:t>must</w:t>
      </w:r>
      <w:r w:rsidR="00B24AA3">
        <w:rPr>
          <w:rFonts w:ascii="Times New Roman" w:hAnsi="Times New Roman" w:cs="Times New Roman"/>
        </w:rPr>
        <w:t xml:space="preserve"> register </w:t>
      </w:r>
      <w:r w:rsidR="005B7E3C">
        <w:rPr>
          <w:rFonts w:ascii="Times New Roman" w:hAnsi="Times New Roman" w:cs="Times New Roman"/>
        </w:rPr>
        <w:t>with eit</w:t>
      </w:r>
      <w:r w:rsidR="00E10673">
        <w:rPr>
          <w:rFonts w:ascii="Times New Roman" w:hAnsi="Times New Roman" w:cs="Times New Roman"/>
        </w:rPr>
        <w:t xml:space="preserve">her the SEC or state regulators, but not both. </w:t>
      </w:r>
    </w:p>
    <w:p w14:paraId="3E5E64F8" w14:textId="60BAE2D8" w:rsidR="006376B1" w:rsidRDefault="00730379" w:rsidP="0051195D">
      <w:pPr>
        <w:spacing w:line="480" w:lineRule="auto"/>
        <w:ind w:firstLine="720"/>
        <w:rPr>
          <w:rFonts w:ascii="Times New Roman" w:hAnsi="Times New Roman" w:cs="Times New Roman"/>
        </w:rPr>
      </w:pPr>
      <w:r>
        <w:rPr>
          <w:rFonts w:ascii="Times New Roman" w:hAnsi="Times New Roman" w:cs="Times New Roman"/>
        </w:rPr>
        <w:lastRenderedPageBreak/>
        <w:t xml:space="preserve">Part </w:t>
      </w:r>
      <w:r w:rsidR="009D26CE">
        <w:rPr>
          <w:rFonts w:ascii="Times New Roman" w:hAnsi="Times New Roman" w:cs="Times New Roman"/>
        </w:rPr>
        <w:t>II</w:t>
      </w:r>
      <w:r>
        <w:rPr>
          <w:rFonts w:ascii="Times New Roman" w:hAnsi="Times New Roman" w:cs="Times New Roman"/>
        </w:rPr>
        <w:t>I</w:t>
      </w:r>
      <w:r w:rsidR="00BB71F0">
        <w:rPr>
          <w:rFonts w:ascii="Times New Roman" w:hAnsi="Times New Roman" w:cs="Times New Roman"/>
        </w:rPr>
        <w:t xml:space="preserve"> </w:t>
      </w:r>
      <w:r w:rsidR="009D26CE">
        <w:rPr>
          <w:rFonts w:ascii="Times New Roman" w:hAnsi="Times New Roman" w:cs="Times New Roman"/>
        </w:rPr>
        <w:t>discusses</w:t>
      </w:r>
      <w:r w:rsidR="00935CA1">
        <w:rPr>
          <w:rFonts w:ascii="Times New Roman" w:hAnsi="Times New Roman" w:cs="Times New Roman"/>
        </w:rPr>
        <w:t xml:space="preserve"> the </w:t>
      </w:r>
      <w:r w:rsidR="00BB71F0">
        <w:rPr>
          <w:rFonts w:ascii="Times New Roman" w:hAnsi="Times New Roman" w:cs="Times New Roman"/>
        </w:rPr>
        <w:t xml:space="preserve">role of </w:t>
      </w:r>
      <w:r w:rsidR="00935CA1">
        <w:rPr>
          <w:rFonts w:ascii="Times New Roman" w:hAnsi="Times New Roman" w:cs="Times New Roman"/>
        </w:rPr>
        <w:t xml:space="preserve">compliance </w:t>
      </w:r>
      <w:r w:rsidR="009D26CE">
        <w:rPr>
          <w:rFonts w:ascii="Times New Roman" w:hAnsi="Times New Roman" w:cs="Times New Roman"/>
        </w:rPr>
        <w:t xml:space="preserve">in B/D and I/A entities </w:t>
      </w:r>
      <w:r w:rsidR="00BB71F0">
        <w:rPr>
          <w:rFonts w:ascii="Times New Roman" w:hAnsi="Times New Roman" w:cs="Times New Roman"/>
        </w:rPr>
        <w:t xml:space="preserve">and the </w:t>
      </w:r>
      <w:r w:rsidR="00AC2180">
        <w:rPr>
          <w:rFonts w:ascii="Times New Roman" w:hAnsi="Times New Roman" w:cs="Times New Roman"/>
        </w:rPr>
        <w:t xml:space="preserve">development compliance programs within each entity to ensure conformity with the applicable laws and regulations. </w:t>
      </w:r>
      <w:r w:rsidR="00FF2C13">
        <w:rPr>
          <w:rFonts w:ascii="Times New Roman" w:hAnsi="Times New Roman" w:cs="Times New Roman"/>
        </w:rPr>
        <w:t xml:space="preserve">While the compliance goals of each will be similar, each entity will face distinct </w:t>
      </w:r>
      <w:r w:rsidR="00AC2180">
        <w:rPr>
          <w:rFonts w:ascii="Times New Roman" w:hAnsi="Times New Roman" w:cs="Times New Roman"/>
        </w:rPr>
        <w:t>business, compliance, and legal</w:t>
      </w:r>
      <w:r w:rsidR="00FF2C13">
        <w:rPr>
          <w:rFonts w:ascii="Times New Roman" w:hAnsi="Times New Roman" w:cs="Times New Roman"/>
        </w:rPr>
        <w:t xml:space="preserve"> </w:t>
      </w:r>
      <w:r w:rsidR="00AC2180">
        <w:rPr>
          <w:rFonts w:ascii="Times New Roman" w:hAnsi="Times New Roman" w:cs="Times New Roman"/>
        </w:rPr>
        <w:t xml:space="preserve">and risks such </w:t>
      </w:r>
      <w:r w:rsidR="00FF2C13">
        <w:rPr>
          <w:rFonts w:ascii="Times New Roman" w:hAnsi="Times New Roman" w:cs="Times New Roman"/>
        </w:rPr>
        <w:t xml:space="preserve">that </w:t>
      </w:r>
      <w:r w:rsidR="00AC2180">
        <w:rPr>
          <w:rFonts w:ascii="Times New Roman" w:hAnsi="Times New Roman" w:cs="Times New Roman"/>
        </w:rPr>
        <w:t xml:space="preserve">each </w:t>
      </w:r>
      <w:r w:rsidR="00FF2C13">
        <w:rPr>
          <w:rFonts w:ascii="Times New Roman" w:hAnsi="Times New Roman" w:cs="Times New Roman"/>
        </w:rPr>
        <w:t>will necessitate separate compliance programs</w:t>
      </w:r>
      <w:r w:rsidR="00246540">
        <w:rPr>
          <w:rFonts w:ascii="Times New Roman" w:hAnsi="Times New Roman" w:cs="Times New Roman"/>
        </w:rPr>
        <w:t xml:space="preserve"> that address the </w:t>
      </w:r>
      <w:r w:rsidR="00AC2180">
        <w:rPr>
          <w:rFonts w:ascii="Times New Roman" w:hAnsi="Times New Roman" w:cs="Times New Roman"/>
        </w:rPr>
        <w:t>intricacies of each business.</w:t>
      </w:r>
      <w:r w:rsidR="00FF2C13">
        <w:rPr>
          <w:rFonts w:ascii="Times New Roman" w:hAnsi="Times New Roman" w:cs="Times New Roman"/>
        </w:rPr>
        <w:t xml:space="preserve"> </w:t>
      </w:r>
      <w:r w:rsidR="00C51ACF">
        <w:rPr>
          <w:rFonts w:ascii="Times New Roman" w:hAnsi="Times New Roman" w:cs="Times New Roman"/>
        </w:rPr>
        <w:t xml:space="preserve">ABC B/D will contend with the prescriptive, rules-based regime </w:t>
      </w:r>
      <w:r w:rsidR="00882D15">
        <w:rPr>
          <w:rFonts w:ascii="Times New Roman" w:hAnsi="Times New Roman" w:cs="Times New Roman"/>
        </w:rPr>
        <w:t>of</w:t>
      </w:r>
      <w:r w:rsidR="00C51ACF">
        <w:rPr>
          <w:rFonts w:ascii="Times New Roman" w:hAnsi="Times New Roman" w:cs="Times New Roman"/>
        </w:rPr>
        <w:t xml:space="preserve"> the Exchange Act, while ABC I/A will operate under broad</w:t>
      </w:r>
      <w:r w:rsidR="00882D15">
        <w:rPr>
          <w:rFonts w:ascii="Times New Roman" w:hAnsi="Times New Roman" w:cs="Times New Roman"/>
        </w:rPr>
        <w:t>er, principles-based framework of the Advisers Act.</w:t>
      </w:r>
    </w:p>
    <w:p w14:paraId="0193098F" w14:textId="00E25293" w:rsidR="00DE4CE4" w:rsidRPr="00DE4CE4" w:rsidRDefault="00DE4CE4" w:rsidP="00DE4CE4">
      <w:pPr>
        <w:spacing w:line="480" w:lineRule="auto"/>
        <w:jc w:val="center"/>
        <w:rPr>
          <w:rFonts w:ascii="Times New Roman" w:hAnsi="Times New Roman" w:cs="Times New Roman"/>
          <w:b/>
          <w:u w:val="single"/>
        </w:rPr>
      </w:pPr>
      <w:r w:rsidRPr="00DE4CE4">
        <w:rPr>
          <w:rFonts w:ascii="Times New Roman" w:hAnsi="Times New Roman" w:cs="Times New Roman"/>
          <w:b/>
          <w:u w:val="single"/>
        </w:rPr>
        <w:t>DISCUSSION</w:t>
      </w:r>
    </w:p>
    <w:p w14:paraId="381BCE85" w14:textId="7478540E" w:rsidR="008278B0" w:rsidRPr="0069254D" w:rsidRDefault="006376B1" w:rsidP="008278B0">
      <w:pPr>
        <w:pStyle w:val="ListParagraph"/>
        <w:numPr>
          <w:ilvl w:val="0"/>
          <w:numId w:val="1"/>
        </w:numPr>
        <w:spacing w:line="480" w:lineRule="auto"/>
        <w:ind w:left="0" w:firstLine="0"/>
        <w:rPr>
          <w:rFonts w:ascii="Times New Roman" w:hAnsi="Times New Roman" w:cs="Times New Roman"/>
          <w:b/>
        </w:rPr>
      </w:pPr>
      <w:r w:rsidRPr="0069254D">
        <w:rPr>
          <w:rFonts w:ascii="Times New Roman" w:hAnsi="Times New Roman" w:cs="Times New Roman"/>
          <w:b/>
        </w:rPr>
        <w:t>BROKER-DEALER</w:t>
      </w:r>
      <w:r w:rsidR="00730379">
        <w:rPr>
          <w:rFonts w:ascii="Times New Roman" w:hAnsi="Times New Roman" w:cs="Times New Roman"/>
          <w:b/>
        </w:rPr>
        <w:t xml:space="preserve"> REGISTRATION</w:t>
      </w:r>
    </w:p>
    <w:p w14:paraId="390FBAB9" w14:textId="6F3A5A66" w:rsidR="00E97A64" w:rsidRDefault="00ED3432" w:rsidP="00903A48">
      <w:pPr>
        <w:pStyle w:val="ListParagraph"/>
        <w:spacing w:line="480" w:lineRule="auto"/>
        <w:ind w:left="0" w:firstLine="630"/>
        <w:rPr>
          <w:rFonts w:ascii="Times New Roman" w:hAnsi="Times New Roman" w:cs="Times New Roman"/>
        </w:rPr>
      </w:pPr>
      <w:r>
        <w:rPr>
          <w:rFonts w:ascii="Times New Roman" w:hAnsi="Times New Roman" w:cs="Times New Roman"/>
        </w:rPr>
        <w:t>Pursuant to t</w:t>
      </w:r>
      <w:r w:rsidR="007968F5">
        <w:rPr>
          <w:rFonts w:ascii="Times New Roman" w:hAnsi="Times New Roman" w:cs="Times New Roman"/>
        </w:rPr>
        <w:t xml:space="preserve">he </w:t>
      </w:r>
      <w:r w:rsidR="005A54D3">
        <w:rPr>
          <w:rFonts w:ascii="Times New Roman" w:hAnsi="Times New Roman" w:cs="Times New Roman"/>
        </w:rPr>
        <w:t>Exchange Act</w:t>
      </w:r>
      <w:r>
        <w:rPr>
          <w:rFonts w:ascii="Times New Roman" w:hAnsi="Times New Roman" w:cs="Times New Roman"/>
        </w:rPr>
        <w:t xml:space="preserve">, </w:t>
      </w:r>
      <w:r w:rsidR="00EE4AC0">
        <w:rPr>
          <w:rFonts w:ascii="Times New Roman" w:hAnsi="Times New Roman" w:cs="Times New Roman"/>
        </w:rPr>
        <w:t xml:space="preserve">assuming that </w:t>
      </w:r>
      <w:r>
        <w:rPr>
          <w:rFonts w:ascii="Times New Roman" w:hAnsi="Times New Roman" w:cs="Times New Roman"/>
        </w:rPr>
        <w:t xml:space="preserve">ABC </w:t>
      </w:r>
      <w:r w:rsidR="00835499">
        <w:rPr>
          <w:rFonts w:ascii="Times New Roman" w:hAnsi="Times New Roman" w:cs="Times New Roman"/>
        </w:rPr>
        <w:t>B/D</w:t>
      </w:r>
      <w:r w:rsidR="00EE4AC0">
        <w:rPr>
          <w:rFonts w:ascii="Times New Roman" w:hAnsi="Times New Roman" w:cs="Times New Roman"/>
        </w:rPr>
        <w:t xml:space="preserve"> will engage in multi-state business, </w:t>
      </w:r>
      <w:r w:rsidR="00C21B0A">
        <w:rPr>
          <w:rFonts w:ascii="Times New Roman" w:hAnsi="Times New Roman" w:cs="Times New Roman"/>
        </w:rPr>
        <w:t>it</w:t>
      </w:r>
      <w:r w:rsidR="00835499">
        <w:rPr>
          <w:rFonts w:ascii="Times New Roman" w:hAnsi="Times New Roman" w:cs="Times New Roman"/>
        </w:rPr>
        <w:t xml:space="preserve"> </w:t>
      </w:r>
      <w:r>
        <w:rPr>
          <w:rFonts w:ascii="Times New Roman" w:hAnsi="Times New Roman" w:cs="Times New Roman"/>
        </w:rPr>
        <w:t xml:space="preserve">must register with the </w:t>
      </w:r>
      <w:r w:rsidR="005A54D3">
        <w:rPr>
          <w:rFonts w:ascii="Times New Roman" w:hAnsi="Times New Roman" w:cs="Times New Roman"/>
        </w:rPr>
        <w:t xml:space="preserve">SEC </w:t>
      </w:r>
      <w:r>
        <w:rPr>
          <w:rFonts w:ascii="Times New Roman" w:hAnsi="Times New Roman" w:cs="Times New Roman"/>
        </w:rPr>
        <w:t xml:space="preserve">in order to </w:t>
      </w:r>
      <w:r w:rsidR="00603CDD">
        <w:rPr>
          <w:rFonts w:ascii="Times New Roman" w:hAnsi="Times New Roman" w:cs="Times New Roman"/>
        </w:rPr>
        <w:t xml:space="preserve">engage in market making activities </w:t>
      </w:r>
      <w:r w:rsidR="00835499">
        <w:rPr>
          <w:rFonts w:ascii="Times New Roman" w:hAnsi="Times New Roman" w:cs="Times New Roman"/>
        </w:rPr>
        <w:t>in securities</w:t>
      </w:r>
      <w:r w:rsidR="00322A06">
        <w:rPr>
          <w:rFonts w:ascii="Times New Roman" w:hAnsi="Times New Roman" w:cs="Times New Roman"/>
        </w:rPr>
        <w:t xml:space="preserve"> for its institutional customers and on its own account</w:t>
      </w:r>
      <w:r w:rsidR="00603CDD">
        <w:rPr>
          <w:rFonts w:ascii="Times New Roman" w:hAnsi="Times New Roman" w:cs="Times New Roman"/>
        </w:rPr>
        <w:t>.</w:t>
      </w:r>
      <w:r>
        <w:rPr>
          <w:rStyle w:val="FootnoteReference"/>
          <w:rFonts w:ascii="Times New Roman" w:hAnsi="Times New Roman" w:cs="Times New Roman"/>
        </w:rPr>
        <w:footnoteReference w:id="2"/>
      </w:r>
      <w:r w:rsidR="00603CDD">
        <w:rPr>
          <w:rFonts w:ascii="Times New Roman" w:hAnsi="Times New Roman" w:cs="Times New Roman"/>
        </w:rPr>
        <w:t xml:space="preserve"> </w:t>
      </w:r>
      <w:r>
        <w:rPr>
          <w:rFonts w:ascii="Times New Roman" w:hAnsi="Times New Roman" w:cs="Times New Roman"/>
        </w:rPr>
        <w:t xml:space="preserve">Specifically, </w:t>
      </w:r>
      <w:r w:rsidR="00F977C6">
        <w:rPr>
          <w:rFonts w:ascii="Times New Roman" w:hAnsi="Times New Roman" w:cs="Times New Roman"/>
        </w:rPr>
        <w:t>Section 15(a) of the Exchange Act</w:t>
      </w:r>
      <w:r w:rsidR="00603CDD">
        <w:rPr>
          <w:rFonts w:ascii="Times New Roman" w:hAnsi="Times New Roman" w:cs="Times New Roman"/>
        </w:rPr>
        <w:t xml:space="preserve"> requires </w:t>
      </w:r>
      <w:r w:rsidR="007968F5">
        <w:rPr>
          <w:rFonts w:ascii="Times New Roman" w:hAnsi="Times New Roman" w:cs="Times New Roman"/>
        </w:rPr>
        <w:t xml:space="preserve">that </w:t>
      </w:r>
      <w:r w:rsidR="00903A48">
        <w:rPr>
          <w:rFonts w:ascii="Times New Roman" w:hAnsi="Times New Roman" w:cs="Times New Roman"/>
        </w:rPr>
        <w:t>B/Ds</w:t>
      </w:r>
      <w:r w:rsidR="007968F5">
        <w:rPr>
          <w:rFonts w:ascii="Times New Roman" w:hAnsi="Times New Roman" w:cs="Times New Roman"/>
        </w:rPr>
        <w:t xml:space="preserve"> register with </w:t>
      </w:r>
      <w:r>
        <w:rPr>
          <w:rFonts w:ascii="Times New Roman" w:hAnsi="Times New Roman" w:cs="Times New Roman"/>
        </w:rPr>
        <w:t xml:space="preserve">the SEC </w:t>
      </w:r>
      <w:r w:rsidR="007968F5">
        <w:rPr>
          <w:rFonts w:ascii="Times New Roman" w:hAnsi="Times New Roman" w:cs="Times New Roman"/>
        </w:rPr>
        <w:t xml:space="preserve">in order to conduct their business, unless an exemption applies. </w:t>
      </w:r>
      <w:r w:rsidR="00CA484A">
        <w:rPr>
          <w:rFonts w:ascii="Times New Roman" w:hAnsi="Times New Roman" w:cs="Times New Roman"/>
        </w:rPr>
        <w:t xml:space="preserve">While banks </w:t>
      </w:r>
      <w:r w:rsidR="007E0167">
        <w:rPr>
          <w:rFonts w:ascii="Times New Roman" w:hAnsi="Times New Roman" w:cs="Times New Roman"/>
        </w:rPr>
        <w:t>enjoy specific exemptions from registration as a B/D, the exemptions are limited and not available for bank subsidiaries or affiliates who engage in B/D activities.</w:t>
      </w:r>
      <w:r w:rsidR="007E0167">
        <w:rPr>
          <w:rStyle w:val="FootnoteReference"/>
          <w:rFonts w:ascii="Times New Roman" w:hAnsi="Times New Roman" w:cs="Times New Roman"/>
        </w:rPr>
        <w:footnoteReference w:id="3"/>
      </w:r>
      <w:r w:rsidR="0045778E">
        <w:rPr>
          <w:rFonts w:ascii="Times New Roman" w:hAnsi="Times New Roman" w:cs="Times New Roman"/>
        </w:rPr>
        <w:t xml:space="preserve"> B</w:t>
      </w:r>
      <w:r w:rsidR="00C7128A">
        <w:rPr>
          <w:rFonts w:ascii="Times New Roman" w:hAnsi="Times New Roman" w:cs="Times New Roman"/>
        </w:rPr>
        <w:t>y establishing ABC B/D, ABC will effectively</w:t>
      </w:r>
      <w:r w:rsidR="0045778E">
        <w:rPr>
          <w:rFonts w:ascii="Times New Roman" w:hAnsi="Times New Roman" w:cs="Times New Roman"/>
        </w:rPr>
        <w:t xml:space="preserve"> protect its banking enterprise by “pushing out” its securities activities to ABC B/D.</w:t>
      </w:r>
    </w:p>
    <w:p w14:paraId="5706F1DC" w14:textId="2CE6CB97" w:rsidR="005D3789" w:rsidRPr="005D3789" w:rsidRDefault="005D3789" w:rsidP="005D3789">
      <w:pPr>
        <w:pStyle w:val="ListParagraph"/>
        <w:numPr>
          <w:ilvl w:val="1"/>
          <w:numId w:val="1"/>
        </w:numPr>
        <w:spacing w:line="480" w:lineRule="auto"/>
        <w:rPr>
          <w:rFonts w:ascii="Times New Roman" w:hAnsi="Times New Roman" w:cs="Times New Roman"/>
          <w:i/>
        </w:rPr>
      </w:pPr>
      <w:r w:rsidRPr="005D3789">
        <w:rPr>
          <w:rFonts w:ascii="Times New Roman" w:hAnsi="Times New Roman" w:cs="Times New Roman"/>
          <w:i/>
        </w:rPr>
        <w:t>Form BD</w:t>
      </w:r>
    </w:p>
    <w:p w14:paraId="6FC23134" w14:textId="4CDBEDE3" w:rsidR="008278B0" w:rsidRDefault="007968F5" w:rsidP="0069254D">
      <w:pPr>
        <w:pStyle w:val="ListParagraph"/>
        <w:spacing w:line="480" w:lineRule="auto"/>
        <w:ind w:left="0" w:firstLine="720"/>
        <w:rPr>
          <w:rFonts w:ascii="Times New Roman" w:hAnsi="Times New Roman" w:cs="Times New Roman"/>
        </w:rPr>
      </w:pPr>
      <w:r>
        <w:rPr>
          <w:rFonts w:ascii="Times New Roman" w:hAnsi="Times New Roman" w:cs="Times New Roman"/>
        </w:rPr>
        <w:t xml:space="preserve">Section 15(b) </w:t>
      </w:r>
      <w:r w:rsidR="00525880">
        <w:rPr>
          <w:rFonts w:ascii="Times New Roman" w:hAnsi="Times New Roman" w:cs="Times New Roman"/>
        </w:rPr>
        <w:t>of the Exchange Act provides</w:t>
      </w:r>
      <w:r>
        <w:rPr>
          <w:rFonts w:ascii="Times New Roman" w:hAnsi="Times New Roman" w:cs="Times New Roman"/>
        </w:rPr>
        <w:t xml:space="preserve"> the formal requirements for B/D registration</w:t>
      </w:r>
      <w:r w:rsidR="00F069CD">
        <w:rPr>
          <w:rFonts w:ascii="Times New Roman" w:hAnsi="Times New Roman" w:cs="Times New Roman"/>
        </w:rPr>
        <w:t xml:space="preserve">, which will be effectuated through the filing </w:t>
      </w:r>
      <w:r w:rsidR="00936EA4">
        <w:rPr>
          <w:rFonts w:ascii="Times New Roman" w:hAnsi="Times New Roman" w:cs="Times New Roman"/>
        </w:rPr>
        <w:t xml:space="preserve">of </w:t>
      </w:r>
      <w:r w:rsidR="00F069CD">
        <w:rPr>
          <w:rFonts w:ascii="Times New Roman" w:hAnsi="Times New Roman" w:cs="Times New Roman"/>
        </w:rPr>
        <w:t>Form BD with the SEC</w:t>
      </w:r>
      <w:r>
        <w:rPr>
          <w:rFonts w:ascii="Times New Roman" w:hAnsi="Times New Roman" w:cs="Times New Roman"/>
        </w:rPr>
        <w:t>.</w:t>
      </w:r>
      <w:r w:rsidR="00F069CD">
        <w:rPr>
          <w:rStyle w:val="FootnoteReference"/>
          <w:rFonts w:ascii="Times New Roman" w:hAnsi="Times New Roman" w:cs="Times New Roman"/>
        </w:rPr>
        <w:footnoteReference w:id="4"/>
      </w:r>
      <w:r w:rsidR="0069254D">
        <w:rPr>
          <w:rFonts w:ascii="Times New Roman" w:hAnsi="Times New Roman" w:cs="Times New Roman"/>
        </w:rPr>
        <w:t xml:space="preserve"> </w:t>
      </w:r>
      <w:r w:rsidR="00392D14">
        <w:rPr>
          <w:rFonts w:ascii="Times New Roman" w:hAnsi="Times New Roman" w:cs="Times New Roman"/>
        </w:rPr>
        <w:t xml:space="preserve">ABC B/D will complete </w:t>
      </w:r>
      <w:r w:rsidR="00392D14">
        <w:rPr>
          <w:rFonts w:ascii="Times New Roman" w:hAnsi="Times New Roman" w:cs="Times New Roman"/>
        </w:rPr>
        <w:lastRenderedPageBreak/>
        <w:t xml:space="preserve">an initial </w:t>
      </w:r>
      <w:r w:rsidR="002278BD">
        <w:rPr>
          <w:rFonts w:ascii="Times New Roman" w:hAnsi="Times New Roman" w:cs="Times New Roman"/>
        </w:rPr>
        <w:t xml:space="preserve">Form BD </w:t>
      </w:r>
      <w:r w:rsidR="00392D14">
        <w:rPr>
          <w:rFonts w:ascii="Times New Roman" w:hAnsi="Times New Roman" w:cs="Times New Roman"/>
        </w:rPr>
        <w:t xml:space="preserve">filing, which </w:t>
      </w:r>
      <w:r w:rsidR="002278BD">
        <w:rPr>
          <w:rFonts w:ascii="Times New Roman" w:hAnsi="Times New Roman" w:cs="Times New Roman"/>
        </w:rPr>
        <w:t xml:space="preserve">will include information about </w:t>
      </w:r>
      <w:r w:rsidR="00525880">
        <w:rPr>
          <w:rFonts w:ascii="Times New Roman" w:hAnsi="Times New Roman" w:cs="Times New Roman"/>
        </w:rPr>
        <w:t>ABC B/D’s</w:t>
      </w:r>
      <w:r w:rsidR="002278BD">
        <w:rPr>
          <w:rFonts w:ascii="Times New Roman" w:hAnsi="Times New Roman" w:cs="Times New Roman"/>
        </w:rPr>
        <w:t xml:space="preserve"> </w:t>
      </w:r>
      <w:r w:rsidR="003E48C8">
        <w:rPr>
          <w:rFonts w:ascii="Times New Roman" w:hAnsi="Times New Roman" w:cs="Times New Roman"/>
        </w:rPr>
        <w:t>operations</w:t>
      </w:r>
      <w:r w:rsidR="00525880">
        <w:rPr>
          <w:rFonts w:ascii="Times New Roman" w:hAnsi="Times New Roman" w:cs="Times New Roman"/>
        </w:rPr>
        <w:t>, finances</w:t>
      </w:r>
      <w:r w:rsidR="002278BD">
        <w:rPr>
          <w:rFonts w:ascii="Times New Roman" w:hAnsi="Times New Roman" w:cs="Times New Roman"/>
        </w:rPr>
        <w:t xml:space="preserve">, </w:t>
      </w:r>
      <w:r w:rsidR="002B341C">
        <w:rPr>
          <w:rFonts w:ascii="Times New Roman" w:hAnsi="Times New Roman" w:cs="Times New Roman"/>
        </w:rPr>
        <w:t xml:space="preserve">compliance mechanisms, </w:t>
      </w:r>
      <w:r w:rsidR="002278BD">
        <w:rPr>
          <w:rFonts w:ascii="Times New Roman" w:hAnsi="Times New Roman" w:cs="Times New Roman"/>
        </w:rPr>
        <w:t xml:space="preserve">its directors, board, owners, control persons and affiliates, as well as past legal, regulatory, and criminal proceedings. </w:t>
      </w:r>
      <w:r w:rsidR="00170FA3">
        <w:rPr>
          <w:rFonts w:ascii="Times New Roman" w:hAnsi="Times New Roman" w:cs="Times New Roman"/>
        </w:rPr>
        <w:t xml:space="preserve">The form specifically defines the necessary terms, including what constitutes control, an affiliate, applicant, etc. </w:t>
      </w:r>
    </w:p>
    <w:p w14:paraId="30B3B7AF" w14:textId="178D0972" w:rsidR="00DB6C4E" w:rsidRDefault="00EC2FB4" w:rsidP="0069254D">
      <w:pPr>
        <w:pStyle w:val="ListParagraph"/>
        <w:spacing w:line="480" w:lineRule="auto"/>
        <w:ind w:left="0" w:firstLine="720"/>
        <w:rPr>
          <w:rFonts w:ascii="Times New Roman" w:hAnsi="Times New Roman" w:cs="Times New Roman"/>
        </w:rPr>
      </w:pPr>
      <w:r>
        <w:rPr>
          <w:rFonts w:ascii="Times New Roman" w:hAnsi="Times New Roman" w:cs="Times New Roman"/>
        </w:rPr>
        <w:t xml:space="preserve">Form BD includes various schedules. </w:t>
      </w:r>
      <w:r w:rsidR="0076066E">
        <w:rPr>
          <w:rFonts w:ascii="Times New Roman" w:hAnsi="Times New Roman" w:cs="Times New Roman"/>
        </w:rPr>
        <w:t xml:space="preserve">ABC B/D will complete </w:t>
      </w:r>
      <w:r w:rsidR="00DB6C4E">
        <w:rPr>
          <w:rFonts w:ascii="Times New Roman" w:hAnsi="Times New Roman" w:cs="Times New Roman"/>
        </w:rPr>
        <w:t>Schedule A and Schedule B</w:t>
      </w:r>
      <w:r w:rsidR="0076066E">
        <w:rPr>
          <w:rFonts w:ascii="Times New Roman" w:hAnsi="Times New Roman" w:cs="Times New Roman"/>
        </w:rPr>
        <w:t xml:space="preserve"> of Form BD</w:t>
      </w:r>
      <w:r w:rsidR="00936EA4">
        <w:rPr>
          <w:rFonts w:ascii="Times New Roman" w:hAnsi="Times New Roman" w:cs="Times New Roman"/>
        </w:rPr>
        <w:t xml:space="preserve">. </w:t>
      </w:r>
      <w:r w:rsidR="0076066E">
        <w:rPr>
          <w:rFonts w:ascii="Times New Roman" w:hAnsi="Times New Roman" w:cs="Times New Roman"/>
        </w:rPr>
        <w:t>Schedule C will be used in the future to update the form</w:t>
      </w:r>
      <w:r w:rsidR="00DB6C4E">
        <w:rPr>
          <w:rFonts w:ascii="Times New Roman" w:hAnsi="Times New Roman" w:cs="Times New Roman"/>
        </w:rPr>
        <w:t xml:space="preserve">. Information regarding ABC B/D’s direct owners and executive officers will be included in Schedule A. Information about indirect owners will be included in Schedule B. </w:t>
      </w:r>
      <w:r w:rsidR="0076066E">
        <w:rPr>
          <w:rFonts w:ascii="Times New Roman" w:hAnsi="Times New Roman" w:cs="Times New Roman"/>
        </w:rPr>
        <w:t xml:space="preserve">ABC B/D will also complete </w:t>
      </w:r>
      <w:r w:rsidR="004301B6">
        <w:rPr>
          <w:rFonts w:ascii="Times New Roman" w:hAnsi="Times New Roman" w:cs="Times New Roman"/>
        </w:rPr>
        <w:t xml:space="preserve">Form BD’s </w:t>
      </w:r>
      <w:r w:rsidR="00DB6C4E">
        <w:rPr>
          <w:rFonts w:ascii="Times New Roman" w:hAnsi="Times New Roman" w:cs="Times New Roman"/>
        </w:rPr>
        <w:t>disclosure reporting page</w:t>
      </w:r>
      <w:r w:rsidR="004301B6">
        <w:rPr>
          <w:rFonts w:ascii="Times New Roman" w:hAnsi="Times New Roman" w:cs="Times New Roman"/>
        </w:rPr>
        <w:t>s</w:t>
      </w:r>
      <w:r w:rsidR="00DB6C4E">
        <w:rPr>
          <w:rFonts w:ascii="Times New Roman" w:hAnsi="Times New Roman" w:cs="Times New Roman"/>
        </w:rPr>
        <w:t xml:space="preserve"> (DRP</w:t>
      </w:r>
      <w:r w:rsidR="004301B6">
        <w:rPr>
          <w:rFonts w:ascii="Times New Roman" w:hAnsi="Times New Roman" w:cs="Times New Roman"/>
        </w:rPr>
        <w:t>s) that is required of it determined by the answers to the yes or no questions provided on the form</w:t>
      </w:r>
      <w:r w:rsidR="0076066E">
        <w:rPr>
          <w:rFonts w:ascii="Times New Roman" w:hAnsi="Times New Roman" w:cs="Times New Roman"/>
        </w:rPr>
        <w:t>.</w:t>
      </w:r>
      <w:r w:rsidR="004301B6">
        <w:rPr>
          <w:rFonts w:ascii="Times New Roman" w:hAnsi="Times New Roman" w:cs="Times New Roman"/>
        </w:rPr>
        <w:t xml:space="preserve"> These questions include specifics about the criminal background of control persons and affiliates</w:t>
      </w:r>
      <w:r w:rsidR="00435DCB">
        <w:rPr>
          <w:rFonts w:ascii="Times New Roman" w:hAnsi="Times New Roman" w:cs="Times New Roman"/>
        </w:rPr>
        <w:t>, regulatory enforcement proceedings, civil actions, and past bankruptcies</w:t>
      </w:r>
      <w:r w:rsidR="004301B6">
        <w:rPr>
          <w:rFonts w:ascii="Times New Roman" w:hAnsi="Times New Roman" w:cs="Times New Roman"/>
        </w:rPr>
        <w:t>.</w:t>
      </w:r>
      <w:r w:rsidR="0076066E">
        <w:rPr>
          <w:rFonts w:ascii="Times New Roman" w:hAnsi="Times New Roman" w:cs="Times New Roman"/>
        </w:rPr>
        <w:t xml:space="preserve"> </w:t>
      </w:r>
      <w:r w:rsidR="004301B6">
        <w:rPr>
          <w:rFonts w:ascii="Times New Roman" w:hAnsi="Times New Roman" w:cs="Times New Roman"/>
        </w:rPr>
        <w:t xml:space="preserve">If ABC B/D plans to establish branch offices, information about such branches will be disclosed on Schedule E. </w:t>
      </w:r>
    </w:p>
    <w:p w14:paraId="09F9E66A" w14:textId="5F138E10" w:rsidR="00EC69DC" w:rsidRDefault="0076066E" w:rsidP="0069254D">
      <w:pPr>
        <w:pStyle w:val="ListParagraph"/>
        <w:spacing w:line="480" w:lineRule="auto"/>
        <w:ind w:left="0" w:firstLine="720"/>
        <w:rPr>
          <w:rFonts w:ascii="Times New Roman" w:hAnsi="Times New Roman" w:cs="Times New Roman"/>
        </w:rPr>
      </w:pPr>
      <w:r>
        <w:rPr>
          <w:rFonts w:ascii="Times New Roman" w:hAnsi="Times New Roman" w:cs="Times New Roman"/>
        </w:rPr>
        <w:t xml:space="preserve">ABC B/D will file </w:t>
      </w:r>
      <w:r w:rsidR="00EC69DC">
        <w:rPr>
          <w:rFonts w:ascii="Times New Roman" w:hAnsi="Times New Roman" w:cs="Times New Roman"/>
        </w:rPr>
        <w:t xml:space="preserve">Form BD </w:t>
      </w:r>
      <w:r w:rsidR="00BD4D67">
        <w:rPr>
          <w:rFonts w:ascii="Times New Roman" w:hAnsi="Times New Roman" w:cs="Times New Roman"/>
        </w:rPr>
        <w:t>through</w:t>
      </w:r>
      <w:r w:rsidR="00EC69DC">
        <w:rPr>
          <w:rFonts w:ascii="Times New Roman" w:hAnsi="Times New Roman" w:cs="Times New Roman"/>
        </w:rPr>
        <w:t xml:space="preserve"> the </w:t>
      </w:r>
      <w:r w:rsidR="00EC69DC" w:rsidRPr="00EC69DC">
        <w:rPr>
          <w:rFonts w:ascii="Times New Roman" w:hAnsi="Times New Roman" w:cs="Times New Roman"/>
        </w:rPr>
        <w:t xml:space="preserve">Central </w:t>
      </w:r>
      <w:r w:rsidR="00EC69DC">
        <w:rPr>
          <w:rFonts w:ascii="Times New Roman" w:hAnsi="Times New Roman" w:cs="Times New Roman"/>
        </w:rPr>
        <w:t xml:space="preserve">Registration Depository (CRD), which is operated by </w:t>
      </w:r>
      <w:r w:rsidR="005B7E3C">
        <w:rPr>
          <w:rFonts w:ascii="Times New Roman" w:hAnsi="Times New Roman" w:cs="Times New Roman"/>
        </w:rPr>
        <w:t>FINRA,</w:t>
      </w:r>
      <w:r w:rsidR="00EC69DC">
        <w:rPr>
          <w:rFonts w:ascii="Times New Roman" w:hAnsi="Times New Roman" w:cs="Times New Roman"/>
        </w:rPr>
        <w:t xml:space="preserve"> the </w:t>
      </w:r>
      <w:r w:rsidR="00EC69DC" w:rsidRPr="00F04C48">
        <w:rPr>
          <w:rFonts w:ascii="Times New Roman" w:hAnsi="Times New Roman" w:cs="Times New Roman"/>
        </w:rPr>
        <w:t>self-regulatory organization (SRO) that B/Ds</w:t>
      </w:r>
      <w:r w:rsidR="00EC69DC">
        <w:rPr>
          <w:rFonts w:ascii="Times New Roman" w:hAnsi="Times New Roman" w:cs="Times New Roman"/>
        </w:rPr>
        <w:t xml:space="preserve"> are required to be members of. </w:t>
      </w:r>
      <w:r>
        <w:rPr>
          <w:rFonts w:ascii="Times New Roman" w:hAnsi="Times New Roman" w:cs="Times New Roman"/>
        </w:rPr>
        <w:t xml:space="preserve">Since it is an initial Form DB filing, it is required to be submitted in full paper format. </w:t>
      </w:r>
      <w:r w:rsidR="00EC69DC">
        <w:rPr>
          <w:rFonts w:ascii="Times New Roman" w:hAnsi="Times New Roman" w:cs="Times New Roman"/>
        </w:rPr>
        <w:t>Within 45 days, the SEC will grant the application or institute proceedings to determine if it should be denied.</w:t>
      </w:r>
      <w:r w:rsidR="00F6091F">
        <w:rPr>
          <w:rFonts w:ascii="Times New Roman" w:hAnsi="Times New Roman" w:cs="Times New Roman"/>
        </w:rPr>
        <w:t xml:space="preserve"> Membership approval from FINRA could take longer than 45 days.</w:t>
      </w:r>
    </w:p>
    <w:p w14:paraId="3CA0C6D6" w14:textId="1288E419" w:rsidR="003242E0" w:rsidRPr="003242E0" w:rsidRDefault="003242E0" w:rsidP="003242E0">
      <w:pPr>
        <w:pStyle w:val="ListParagraph"/>
        <w:numPr>
          <w:ilvl w:val="1"/>
          <w:numId w:val="1"/>
        </w:numPr>
        <w:spacing w:line="480" w:lineRule="auto"/>
        <w:rPr>
          <w:rFonts w:ascii="Times New Roman" w:hAnsi="Times New Roman" w:cs="Times New Roman"/>
          <w:i/>
        </w:rPr>
      </w:pPr>
      <w:r>
        <w:rPr>
          <w:rFonts w:ascii="Times New Roman" w:hAnsi="Times New Roman" w:cs="Times New Roman"/>
          <w:i/>
        </w:rPr>
        <w:t>FINRA</w:t>
      </w:r>
    </w:p>
    <w:p w14:paraId="3E2005B4" w14:textId="586949C9" w:rsidR="00F04C48" w:rsidRDefault="003242E0" w:rsidP="00EC69DC">
      <w:pPr>
        <w:spacing w:line="480" w:lineRule="auto"/>
        <w:ind w:firstLine="720"/>
        <w:rPr>
          <w:rFonts w:ascii="Times New Roman" w:hAnsi="Times New Roman" w:cs="Times New Roman"/>
        </w:rPr>
      </w:pPr>
      <w:r>
        <w:rPr>
          <w:rFonts w:ascii="Times New Roman" w:hAnsi="Times New Roman" w:cs="Times New Roman"/>
        </w:rPr>
        <w:t>The Exchange Act also requires B/D to become a member of an SRO like FINRA.</w:t>
      </w:r>
      <w:r>
        <w:rPr>
          <w:rStyle w:val="FootnoteReference"/>
          <w:rFonts w:ascii="Times New Roman" w:hAnsi="Times New Roman" w:cs="Times New Roman"/>
        </w:rPr>
        <w:footnoteReference w:id="5"/>
      </w:r>
      <w:r>
        <w:rPr>
          <w:rFonts w:ascii="Times New Roman" w:hAnsi="Times New Roman" w:cs="Times New Roman"/>
        </w:rPr>
        <w:t xml:space="preserve"> </w:t>
      </w:r>
      <w:r w:rsidR="00500462">
        <w:rPr>
          <w:rFonts w:ascii="Times New Roman" w:hAnsi="Times New Roman" w:cs="Times New Roman"/>
        </w:rPr>
        <w:t xml:space="preserve">Form BD will also be used by ABC B/D to register as a member of </w:t>
      </w:r>
      <w:r w:rsidR="00EC69DC">
        <w:rPr>
          <w:rFonts w:ascii="Times New Roman" w:hAnsi="Times New Roman" w:cs="Times New Roman"/>
        </w:rPr>
        <w:t xml:space="preserve">FINRA. </w:t>
      </w:r>
      <w:r w:rsidR="00500462">
        <w:rPr>
          <w:rFonts w:ascii="Times New Roman" w:hAnsi="Times New Roman" w:cs="Times New Roman"/>
        </w:rPr>
        <w:t xml:space="preserve">In addition, FINRA </w:t>
      </w:r>
      <w:r w:rsidR="00F04C48">
        <w:rPr>
          <w:rFonts w:ascii="Times New Roman" w:hAnsi="Times New Roman" w:cs="Times New Roman"/>
        </w:rPr>
        <w:lastRenderedPageBreak/>
        <w:t xml:space="preserve">oversees the registration of those </w:t>
      </w:r>
      <w:r w:rsidR="00C72075">
        <w:rPr>
          <w:rFonts w:ascii="Times New Roman" w:hAnsi="Times New Roman" w:cs="Times New Roman"/>
        </w:rPr>
        <w:t xml:space="preserve">persons </w:t>
      </w:r>
      <w:r w:rsidR="00F04C48">
        <w:rPr>
          <w:rFonts w:ascii="Times New Roman" w:hAnsi="Times New Roman" w:cs="Times New Roman"/>
        </w:rPr>
        <w:t>affiliated with B/Ds</w:t>
      </w:r>
      <w:r w:rsidR="009F147F">
        <w:rPr>
          <w:rFonts w:ascii="Times New Roman" w:hAnsi="Times New Roman" w:cs="Times New Roman"/>
        </w:rPr>
        <w:t>,</w:t>
      </w:r>
      <w:r w:rsidR="00C72075">
        <w:rPr>
          <w:rFonts w:ascii="Times New Roman" w:hAnsi="Times New Roman" w:cs="Times New Roman"/>
        </w:rPr>
        <w:t xml:space="preserve"> </w:t>
      </w:r>
      <w:r w:rsidR="00675930">
        <w:rPr>
          <w:rFonts w:ascii="Times New Roman" w:hAnsi="Times New Roman" w:cs="Times New Roman"/>
        </w:rPr>
        <w:t>know</w:t>
      </w:r>
      <w:r w:rsidR="009F147F">
        <w:rPr>
          <w:rFonts w:ascii="Times New Roman" w:hAnsi="Times New Roman" w:cs="Times New Roman"/>
        </w:rPr>
        <w:t>n</w:t>
      </w:r>
      <w:r w:rsidR="00675930">
        <w:rPr>
          <w:rFonts w:ascii="Times New Roman" w:hAnsi="Times New Roman" w:cs="Times New Roman"/>
        </w:rPr>
        <w:t xml:space="preserve"> as “affiliated persons” (APs), and </w:t>
      </w:r>
      <w:r w:rsidR="00F04C48">
        <w:rPr>
          <w:rFonts w:ascii="Times New Roman" w:hAnsi="Times New Roman" w:cs="Times New Roman"/>
        </w:rPr>
        <w:t>administers certain qualifying exams for such individuals.</w:t>
      </w:r>
      <w:r w:rsidR="00675930">
        <w:rPr>
          <w:rStyle w:val="FootnoteReference"/>
          <w:rFonts w:ascii="Times New Roman" w:hAnsi="Times New Roman" w:cs="Times New Roman"/>
        </w:rPr>
        <w:footnoteReference w:id="6"/>
      </w:r>
      <w:r w:rsidR="00F04C48">
        <w:rPr>
          <w:rFonts w:ascii="Times New Roman" w:hAnsi="Times New Roman" w:cs="Times New Roman"/>
        </w:rPr>
        <w:t xml:space="preserve"> </w:t>
      </w:r>
      <w:r w:rsidR="00FE1B14">
        <w:rPr>
          <w:rFonts w:ascii="Times New Roman" w:hAnsi="Times New Roman" w:cs="Times New Roman"/>
        </w:rPr>
        <w:t>Generally, employees, registered representatives, will qualify as “associated persons” (APs) of the B/D who must be registered on Form U–4.</w:t>
      </w:r>
      <w:r w:rsidR="00FE1B14">
        <w:rPr>
          <w:rStyle w:val="FootnoteReference"/>
          <w:rFonts w:ascii="Times New Roman" w:hAnsi="Times New Roman" w:cs="Times New Roman"/>
        </w:rPr>
        <w:footnoteReference w:id="7"/>
      </w:r>
      <w:r w:rsidR="00FE1B14">
        <w:rPr>
          <w:rFonts w:ascii="Times New Roman" w:hAnsi="Times New Roman" w:cs="Times New Roman"/>
        </w:rPr>
        <w:t xml:space="preserve"> </w:t>
      </w:r>
      <w:r w:rsidR="00D17B92">
        <w:rPr>
          <w:rFonts w:ascii="Times New Roman" w:hAnsi="Times New Roman" w:cs="Times New Roman"/>
        </w:rPr>
        <w:t xml:space="preserve">Form U–4 provides disclosure regarding employees’ employment and disciplinary history. Some employees of ABC B/D will further need to qualify under the Series 7 examination. Other supervisory personnel will need to qualify beyond the Series 7 examination. </w:t>
      </w:r>
      <w:r w:rsidR="00F04C48">
        <w:rPr>
          <w:rFonts w:ascii="Times New Roman" w:hAnsi="Times New Roman" w:cs="Times New Roman"/>
        </w:rPr>
        <w:t xml:space="preserve">The owner of a B/D must qualify and register as a principal.  The Chief Compliance Officer will also need to register as a principal. </w:t>
      </w:r>
    </w:p>
    <w:p w14:paraId="1CCDAFE6" w14:textId="75ABE748" w:rsidR="00D26489" w:rsidRPr="003242E0" w:rsidRDefault="00D26489" w:rsidP="00D26489">
      <w:pPr>
        <w:pStyle w:val="ListParagraph"/>
        <w:numPr>
          <w:ilvl w:val="1"/>
          <w:numId w:val="1"/>
        </w:numPr>
        <w:spacing w:line="480" w:lineRule="auto"/>
        <w:rPr>
          <w:rFonts w:ascii="Times New Roman" w:hAnsi="Times New Roman" w:cs="Times New Roman"/>
          <w:i/>
        </w:rPr>
      </w:pPr>
      <w:r>
        <w:rPr>
          <w:rFonts w:ascii="Times New Roman" w:hAnsi="Times New Roman" w:cs="Times New Roman"/>
          <w:i/>
        </w:rPr>
        <w:t xml:space="preserve">Other B/D Registration Requirements </w:t>
      </w:r>
    </w:p>
    <w:p w14:paraId="644FA7E8" w14:textId="57243649" w:rsidR="00F04C48" w:rsidRDefault="00D26489" w:rsidP="00EC2FB4">
      <w:pPr>
        <w:spacing w:line="480" w:lineRule="auto"/>
        <w:ind w:firstLine="720"/>
        <w:rPr>
          <w:rFonts w:ascii="Times New Roman" w:hAnsi="Times New Roman" w:cs="Times New Roman"/>
        </w:rPr>
      </w:pPr>
      <w:r>
        <w:rPr>
          <w:rFonts w:ascii="Times New Roman" w:hAnsi="Times New Roman" w:cs="Times New Roman"/>
        </w:rPr>
        <w:t xml:space="preserve">ABC B/D will further need to register with the </w:t>
      </w:r>
      <w:r w:rsidRPr="00D26489">
        <w:rPr>
          <w:rFonts w:ascii="Times New Roman" w:hAnsi="Times New Roman" w:cs="Times New Roman"/>
        </w:rPr>
        <w:t>Securities Investor Protection Corporation</w:t>
      </w:r>
      <w:r>
        <w:rPr>
          <w:rFonts w:ascii="Times New Roman" w:hAnsi="Times New Roman" w:cs="Times New Roman"/>
        </w:rPr>
        <w:t xml:space="preserve"> (SIPC)</w:t>
      </w:r>
      <w:r w:rsidR="00AD01E3">
        <w:rPr>
          <w:rFonts w:ascii="Times New Roman" w:hAnsi="Times New Roman" w:cs="Times New Roman"/>
        </w:rPr>
        <w:t xml:space="preserve"> and be cognizant of the various state </w:t>
      </w:r>
      <w:r w:rsidR="00C45A52">
        <w:rPr>
          <w:rFonts w:ascii="Times New Roman" w:hAnsi="Times New Roman" w:cs="Times New Roman"/>
        </w:rPr>
        <w:t>regulatory frameworks</w:t>
      </w:r>
      <w:r w:rsidR="00AD01E3">
        <w:rPr>
          <w:rFonts w:ascii="Times New Roman" w:hAnsi="Times New Roman" w:cs="Times New Roman"/>
        </w:rPr>
        <w:t xml:space="preserve"> that apply to B/Ds</w:t>
      </w:r>
      <w:r w:rsidR="00A72143">
        <w:rPr>
          <w:rFonts w:ascii="Times New Roman" w:hAnsi="Times New Roman" w:cs="Times New Roman"/>
        </w:rPr>
        <w:t>.</w:t>
      </w:r>
      <w:r>
        <w:rPr>
          <w:rFonts w:ascii="Times New Roman" w:hAnsi="Times New Roman" w:cs="Times New Roman"/>
        </w:rPr>
        <w:t xml:space="preserve"> B/Ds must become SIPC members unless their business is exclusively intrastate or their principal place of business is outside the United States.</w:t>
      </w:r>
      <w:r>
        <w:rPr>
          <w:rStyle w:val="FootnoteReference"/>
          <w:rFonts w:ascii="Times New Roman" w:hAnsi="Times New Roman" w:cs="Times New Roman"/>
        </w:rPr>
        <w:footnoteReference w:id="8"/>
      </w:r>
      <w:r>
        <w:rPr>
          <w:rFonts w:ascii="Times New Roman" w:hAnsi="Times New Roman" w:cs="Times New Roman"/>
        </w:rPr>
        <w:t xml:space="preserve"> SIPC membership requires an annual fee, which allows the organization to provide for member’s customers in the event of a member’s liquidation.</w:t>
      </w:r>
      <w:r w:rsidR="00A72143">
        <w:rPr>
          <w:rFonts w:ascii="Times New Roman" w:hAnsi="Times New Roman" w:cs="Times New Roman"/>
        </w:rPr>
        <w:t xml:space="preserve"> </w:t>
      </w:r>
      <w:r w:rsidR="00C45A52">
        <w:rPr>
          <w:rFonts w:ascii="Times New Roman" w:hAnsi="Times New Roman" w:cs="Times New Roman"/>
        </w:rPr>
        <w:t>T</w:t>
      </w:r>
      <w:r w:rsidR="00804E2F">
        <w:rPr>
          <w:rFonts w:ascii="Times New Roman" w:hAnsi="Times New Roman" w:cs="Times New Roman"/>
        </w:rPr>
        <w:t xml:space="preserve">he North American Securities Administrators Association (NASAA) provides information about the </w:t>
      </w:r>
      <w:r w:rsidR="00C45A52">
        <w:rPr>
          <w:rFonts w:ascii="Times New Roman" w:hAnsi="Times New Roman" w:cs="Times New Roman"/>
        </w:rPr>
        <w:t>varying</w:t>
      </w:r>
      <w:r w:rsidR="00804E2F">
        <w:rPr>
          <w:rFonts w:ascii="Times New Roman" w:hAnsi="Times New Roman" w:cs="Times New Roman"/>
        </w:rPr>
        <w:t xml:space="preserve"> state</w:t>
      </w:r>
      <w:r w:rsidR="00C45A52">
        <w:rPr>
          <w:rFonts w:ascii="Times New Roman" w:hAnsi="Times New Roman" w:cs="Times New Roman"/>
        </w:rPr>
        <w:t>s</w:t>
      </w:r>
      <w:r w:rsidR="00804E2F">
        <w:rPr>
          <w:rFonts w:ascii="Times New Roman" w:hAnsi="Times New Roman" w:cs="Times New Roman"/>
        </w:rPr>
        <w:t xml:space="preserve"> </w:t>
      </w:r>
      <w:r w:rsidR="00C45A52">
        <w:rPr>
          <w:rFonts w:ascii="Times New Roman" w:hAnsi="Times New Roman" w:cs="Times New Roman"/>
        </w:rPr>
        <w:t>regulation of B/Ds</w:t>
      </w:r>
      <w:r w:rsidR="00804E2F">
        <w:rPr>
          <w:rFonts w:ascii="Times New Roman" w:hAnsi="Times New Roman" w:cs="Times New Roman"/>
        </w:rPr>
        <w:t>.</w:t>
      </w:r>
      <w:r w:rsidR="00804E2F">
        <w:rPr>
          <w:rStyle w:val="FootnoteReference"/>
          <w:rFonts w:ascii="Times New Roman" w:hAnsi="Times New Roman" w:cs="Times New Roman"/>
        </w:rPr>
        <w:footnoteReference w:id="9"/>
      </w:r>
      <w:r w:rsidR="00804E2F">
        <w:rPr>
          <w:rFonts w:ascii="Times New Roman" w:hAnsi="Times New Roman" w:cs="Times New Roman"/>
        </w:rPr>
        <w:t xml:space="preserve">  </w:t>
      </w:r>
      <w:r w:rsidR="00A72143">
        <w:rPr>
          <w:rFonts w:ascii="Times New Roman" w:hAnsi="Times New Roman" w:cs="Times New Roman"/>
        </w:rPr>
        <w:t xml:space="preserve"> </w:t>
      </w:r>
    </w:p>
    <w:p w14:paraId="749CD64B" w14:textId="77777777" w:rsidR="00BB71F0" w:rsidRPr="008641DC" w:rsidRDefault="00BB71F0" w:rsidP="00BB71F0">
      <w:pPr>
        <w:pStyle w:val="ListParagraph"/>
        <w:numPr>
          <w:ilvl w:val="0"/>
          <w:numId w:val="1"/>
        </w:numPr>
        <w:spacing w:line="480" w:lineRule="auto"/>
        <w:ind w:left="0" w:firstLine="0"/>
        <w:rPr>
          <w:rFonts w:ascii="Times New Roman" w:hAnsi="Times New Roman" w:cs="Times New Roman"/>
          <w:b/>
        </w:rPr>
      </w:pPr>
      <w:r w:rsidRPr="008641DC">
        <w:rPr>
          <w:rFonts w:ascii="Times New Roman" w:hAnsi="Times New Roman" w:cs="Times New Roman"/>
          <w:b/>
        </w:rPr>
        <w:t>INVESTMENT ADVISER</w:t>
      </w:r>
      <w:r>
        <w:rPr>
          <w:rFonts w:ascii="Times New Roman" w:hAnsi="Times New Roman" w:cs="Times New Roman"/>
          <w:b/>
        </w:rPr>
        <w:t xml:space="preserve"> REGISTRATION</w:t>
      </w:r>
    </w:p>
    <w:p w14:paraId="3FD5E6EB" w14:textId="40C503E4" w:rsidR="00BB71F0" w:rsidRDefault="000F48B7" w:rsidP="00BB71F0">
      <w:pPr>
        <w:pStyle w:val="ListParagraph"/>
        <w:spacing w:line="480" w:lineRule="auto"/>
        <w:ind w:left="0" w:firstLine="720"/>
        <w:rPr>
          <w:rFonts w:ascii="Times New Roman" w:hAnsi="Times New Roman" w:cs="Times New Roman"/>
        </w:rPr>
      </w:pPr>
      <w:r>
        <w:rPr>
          <w:rFonts w:ascii="Times New Roman" w:hAnsi="Times New Roman" w:cs="Times New Roman"/>
        </w:rPr>
        <w:t xml:space="preserve">ABC I/A will engage in the business of providing investment advice for its institutional customers and high net worth individuals. An I/A is any person or firm engaged in the business </w:t>
      </w:r>
      <w:r>
        <w:rPr>
          <w:rFonts w:ascii="Times New Roman" w:hAnsi="Times New Roman" w:cs="Times New Roman"/>
        </w:rPr>
        <w:lastRenderedPageBreak/>
        <w:t>(i.e. for compensation) of advising customers on investment decisions or issuing reports and analyses regarding securities.</w:t>
      </w:r>
      <w:r>
        <w:rPr>
          <w:rStyle w:val="FootnoteReference"/>
          <w:rFonts w:ascii="Times New Roman" w:hAnsi="Times New Roman" w:cs="Times New Roman"/>
        </w:rPr>
        <w:footnoteReference w:id="10"/>
      </w:r>
      <w:r>
        <w:rPr>
          <w:rFonts w:ascii="Times New Roman" w:hAnsi="Times New Roman" w:cs="Times New Roman"/>
        </w:rPr>
        <w:t xml:space="preserve"> </w:t>
      </w:r>
      <w:r w:rsidR="00BB71F0">
        <w:rPr>
          <w:rFonts w:ascii="Times New Roman" w:hAnsi="Times New Roman" w:cs="Times New Roman"/>
        </w:rPr>
        <w:t xml:space="preserve">The Advisers Act, and the rules and regulations promulgated thereunder by the SEC, governs the business of I/As and focuses on the special fiduciary nature of the advisory relationship. The Act aims to prevent fraud and manipulation in the advisory business and requires advisers to disclose certain information to the investing public. Among other things, it contains specific rules implemented in order to eliminate, or mitigate, conflicts of interests that may exist in investment advice rendered to customers.    </w:t>
      </w:r>
    </w:p>
    <w:p w14:paraId="0C089FF7" w14:textId="095007D2" w:rsidR="00BB71F0" w:rsidRDefault="00D74F0E" w:rsidP="00BB71F0">
      <w:pPr>
        <w:pStyle w:val="ListParagraph"/>
        <w:spacing w:line="480" w:lineRule="auto"/>
        <w:ind w:left="0" w:firstLine="720"/>
        <w:rPr>
          <w:rFonts w:ascii="Times New Roman" w:hAnsi="Times New Roman" w:cs="Times New Roman"/>
        </w:rPr>
      </w:pPr>
      <w:r>
        <w:rPr>
          <w:rFonts w:ascii="Times New Roman" w:hAnsi="Times New Roman" w:cs="Times New Roman"/>
        </w:rPr>
        <w:t>Under the Advisers Act, I/As must register with the SEC pursuant to the Advise</w:t>
      </w:r>
      <w:r w:rsidR="00DA6F41">
        <w:rPr>
          <w:rFonts w:ascii="Times New Roman" w:hAnsi="Times New Roman" w:cs="Times New Roman"/>
        </w:rPr>
        <w:t>rs Act or with state regulators</w:t>
      </w:r>
      <w:r>
        <w:rPr>
          <w:rFonts w:ascii="Times New Roman" w:hAnsi="Times New Roman" w:cs="Times New Roman"/>
        </w:rPr>
        <w:t xml:space="preserve">. </w:t>
      </w:r>
      <w:r w:rsidR="00BB71F0">
        <w:rPr>
          <w:rFonts w:ascii="Times New Roman" w:hAnsi="Times New Roman" w:cs="Times New Roman"/>
        </w:rPr>
        <w:t>The Act provides that entities which have less than $</w:t>
      </w:r>
      <w:r w:rsidR="000F48B7">
        <w:rPr>
          <w:rFonts w:ascii="Times New Roman" w:hAnsi="Times New Roman" w:cs="Times New Roman"/>
        </w:rPr>
        <w:t>100</w:t>
      </w:r>
      <w:r w:rsidR="00BB71F0">
        <w:rPr>
          <w:rFonts w:ascii="Times New Roman" w:hAnsi="Times New Roman" w:cs="Times New Roman"/>
        </w:rPr>
        <w:t xml:space="preserve"> million in assets under management (AUM) are prohibited from registering with the SEC and must solely register at the state level. However, t</w:t>
      </w:r>
      <w:r w:rsidR="00BB71F0" w:rsidRPr="00E812F2">
        <w:rPr>
          <w:rFonts w:ascii="Times New Roman" w:hAnsi="Times New Roman" w:cs="Times New Roman"/>
        </w:rPr>
        <w:t>his prohibition does not apply to entities that will be adv</w:t>
      </w:r>
      <w:r>
        <w:rPr>
          <w:rFonts w:ascii="Times New Roman" w:hAnsi="Times New Roman" w:cs="Times New Roman"/>
        </w:rPr>
        <w:t>ising investment companies</w:t>
      </w:r>
      <w:r w:rsidR="00BB71F0" w:rsidRPr="00E812F2">
        <w:rPr>
          <w:rFonts w:ascii="Times New Roman" w:hAnsi="Times New Roman" w:cs="Times New Roman"/>
        </w:rPr>
        <w:t>.</w:t>
      </w:r>
      <w:r w:rsidR="00BB71F0">
        <w:rPr>
          <w:rStyle w:val="FootnoteReference"/>
          <w:rFonts w:ascii="Times New Roman" w:hAnsi="Times New Roman" w:cs="Times New Roman"/>
        </w:rPr>
        <w:footnoteReference w:id="11"/>
      </w:r>
      <w:r w:rsidR="00BB71F0" w:rsidRPr="00E812F2">
        <w:rPr>
          <w:rFonts w:ascii="Times New Roman" w:hAnsi="Times New Roman" w:cs="Times New Roman"/>
        </w:rPr>
        <w:t xml:space="preserve"> </w:t>
      </w:r>
      <w:r>
        <w:rPr>
          <w:rFonts w:ascii="Times New Roman" w:hAnsi="Times New Roman" w:cs="Times New Roman"/>
        </w:rPr>
        <w:t xml:space="preserve">Since ABC I/A will be advising institutional entities, which presumably include investment companies, it is required to register with the SEC regardless of its AUM. </w:t>
      </w:r>
      <w:r w:rsidR="00BB71F0">
        <w:rPr>
          <w:rFonts w:ascii="Times New Roman" w:hAnsi="Times New Roman" w:cs="Times New Roman"/>
        </w:rPr>
        <w:t>By registering this separate entity, ABC Bank will avoid being classified as an “investment adviser” itself.</w:t>
      </w:r>
      <w:r w:rsidR="00BB71F0">
        <w:rPr>
          <w:rStyle w:val="FootnoteReference"/>
          <w:rFonts w:ascii="Times New Roman" w:hAnsi="Times New Roman" w:cs="Times New Roman"/>
        </w:rPr>
        <w:footnoteReference w:id="12"/>
      </w:r>
      <w:r w:rsidR="00BB71F0">
        <w:rPr>
          <w:rFonts w:ascii="Times New Roman" w:hAnsi="Times New Roman" w:cs="Times New Roman"/>
        </w:rPr>
        <w:t xml:space="preserve"> Registration at the firm level will cover ABC I/A employees and others under the firm’s control who participate in advisory activities on the firm’s behalf.</w:t>
      </w:r>
    </w:p>
    <w:p w14:paraId="41ED6AFF" w14:textId="77777777" w:rsidR="00BB71F0" w:rsidRPr="005D3789" w:rsidRDefault="00BB71F0" w:rsidP="00BB71F0">
      <w:pPr>
        <w:pStyle w:val="ListParagraph"/>
        <w:numPr>
          <w:ilvl w:val="1"/>
          <w:numId w:val="1"/>
        </w:numPr>
        <w:spacing w:line="480" w:lineRule="auto"/>
        <w:rPr>
          <w:rFonts w:ascii="Times New Roman" w:hAnsi="Times New Roman" w:cs="Times New Roman"/>
          <w:i/>
        </w:rPr>
      </w:pPr>
      <w:r w:rsidRPr="005D3789">
        <w:rPr>
          <w:rFonts w:ascii="Times New Roman" w:hAnsi="Times New Roman" w:cs="Times New Roman"/>
          <w:i/>
        </w:rPr>
        <w:t>Form ADV</w:t>
      </w:r>
    </w:p>
    <w:p w14:paraId="2B8A52F2" w14:textId="1D336F5E" w:rsidR="00BB71F0" w:rsidRDefault="00BB71F0" w:rsidP="00BB71F0">
      <w:pPr>
        <w:pStyle w:val="ListParagraph"/>
        <w:spacing w:line="480" w:lineRule="auto"/>
        <w:ind w:left="0" w:firstLine="720"/>
        <w:rPr>
          <w:rFonts w:ascii="Times New Roman" w:hAnsi="Times New Roman" w:cs="Times New Roman"/>
        </w:rPr>
      </w:pPr>
      <w:r>
        <w:rPr>
          <w:rFonts w:ascii="Times New Roman" w:hAnsi="Times New Roman" w:cs="Times New Roman"/>
        </w:rPr>
        <w:t xml:space="preserve">Form ADV includes two parts. Part 1 is subdivided into Part 1A and 1B. Part 1A will require information about the firm, controlling persons of the firm, and persons associated with the firm. The firm will need to fill out items </w:t>
      </w:r>
      <w:r w:rsidRPr="006F40A8">
        <w:rPr>
          <w:rFonts w:ascii="Times New Roman" w:hAnsi="Times New Roman" w:cs="Times New Roman"/>
        </w:rPr>
        <w:t>1, 2, 3, 6, 7, 10, and</w:t>
      </w:r>
      <w:r>
        <w:rPr>
          <w:rFonts w:ascii="Times New Roman" w:hAnsi="Times New Roman" w:cs="Times New Roman"/>
        </w:rPr>
        <w:t xml:space="preserve"> </w:t>
      </w:r>
      <w:r w:rsidRPr="006F40A8">
        <w:rPr>
          <w:rFonts w:ascii="Times New Roman" w:hAnsi="Times New Roman" w:cs="Times New Roman"/>
        </w:rPr>
        <w:t>11</w:t>
      </w:r>
      <w:r>
        <w:rPr>
          <w:rFonts w:ascii="Times New Roman" w:hAnsi="Times New Roman" w:cs="Times New Roman"/>
        </w:rPr>
        <w:t xml:space="preserve"> of Part 1A. There are also corresponding schedules that will need to be filled out. These include Schedules A, B, C, D, R, </w:t>
      </w:r>
      <w:r>
        <w:rPr>
          <w:rFonts w:ascii="Times New Roman" w:hAnsi="Times New Roman" w:cs="Times New Roman"/>
        </w:rPr>
        <w:lastRenderedPageBreak/>
        <w:t>and Disclosure Reporting Pages (DRPs)</w:t>
      </w:r>
      <w:r w:rsidRPr="006F40A8">
        <w:rPr>
          <w:rFonts w:ascii="Times New Roman" w:hAnsi="Times New Roman" w:cs="Times New Roman"/>
        </w:rPr>
        <w:t xml:space="preserve">. </w:t>
      </w:r>
      <w:r>
        <w:rPr>
          <w:rFonts w:ascii="Times New Roman" w:hAnsi="Times New Roman" w:cs="Times New Roman"/>
        </w:rPr>
        <w:t>Part 1B will not be required of the firm because it is only for those registering with state regulators. Part 2 includes Part 2A and 2B. Part 2A requires the firm to create a narrative brochure about its advisory business. Part 2B will include brochure supplements that contain information about the firm’s supervised persons.</w:t>
      </w:r>
    </w:p>
    <w:p w14:paraId="62FD203A" w14:textId="25922C9A" w:rsidR="002E3494" w:rsidRPr="002E3494" w:rsidRDefault="002E3494" w:rsidP="002E3494">
      <w:pPr>
        <w:pStyle w:val="ListParagraph"/>
        <w:spacing w:line="480" w:lineRule="auto"/>
        <w:ind w:left="0" w:firstLine="720"/>
        <w:rPr>
          <w:rFonts w:ascii="Times New Roman" w:hAnsi="Times New Roman" w:cs="Times New Roman"/>
        </w:rPr>
      </w:pPr>
      <w:r>
        <w:rPr>
          <w:rFonts w:ascii="Times New Roman" w:hAnsi="Times New Roman" w:cs="Times New Roman"/>
        </w:rPr>
        <w:t>ABC I/A will complete Form ADV and file it electronically with the SEC through the Investment Advisers Registration Depository (IARD).</w:t>
      </w:r>
      <w:r>
        <w:rPr>
          <w:rStyle w:val="FootnoteReference"/>
          <w:rFonts w:ascii="Times New Roman" w:hAnsi="Times New Roman" w:cs="Times New Roman"/>
        </w:rPr>
        <w:footnoteReference w:id="13"/>
      </w:r>
      <w:r>
        <w:rPr>
          <w:rFonts w:ascii="Times New Roman" w:hAnsi="Times New Roman" w:cs="Times New Roman"/>
        </w:rPr>
        <w:t xml:space="preserve"> After Form ADV is submitted, the SEC will respond within 45 days by either approving the registration or submitting the application for further administrative review.   </w:t>
      </w:r>
    </w:p>
    <w:p w14:paraId="3C35DA15" w14:textId="5E5D1B82" w:rsidR="002D31EA" w:rsidRPr="008641DC" w:rsidRDefault="00935CA1" w:rsidP="00935CA1">
      <w:pPr>
        <w:pStyle w:val="ListParagraph"/>
        <w:numPr>
          <w:ilvl w:val="0"/>
          <w:numId w:val="1"/>
        </w:numPr>
        <w:spacing w:line="480" w:lineRule="auto"/>
        <w:ind w:left="0" w:firstLine="0"/>
        <w:rPr>
          <w:rFonts w:ascii="Times New Roman" w:hAnsi="Times New Roman" w:cs="Times New Roman"/>
          <w:b/>
        </w:rPr>
      </w:pPr>
      <w:r w:rsidRPr="008641DC">
        <w:rPr>
          <w:rFonts w:ascii="Times New Roman" w:hAnsi="Times New Roman" w:cs="Times New Roman"/>
          <w:b/>
        </w:rPr>
        <w:t>BROKER-DEALER</w:t>
      </w:r>
      <w:r w:rsidR="00BB71F0">
        <w:rPr>
          <w:rFonts w:ascii="Times New Roman" w:hAnsi="Times New Roman" w:cs="Times New Roman"/>
          <w:b/>
        </w:rPr>
        <w:t xml:space="preserve"> AND INVESTMENT ADVISER</w:t>
      </w:r>
      <w:r w:rsidRPr="008641DC">
        <w:rPr>
          <w:rFonts w:ascii="Times New Roman" w:hAnsi="Times New Roman" w:cs="Times New Roman"/>
          <w:b/>
        </w:rPr>
        <w:t xml:space="preserve"> </w:t>
      </w:r>
      <w:r w:rsidR="00691AA0">
        <w:rPr>
          <w:rFonts w:ascii="Times New Roman" w:hAnsi="Times New Roman" w:cs="Times New Roman"/>
          <w:b/>
        </w:rPr>
        <w:t>COMPLIANCE</w:t>
      </w:r>
    </w:p>
    <w:p w14:paraId="5DB3E55D" w14:textId="2848ADC4" w:rsidR="00420C34" w:rsidRPr="00420C34" w:rsidRDefault="005D1E76" w:rsidP="00420C34">
      <w:pPr>
        <w:pStyle w:val="ListParagraph"/>
        <w:numPr>
          <w:ilvl w:val="1"/>
          <w:numId w:val="1"/>
        </w:numPr>
        <w:spacing w:line="480" w:lineRule="auto"/>
        <w:rPr>
          <w:rFonts w:ascii="Times New Roman" w:hAnsi="Times New Roman" w:cs="Times New Roman"/>
          <w:i/>
        </w:rPr>
      </w:pPr>
      <w:r>
        <w:rPr>
          <w:rFonts w:ascii="Times New Roman" w:hAnsi="Times New Roman" w:cs="Times New Roman"/>
          <w:i/>
        </w:rPr>
        <w:t xml:space="preserve">Role of Compliance </w:t>
      </w:r>
    </w:p>
    <w:p w14:paraId="5973051D" w14:textId="073F0EC0" w:rsidR="00420C34" w:rsidRDefault="00420C34" w:rsidP="00420C34">
      <w:pPr>
        <w:spacing w:line="480" w:lineRule="auto"/>
        <w:ind w:firstLine="720"/>
        <w:rPr>
          <w:rFonts w:ascii="Times New Roman" w:hAnsi="Times New Roman" w:cs="Times New Roman"/>
        </w:rPr>
      </w:pPr>
      <w:r>
        <w:rPr>
          <w:rFonts w:ascii="Times New Roman" w:hAnsi="Times New Roman" w:cs="Times New Roman"/>
        </w:rPr>
        <w:t xml:space="preserve">Compliance will be an essential component of both ABC B/D and ABC I/A at the registration stage and continuing for the life of the businesses. It is important to have compliance personnel to advise on various issues that arise in the real-time, monitor activities, transactions, and communications within each entity in order to identify improper conduct or weaknesses in procedures, and support the business unit and management through education and support. </w:t>
      </w:r>
    </w:p>
    <w:p w14:paraId="445CF45C" w14:textId="510A33C3" w:rsidR="00DA053A" w:rsidRDefault="00047029" w:rsidP="00047029">
      <w:pPr>
        <w:spacing w:line="480" w:lineRule="auto"/>
        <w:ind w:firstLine="720"/>
        <w:rPr>
          <w:rFonts w:ascii="Times New Roman" w:hAnsi="Times New Roman" w:cs="Times New Roman"/>
        </w:rPr>
      </w:pPr>
      <w:r>
        <w:rPr>
          <w:rFonts w:ascii="Times New Roman" w:hAnsi="Times New Roman" w:cs="Times New Roman"/>
        </w:rPr>
        <w:t>Compliance serves important roles in mitigating legal and regulatory risks, as well as business risks.</w:t>
      </w:r>
      <w:r w:rsidR="00420C34">
        <w:rPr>
          <w:rStyle w:val="FootnoteReference"/>
          <w:rFonts w:ascii="Times New Roman" w:hAnsi="Times New Roman" w:cs="Times New Roman"/>
        </w:rPr>
        <w:footnoteReference w:id="14"/>
      </w:r>
      <w:r w:rsidR="00420C34">
        <w:rPr>
          <w:rFonts w:ascii="Times New Roman" w:hAnsi="Times New Roman" w:cs="Times New Roman"/>
        </w:rPr>
        <w:t xml:space="preserve">  </w:t>
      </w:r>
      <w:r>
        <w:rPr>
          <w:rFonts w:ascii="Times New Roman" w:hAnsi="Times New Roman" w:cs="Times New Roman"/>
        </w:rPr>
        <w:t xml:space="preserve"> Registration as either a B/D or I/A will impose specific ongoing compliance obligations on the entities. To meet the standards of compliance required of these registered entities, they will need to establish well-functioning compliance programs administered by the Compliance Department and a CCO, annual review of the programs, and specified disclosures. Failure to meet the applicable requirements will subject them to the regulatory risk of </w:t>
      </w:r>
      <w:r>
        <w:rPr>
          <w:rFonts w:ascii="Times New Roman" w:hAnsi="Times New Roman" w:cs="Times New Roman"/>
        </w:rPr>
        <w:lastRenderedPageBreak/>
        <w:t xml:space="preserve">enforcement or litigation proceedings brought by </w:t>
      </w:r>
      <w:r w:rsidR="00C2223E">
        <w:rPr>
          <w:rFonts w:ascii="Times New Roman" w:hAnsi="Times New Roman" w:cs="Times New Roman"/>
        </w:rPr>
        <w:t xml:space="preserve">FINRA or </w:t>
      </w:r>
      <w:r>
        <w:rPr>
          <w:rFonts w:ascii="Times New Roman" w:hAnsi="Times New Roman" w:cs="Times New Roman"/>
        </w:rPr>
        <w:t>the SEC.</w:t>
      </w:r>
      <w:r w:rsidR="00C2223E">
        <w:rPr>
          <w:rStyle w:val="FootnoteReference"/>
          <w:rFonts w:ascii="Times New Roman" w:hAnsi="Times New Roman" w:cs="Times New Roman"/>
        </w:rPr>
        <w:footnoteReference w:id="15"/>
      </w:r>
      <w:r>
        <w:rPr>
          <w:rFonts w:ascii="Times New Roman" w:hAnsi="Times New Roman" w:cs="Times New Roman"/>
        </w:rPr>
        <w:t xml:space="preserve"> Further, as federally-regulated entities, they will be subject to the broad anti-fraud provisions of the Exchange Act and this poses the legal risk of criminal liability for bad actors.</w:t>
      </w:r>
      <w:r>
        <w:rPr>
          <w:rStyle w:val="FootnoteReference"/>
          <w:rFonts w:ascii="Times New Roman" w:hAnsi="Times New Roman" w:cs="Times New Roman"/>
        </w:rPr>
        <w:footnoteReference w:id="16"/>
      </w:r>
      <w:r>
        <w:rPr>
          <w:rFonts w:ascii="Times New Roman" w:hAnsi="Times New Roman" w:cs="Times New Roman"/>
        </w:rPr>
        <w:t xml:space="preserve"> Either of these events contribute to the risk of business failure due to enforcement or suspension or revocation of registration. By managing issues before they result in costly problems, a working compliance group effectively minimizes a broad range of these risks.</w:t>
      </w:r>
    </w:p>
    <w:p w14:paraId="18ACA7C9" w14:textId="0FC6A7AF" w:rsidR="001651BD" w:rsidRDefault="001651BD" w:rsidP="009F287C">
      <w:pPr>
        <w:spacing w:line="480" w:lineRule="auto"/>
        <w:ind w:firstLine="720"/>
        <w:rPr>
          <w:rFonts w:ascii="Times New Roman" w:hAnsi="Times New Roman" w:cs="Times New Roman"/>
        </w:rPr>
      </w:pPr>
      <w:r>
        <w:rPr>
          <w:rFonts w:ascii="Times New Roman" w:hAnsi="Times New Roman" w:cs="Times New Roman"/>
        </w:rPr>
        <w:t>While management will be subject to the duty to supervise,</w:t>
      </w:r>
      <w:r>
        <w:rPr>
          <w:rStyle w:val="FootnoteReference"/>
          <w:rFonts w:ascii="Times New Roman" w:hAnsi="Times New Roman" w:cs="Times New Roman"/>
        </w:rPr>
        <w:footnoteReference w:id="17"/>
      </w:r>
      <w:r>
        <w:rPr>
          <w:rFonts w:ascii="Times New Roman" w:hAnsi="Times New Roman" w:cs="Times New Roman"/>
        </w:rPr>
        <w:t xml:space="preserve"> the Compliance Department will function separately from the business units to instill a f</w:t>
      </w:r>
      <w:r w:rsidR="004F1033">
        <w:rPr>
          <w:rFonts w:ascii="Times New Roman" w:hAnsi="Times New Roman" w:cs="Times New Roman"/>
        </w:rPr>
        <w:t>irm-wide “culture of compliance,</w:t>
      </w:r>
      <w:r>
        <w:rPr>
          <w:rFonts w:ascii="Times New Roman" w:hAnsi="Times New Roman" w:cs="Times New Roman"/>
        </w:rPr>
        <w:t xml:space="preserve">” </w:t>
      </w:r>
      <w:r w:rsidR="004F1033">
        <w:rPr>
          <w:rFonts w:ascii="Times New Roman" w:hAnsi="Times New Roman" w:cs="Times New Roman"/>
        </w:rPr>
        <w:t>engaging</w:t>
      </w:r>
      <w:r>
        <w:rPr>
          <w:rFonts w:ascii="Times New Roman" w:hAnsi="Times New Roman" w:cs="Times New Roman"/>
        </w:rPr>
        <w:t xml:space="preserve"> in broad interactions among units of the firm, including legal, risk, audit, and management. The Department will coordinate with legal with respect to regulatory inquiries, filings, investigations, and potential violations. The Compliance Department will engage in open and direct communication with senior executives in order to promptly recognize, escalate or remedy potential issues. While serving many cross-unit functions within the firms, the Compliance Department will maintain substantial independence in order to serve important “control room” functions, such as creating informational barriers between</w:t>
      </w:r>
      <w:r w:rsidR="009F287C">
        <w:rPr>
          <w:rFonts w:ascii="Times New Roman" w:hAnsi="Times New Roman" w:cs="Times New Roman"/>
        </w:rPr>
        <w:t xml:space="preserve"> the B/D and I/A</w:t>
      </w:r>
      <w:r>
        <w:rPr>
          <w:rFonts w:ascii="Times New Roman" w:hAnsi="Times New Roman" w:cs="Times New Roman"/>
        </w:rPr>
        <w:t xml:space="preserve"> units, conducting unit evaluations, and maintaining restricted lists and personnel. It will also operate externally to foster relationships with regulators and keep informed of regulatory developments and changes.</w:t>
      </w:r>
    </w:p>
    <w:p w14:paraId="6018F423" w14:textId="332D8D91" w:rsidR="001651BD" w:rsidRDefault="001651BD" w:rsidP="000F7674">
      <w:pPr>
        <w:spacing w:line="480" w:lineRule="auto"/>
        <w:ind w:firstLine="720"/>
        <w:rPr>
          <w:rFonts w:ascii="Times New Roman" w:hAnsi="Times New Roman" w:cs="Times New Roman"/>
        </w:rPr>
      </w:pPr>
      <w:r>
        <w:rPr>
          <w:rFonts w:ascii="Times New Roman" w:hAnsi="Times New Roman" w:cs="Times New Roman"/>
        </w:rPr>
        <w:t>The extent of compliance efforts at the entities will be dictated by the size and resources available to them.</w:t>
      </w:r>
      <w:r>
        <w:rPr>
          <w:rStyle w:val="FootnoteReference"/>
          <w:rFonts w:ascii="Times New Roman" w:hAnsi="Times New Roman" w:cs="Times New Roman"/>
        </w:rPr>
        <w:footnoteReference w:id="18"/>
      </w:r>
      <w:r>
        <w:rPr>
          <w:rFonts w:ascii="Times New Roman" w:hAnsi="Times New Roman" w:cs="Times New Roman"/>
        </w:rPr>
        <w:t xml:space="preserve"> At the onset, it is possible that </w:t>
      </w:r>
      <w:r w:rsidR="00C343BB">
        <w:rPr>
          <w:rFonts w:ascii="Times New Roman" w:hAnsi="Times New Roman" w:cs="Times New Roman"/>
        </w:rPr>
        <w:t>one</w:t>
      </w:r>
      <w:r>
        <w:rPr>
          <w:rFonts w:ascii="Times New Roman" w:hAnsi="Times New Roman" w:cs="Times New Roman"/>
        </w:rPr>
        <w:t xml:space="preserve"> </w:t>
      </w:r>
      <w:r w:rsidR="00C343BB">
        <w:rPr>
          <w:rFonts w:ascii="Times New Roman" w:hAnsi="Times New Roman" w:cs="Times New Roman"/>
        </w:rPr>
        <w:t>Compliance Department</w:t>
      </w:r>
      <w:r>
        <w:rPr>
          <w:rFonts w:ascii="Times New Roman" w:hAnsi="Times New Roman" w:cs="Times New Roman"/>
        </w:rPr>
        <w:t xml:space="preserve"> with a single </w:t>
      </w:r>
      <w:r>
        <w:rPr>
          <w:rFonts w:ascii="Times New Roman" w:hAnsi="Times New Roman" w:cs="Times New Roman"/>
        </w:rPr>
        <w:lastRenderedPageBreak/>
        <w:t xml:space="preserve">Chief Compliance Officer (COO) will effectively serve the needs of both. However, as the entities grow and their compliance needs diverge, their compliance efforts will need to scale accordingly. Within the Compliance Department, the COO will be cognizant of the separate issues and risks faced by each entity </w:t>
      </w:r>
      <w:r w:rsidR="003258F1">
        <w:rPr>
          <w:rFonts w:ascii="Times New Roman" w:hAnsi="Times New Roman" w:cs="Times New Roman"/>
        </w:rPr>
        <w:t>in</w:t>
      </w:r>
      <w:r>
        <w:rPr>
          <w:rFonts w:ascii="Times New Roman" w:hAnsi="Times New Roman" w:cs="Times New Roman"/>
        </w:rPr>
        <w:t xml:space="preserve"> implement</w:t>
      </w:r>
      <w:r w:rsidR="003258F1">
        <w:rPr>
          <w:rFonts w:ascii="Times New Roman" w:hAnsi="Times New Roman" w:cs="Times New Roman"/>
        </w:rPr>
        <w:t>ing the</w:t>
      </w:r>
      <w:r>
        <w:rPr>
          <w:rFonts w:ascii="Times New Roman" w:hAnsi="Times New Roman" w:cs="Times New Roman"/>
        </w:rPr>
        <w:t xml:space="preserve"> compliance programs</w:t>
      </w:r>
      <w:r w:rsidR="001226A8">
        <w:rPr>
          <w:rFonts w:ascii="Times New Roman" w:hAnsi="Times New Roman" w:cs="Times New Roman"/>
        </w:rPr>
        <w:t>, paying special attention to possible conflicts of interest that may arise</w:t>
      </w:r>
      <w:r w:rsidR="003258F1">
        <w:rPr>
          <w:rFonts w:ascii="Times New Roman" w:hAnsi="Times New Roman" w:cs="Times New Roman"/>
        </w:rPr>
        <w:t>.</w:t>
      </w:r>
    </w:p>
    <w:p w14:paraId="7FF6FC51" w14:textId="0473514F" w:rsidR="00A57DCA" w:rsidRPr="00A57DCA" w:rsidRDefault="000F7674" w:rsidP="00A57DCA">
      <w:pPr>
        <w:pStyle w:val="ListParagraph"/>
        <w:numPr>
          <w:ilvl w:val="1"/>
          <w:numId w:val="1"/>
        </w:numPr>
        <w:spacing w:line="480" w:lineRule="auto"/>
        <w:rPr>
          <w:rFonts w:ascii="Times New Roman" w:hAnsi="Times New Roman" w:cs="Times New Roman"/>
          <w:i/>
        </w:rPr>
      </w:pPr>
      <w:r>
        <w:rPr>
          <w:rFonts w:ascii="Times New Roman" w:hAnsi="Times New Roman" w:cs="Times New Roman"/>
          <w:i/>
        </w:rPr>
        <w:t>Broker-Dealer Compliance Program</w:t>
      </w:r>
    </w:p>
    <w:p w14:paraId="01A7C628" w14:textId="446E7655" w:rsidR="00F56167" w:rsidRDefault="00A57DCA" w:rsidP="00F25019">
      <w:pPr>
        <w:spacing w:line="480" w:lineRule="auto"/>
        <w:ind w:firstLine="720"/>
        <w:rPr>
          <w:rFonts w:ascii="Times New Roman" w:hAnsi="Times New Roman" w:cs="Times New Roman"/>
        </w:rPr>
      </w:pPr>
      <w:r>
        <w:rPr>
          <w:rFonts w:ascii="Times New Roman" w:hAnsi="Times New Roman" w:cs="Times New Roman"/>
        </w:rPr>
        <w:t>ABC B/D’s Compliance Program will address the applicable rules and regulations of the Exchange Act and FINRA and provide for the necessary procedures to meet those regulatory goals. The C</w:t>
      </w:r>
      <w:r w:rsidR="00DA5E31">
        <w:rPr>
          <w:rFonts w:ascii="Times New Roman" w:hAnsi="Times New Roman" w:cs="Times New Roman"/>
        </w:rPr>
        <w:t xml:space="preserve">ompliance Program will focus on </w:t>
      </w:r>
      <w:r w:rsidR="00FB36F7">
        <w:rPr>
          <w:rFonts w:ascii="Times New Roman" w:hAnsi="Times New Roman" w:cs="Times New Roman"/>
        </w:rPr>
        <w:t>the financial, operational, reporting, and suitability requirements, as well as promoting anti-fraud efforts.</w:t>
      </w:r>
      <w:r>
        <w:rPr>
          <w:rFonts w:ascii="Times New Roman" w:hAnsi="Times New Roman" w:cs="Times New Roman"/>
        </w:rPr>
        <w:t xml:space="preserve"> </w:t>
      </w:r>
      <w:r w:rsidR="00FB36F7">
        <w:rPr>
          <w:rFonts w:ascii="Times New Roman" w:hAnsi="Times New Roman" w:cs="Times New Roman"/>
        </w:rPr>
        <w:t>Specific obligations will include recordkeeping,</w:t>
      </w:r>
      <w:r>
        <w:rPr>
          <w:rFonts w:ascii="Times New Roman" w:hAnsi="Times New Roman" w:cs="Times New Roman"/>
        </w:rPr>
        <w:t xml:space="preserve"> the net capital and reserve requirements, rules regarding the segregation of customer’s funds, and margin and extensions of credit rules. </w:t>
      </w:r>
      <w:r w:rsidR="00F56167">
        <w:rPr>
          <w:rFonts w:ascii="Times New Roman" w:hAnsi="Times New Roman" w:cs="Times New Roman"/>
        </w:rPr>
        <w:t xml:space="preserve">Further, ABC B/D must ensure that its employees and persons conducting B/D activities on its behalf are appropriately certified and apprised of their duties and responsibilities.     </w:t>
      </w:r>
    </w:p>
    <w:p w14:paraId="4BBF6F07" w14:textId="4595E9EA" w:rsidR="00924AC2" w:rsidRDefault="00047029" w:rsidP="00F25019">
      <w:pPr>
        <w:spacing w:line="480" w:lineRule="auto"/>
        <w:ind w:firstLine="720"/>
        <w:rPr>
          <w:rFonts w:ascii="Times New Roman" w:hAnsi="Times New Roman" w:cs="Times New Roman"/>
        </w:rPr>
      </w:pPr>
      <w:r>
        <w:rPr>
          <w:rFonts w:ascii="Times New Roman" w:hAnsi="Times New Roman" w:cs="Times New Roman"/>
        </w:rPr>
        <w:t xml:space="preserve">ABC B/D will </w:t>
      </w:r>
      <w:r w:rsidR="00890CC3">
        <w:rPr>
          <w:rFonts w:ascii="Times New Roman" w:hAnsi="Times New Roman" w:cs="Times New Roman"/>
        </w:rPr>
        <w:t xml:space="preserve">operate under </w:t>
      </w:r>
      <w:r w:rsidR="00F25019">
        <w:rPr>
          <w:rFonts w:ascii="Times New Roman" w:hAnsi="Times New Roman" w:cs="Times New Roman"/>
        </w:rPr>
        <w:t>the duty of best execution of customer’s orders,</w:t>
      </w:r>
      <w:r w:rsidR="00941478">
        <w:rPr>
          <w:rStyle w:val="FootnoteReference"/>
          <w:rFonts w:ascii="Times New Roman" w:hAnsi="Times New Roman" w:cs="Times New Roman"/>
        </w:rPr>
        <w:footnoteReference w:id="19"/>
      </w:r>
      <w:r w:rsidR="00F25019">
        <w:rPr>
          <w:rFonts w:ascii="Times New Roman" w:hAnsi="Times New Roman" w:cs="Times New Roman"/>
        </w:rPr>
        <w:t xml:space="preserve"> the duty of fair dealing,</w:t>
      </w:r>
      <w:r w:rsidR="008E111C">
        <w:rPr>
          <w:rStyle w:val="FootnoteReference"/>
          <w:rFonts w:ascii="Times New Roman" w:hAnsi="Times New Roman" w:cs="Times New Roman"/>
        </w:rPr>
        <w:footnoteReference w:id="20"/>
      </w:r>
      <w:r w:rsidR="00F25019">
        <w:rPr>
          <w:rFonts w:ascii="Times New Roman" w:hAnsi="Times New Roman" w:cs="Times New Roman"/>
        </w:rPr>
        <w:t xml:space="preserve"> and the duty to ensure the securities are “suitable” for their customers.</w:t>
      </w:r>
      <w:r w:rsidR="00283455">
        <w:rPr>
          <w:rStyle w:val="FootnoteReference"/>
          <w:rFonts w:ascii="Times New Roman" w:hAnsi="Times New Roman" w:cs="Times New Roman"/>
        </w:rPr>
        <w:footnoteReference w:id="21"/>
      </w:r>
      <w:r w:rsidR="00F25019">
        <w:rPr>
          <w:rFonts w:ascii="Times New Roman" w:hAnsi="Times New Roman" w:cs="Times New Roman"/>
        </w:rPr>
        <w:t xml:space="preserve"> </w:t>
      </w:r>
      <w:r w:rsidR="00376F34">
        <w:rPr>
          <w:rFonts w:ascii="Times New Roman" w:hAnsi="Times New Roman" w:cs="Times New Roman"/>
        </w:rPr>
        <w:t>Disclosure must also be made to customers regarding terms of credit.</w:t>
      </w:r>
      <w:r w:rsidR="00376F34">
        <w:rPr>
          <w:rStyle w:val="FootnoteReference"/>
          <w:rFonts w:ascii="Times New Roman" w:hAnsi="Times New Roman" w:cs="Times New Roman"/>
        </w:rPr>
        <w:footnoteReference w:id="22"/>
      </w:r>
      <w:r w:rsidR="00376F34">
        <w:rPr>
          <w:rFonts w:ascii="Times New Roman" w:hAnsi="Times New Roman" w:cs="Times New Roman"/>
        </w:rPr>
        <w:t xml:space="preserve"> </w:t>
      </w:r>
      <w:r>
        <w:rPr>
          <w:rFonts w:ascii="Times New Roman" w:hAnsi="Times New Roman" w:cs="Times New Roman"/>
        </w:rPr>
        <w:t>ABC B/D will be subject to specific rules regarding the protection of customer funds and information</w:t>
      </w:r>
      <w:r w:rsidR="00C2223E">
        <w:rPr>
          <w:rFonts w:ascii="Times New Roman" w:hAnsi="Times New Roman" w:cs="Times New Roman"/>
        </w:rPr>
        <w:t>–it must have polic</w:t>
      </w:r>
      <w:r w:rsidR="000F455E">
        <w:rPr>
          <w:rFonts w:ascii="Times New Roman" w:hAnsi="Times New Roman" w:cs="Times New Roman"/>
        </w:rPr>
        <w:t>i</w:t>
      </w:r>
      <w:r w:rsidR="00C2223E">
        <w:rPr>
          <w:rFonts w:ascii="Times New Roman" w:hAnsi="Times New Roman" w:cs="Times New Roman"/>
        </w:rPr>
        <w:t>es and procedures in place to ensure the protection of customer funds and information</w:t>
      </w:r>
      <w:r>
        <w:rPr>
          <w:rFonts w:ascii="Times New Roman" w:hAnsi="Times New Roman" w:cs="Times New Roman"/>
        </w:rPr>
        <w:t>.</w:t>
      </w:r>
      <w:r>
        <w:rPr>
          <w:rStyle w:val="FootnoteReference"/>
          <w:rFonts w:ascii="Times New Roman" w:hAnsi="Times New Roman" w:cs="Times New Roman"/>
        </w:rPr>
        <w:footnoteReference w:id="23"/>
      </w:r>
      <w:r>
        <w:rPr>
          <w:rFonts w:ascii="Times New Roman" w:hAnsi="Times New Roman" w:cs="Times New Roman"/>
        </w:rPr>
        <w:t xml:space="preserve"> </w:t>
      </w:r>
      <w:r w:rsidR="004C6254">
        <w:rPr>
          <w:rFonts w:ascii="Times New Roman" w:hAnsi="Times New Roman" w:cs="Times New Roman"/>
        </w:rPr>
        <w:lastRenderedPageBreak/>
        <w:t>After effectuating transaction, the B/D must have the necessary policies that provide for customer confirmation of orders.</w:t>
      </w:r>
      <w:r w:rsidR="004C6254">
        <w:rPr>
          <w:rStyle w:val="FootnoteReference"/>
          <w:rFonts w:ascii="Times New Roman" w:hAnsi="Times New Roman" w:cs="Times New Roman"/>
        </w:rPr>
        <w:footnoteReference w:id="24"/>
      </w:r>
      <w:r w:rsidR="004C6254">
        <w:rPr>
          <w:rFonts w:ascii="Times New Roman" w:hAnsi="Times New Roman" w:cs="Times New Roman"/>
        </w:rPr>
        <w:t xml:space="preserve"> </w:t>
      </w:r>
    </w:p>
    <w:p w14:paraId="7B90E660" w14:textId="7589EBD7" w:rsidR="00047029" w:rsidRDefault="00F56167" w:rsidP="00F56167">
      <w:pPr>
        <w:spacing w:line="480" w:lineRule="auto"/>
        <w:ind w:firstLine="720"/>
        <w:rPr>
          <w:rFonts w:ascii="Times New Roman" w:hAnsi="Times New Roman" w:cs="Times New Roman"/>
        </w:rPr>
      </w:pPr>
      <w:r>
        <w:rPr>
          <w:rFonts w:ascii="Times New Roman" w:hAnsi="Times New Roman" w:cs="Times New Roman"/>
        </w:rPr>
        <w:t>ABC B/D’s compliance program must also address issues that arise during its underwriting activities. Its policies and procedures that prevent the dissemination of material non-public information it will acquire. Policies must appropriately address restrictions on trading during underwriting in accord with Regulation M of the Exchange Act.  In addition, if ABC B/D and ABC I/A share research reports or analyses, special attention will need to be paid to the disclosures provided to customers regarding such reports and any potential conflicts of interest.</w:t>
      </w:r>
      <w:r>
        <w:rPr>
          <w:rStyle w:val="FootnoteReference"/>
          <w:rFonts w:ascii="Times New Roman" w:hAnsi="Times New Roman" w:cs="Times New Roman"/>
        </w:rPr>
        <w:footnoteReference w:id="25"/>
      </w:r>
      <w:r>
        <w:rPr>
          <w:rFonts w:ascii="Times New Roman" w:hAnsi="Times New Roman" w:cs="Times New Roman"/>
        </w:rPr>
        <w:t xml:space="preserve"> All reports and information it disseminates will need to be “fair and balanced.”</w:t>
      </w:r>
      <w:r>
        <w:rPr>
          <w:rStyle w:val="FootnoteReference"/>
          <w:rFonts w:ascii="Times New Roman" w:hAnsi="Times New Roman" w:cs="Times New Roman"/>
        </w:rPr>
        <w:footnoteReference w:id="26"/>
      </w:r>
      <w:r>
        <w:rPr>
          <w:rFonts w:ascii="Times New Roman" w:hAnsi="Times New Roman" w:cs="Times New Roman"/>
        </w:rPr>
        <w:t xml:space="preserve"> </w:t>
      </w:r>
    </w:p>
    <w:p w14:paraId="20B69C4C" w14:textId="2D659AFE" w:rsidR="00A57DCA" w:rsidRPr="00A57DCA" w:rsidRDefault="00725B2F" w:rsidP="00A57DCA">
      <w:pPr>
        <w:spacing w:line="480" w:lineRule="auto"/>
        <w:ind w:firstLine="720"/>
        <w:rPr>
          <w:rFonts w:ascii="Times New Roman" w:hAnsi="Times New Roman" w:cs="Times New Roman"/>
        </w:rPr>
      </w:pPr>
      <w:r>
        <w:rPr>
          <w:rFonts w:ascii="Times New Roman" w:hAnsi="Times New Roman" w:cs="Times New Roman"/>
        </w:rPr>
        <w:t xml:space="preserve">ABC B/D’s compliance program will be subject to </w:t>
      </w:r>
      <w:r w:rsidR="00A763EE">
        <w:rPr>
          <w:rFonts w:ascii="Times New Roman" w:hAnsi="Times New Roman" w:cs="Times New Roman"/>
        </w:rPr>
        <w:t xml:space="preserve">annual review by </w:t>
      </w:r>
      <w:r w:rsidR="003438BE">
        <w:rPr>
          <w:rFonts w:ascii="Times New Roman" w:hAnsi="Times New Roman" w:cs="Times New Roman"/>
        </w:rPr>
        <w:t>an executive officer</w:t>
      </w:r>
      <w:r w:rsidR="00A763EE">
        <w:rPr>
          <w:rFonts w:ascii="Times New Roman" w:hAnsi="Times New Roman" w:cs="Times New Roman"/>
        </w:rPr>
        <w:t xml:space="preserve"> who will ensure that </w:t>
      </w:r>
      <w:r w:rsidR="003438BE">
        <w:rPr>
          <w:rFonts w:ascii="Times New Roman" w:hAnsi="Times New Roman" w:cs="Times New Roman"/>
        </w:rPr>
        <w:t>the firm “</w:t>
      </w:r>
      <w:r w:rsidR="003438BE" w:rsidRPr="003438BE">
        <w:rPr>
          <w:rFonts w:ascii="Times New Roman" w:hAnsi="Times New Roman" w:cs="Times New Roman"/>
        </w:rPr>
        <w:t>has in place processes to establish, maintain, review, test and modify written compliance policies and written supervisory procedures reasonably designed to achieve compliance</w:t>
      </w:r>
      <w:r w:rsidR="003438BE">
        <w:rPr>
          <w:rFonts w:ascii="Times New Roman" w:hAnsi="Times New Roman" w:cs="Times New Roman"/>
        </w:rPr>
        <w:t>”</w:t>
      </w:r>
      <w:r w:rsidR="003438BE" w:rsidRPr="003438BE">
        <w:rPr>
          <w:rFonts w:ascii="Times New Roman" w:hAnsi="Times New Roman" w:cs="Times New Roman"/>
        </w:rPr>
        <w:t xml:space="preserve"> with </w:t>
      </w:r>
      <w:r w:rsidR="003438BE">
        <w:rPr>
          <w:rFonts w:ascii="Times New Roman" w:hAnsi="Times New Roman" w:cs="Times New Roman"/>
        </w:rPr>
        <w:t>the applicable rules and regulations.</w:t>
      </w:r>
      <w:r w:rsidR="003438BE">
        <w:rPr>
          <w:rStyle w:val="FootnoteReference"/>
          <w:rFonts w:ascii="Times New Roman" w:hAnsi="Times New Roman" w:cs="Times New Roman"/>
        </w:rPr>
        <w:footnoteReference w:id="27"/>
      </w:r>
      <w:r w:rsidR="003438BE">
        <w:rPr>
          <w:rFonts w:ascii="Times New Roman" w:hAnsi="Times New Roman" w:cs="Times New Roman"/>
        </w:rPr>
        <w:t xml:space="preserve"> The executive officer will meet with the CCO to discuss such policies as needed, but no less than annually. </w:t>
      </w:r>
    </w:p>
    <w:p w14:paraId="0884CE57" w14:textId="7C63452F" w:rsidR="000F7674" w:rsidRDefault="000F7674" w:rsidP="001651BD">
      <w:pPr>
        <w:pStyle w:val="ListParagraph"/>
        <w:numPr>
          <w:ilvl w:val="1"/>
          <w:numId w:val="1"/>
        </w:numPr>
        <w:spacing w:line="480" w:lineRule="auto"/>
        <w:rPr>
          <w:rFonts w:ascii="Times New Roman" w:hAnsi="Times New Roman" w:cs="Times New Roman"/>
          <w:i/>
        </w:rPr>
      </w:pPr>
      <w:r>
        <w:rPr>
          <w:rFonts w:ascii="Times New Roman" w:hAnsi="Times New Roman" w:cs="Times New Roman"/>
          <w:i/>
        </w:rPr>
        <w:t>Investment Adviser Compliance Program</w:t>
      </w:r>
    </w:p>
    <w:p w14:paraId="2D99D5E5" w14:textId="6AB76589" w:rsidR="000343D9" w:rsidRDefault="00687B96" w:rsidP="005779B1">
      <w:pPr>
        <w:spacing w:line="480" w:lineRule="auto"/>
        <w:ind w:firstLine="720"/>
        <w:rPr>
          <w:rFonts w:ascii="Times New Roman" w:hAnsi="Times New Roman" w:cs="Times New Roman"/>
        </w:rPr>
      </w:pPr>
      <w:r>
        <w:rPr>
          <w:rFonts w:ascii="Times New Roman" w:hAnsi="Times New Roman" w:cs="Times New Roman"/>
        </w:rPr>
        <w:t>Registration as an I/A obligates the firm to a linty of ongoing compliance requirements</w:t>
      </w:r>
      <w:r w:rsidR="00505F82">
        <w:rPr>
          <w:rFonts w:ascii="Times New Roman" w:hAnsi="Times New Roman" w:cs="Times New Roman"/>
        </w:rPr>
        <w:t xml:space="preserve"> under the Advisers Act</w:t>
      </w:r>
      <w:r>
        <w:rPr>
          <w:rFonts w:ascii="Times New Roman" w:hAnsi="Times New Roman" w:cs="Times New Roman"/>
        </w:rPr>
        <w:t xml:space="preserve">. </w:t>
      </w:r>
      <w:r w:rsidR="000343D9">
        <w:rPr>
          <w:rFonts w:ascii="Times New Roman" w:hAnsi="Times New Roman" w:cs="Times New Roman"/>
        </w:rPr>
        <w:t xml:space="preserve">ABC I/A’s compliance program will focus on potential conflicts of interest that may arise, disclosure and management of </w:t>
      </w:r>
      <w:r w:rsidR="007051C1">
        <w:rPr>
          <w:rFonts w:ascii="Times New Roman" w:hAnsi="Times New Roman" w:cs="Times New Roman"/>
        </w:rPr>
        <w:t xml:space="preserve">such </w:t>
      </w:r>
      <w:r w:rsidR="000343D9">
        <w:rPr>
          <w:rFonts w:ascii="Times New Roman" w:hAnsi="Times New Roman" w:cs="Times New Roman"/>
        </w:rPr>
        <w:t xml:space="preserve">conflicts, </w:t>
      </w:r>
      <w:r w:rsidR="00F56167">
        <w:rPr>
          <w:rFonts w:ascii="Times New Roman" w:hAnsi="Times New Roman" w:cs="Times New Roman"/>
        </w:rPr>
        <w:t>recordkeeping requirements,</w:t>
      </w:r>
      <w:r w:rsidR="00EE4DBA">
        <w:rPr>
          <w:rStyle w:val="FootnoteReference"/>
          <w:rFonts w:ascii="Times New Roman" w:hAnsi="Times New Roman" w:cs="Times New Roman"/>
        </w:rPr>
        <w:footnoteReference w:id="28"/>
      </w:r>
      <w:r w:rsidR="00F56167">
        <w:rPr>
          <w:rFonts w:ascii="Times New Roman" w:hAnsi="Times New Roman" w:cs="Times New Roman"/>
        </w:rPr>
        <w:t xml:space="preserve"> </w:t>
      </w:r>
      <w:r w:rsidR="000343D9">
        <w:rPr>
          <w:rFonts w:ascii="Times New Roman" w:hAnsi="Times New Roman" w:cs="Times New Roman"/>
        </w:rPr>
        <w:t xml:space="preserve">the development of a “code of ethics,” policies and procedures to prevent fraud and manipulative conduct, </w:t>
      </w:r>
      <w:r w:rsidR="0040708E">
        <w:rPr>
          <w:rFonts w:ascii="Times New Roman" w:hAnsi="Times New Roman" w:cs="Times New Roman"/>
        </w:rPr>
        <w:t xml:space="preserve">accuracy of information shared with customers, </w:t>
      </w:r>
      <w:r w:rsidR="000343D9">
        <w:rPr>
          <w:rFonts w:ascii="Times New Roman" w:hAnsi="Times New Roman" w:cs="Times New Roman"/>
        </w:rPr>
        <w:t xml:space="preserve">and mechanisms to </w:t>
      </w:r>
      <w:r w:rsidR="000343D9">
        <w:rPr>
          <w:rFonts w:ascii="Times New Roman" w:hAnsi="Times New Roman" w:cs="Times New Roman"/>
        </w:rPr>
        <w:lastRenderedPageBreak/>
        <w:t xml:space="preserve">meet the various duties I/As are subject to. </w:t>
      </w:r>
      <w:r w:rsidR="0040708E">
        <w:rPr>
          <w:rFonts w:ascii="Times New Roman" w:hAnsi="Times New Roman" w:cs="Times New Roman"/>
        </w:rPr>
        <w:t xml:space="preserve">Similar to B/Ds, I/As must ensure their personnel understand the requirements of the compliance program and the responsibility to guard against violations of </w:t>
      </w:r>
      <w:r w:rsidR="000839A5">
        <w:rPr>
          <w:rFonts w:ascii="Times New Roman" w:hAnsi="Times New Roman" w:cs="Times New Roman"/>
        </w:rPr>
        <w:t xml:space="preserve">violations of the Advisers Act and also </w:t>
      </w:r>
      <w:r w:rsidR="0040708E">
        <w:rPr>
          <w:rFonts w:ascii="Times New Roman" w:hAnsi="Times New Roman" w:cs="Times New Roman"/>
        </w:rPr>
        <w:t>federal securities laws</w:t>
      </w:r>
      <w:r w:rsidR="000839A5">
        <w:rPr>
          <w:rFonts w:ascii="Times New Roman" w:hAnsi="Times New Roman" w:cs="Times New Roman"/>
        </w:rPr>
        <w:t>.</w:t>
      </w:r>
    </w:p>
    <w:p w14:paraId="552C5664" w14:textId="31B62D9F" w:rsidR="00047029" w:rsidRDefault="00047029" w:rsidP="005779B1">
      <w:pPr>
        <w:spacing w:line="480" w:lineRule="auto"/>
        <w:ind w:firstLine="720"/>
        <w:rPr>
          <w:rFonts w:ascii="Times New Roman" w:hAnsi="Times New Roman" w:cs="Times New Roman"/>
        </w:rPr>
      </w:pPr>
      <w:r>
        <w:rPr>
          <w:rFonts w:ascii="Times New Roman" w:hAnsi="Times New Roman" w:cs="Times New Roman"/>
        </w:rPr>
        <w:t>ABC I/A will be operating under</w:t>
      </w:r>
      <w:r w:rsidR="000368A4">
        <w:rPr>
          <w:rFonts w:ascii="Times New Roman" w:hAnsi="Times New Roman" w:cs="Times New Roman"/>
        </w:rPr>
        <w:t xml:space="preserve"> a more onerous standard when conducting its advisory activities–I/As are subject to</w:t>
      </w:r>
      <w:r>
        <w:rPr>
          <w:rFonts w:ascii="Times New Roman" w:hAnsi="Times New Roman" w:cs="Times New Roman"/>
        </w:rPr>
        <w:t xml:space="preserve"> the duty to act in the best interest of its customers, a duty of loyalty to expose conflicts of interest, and a duty of care in executing transactions when the I/A selects the broker.</w:t>
      </w:r>
      <w:r w:rsidR="000343D9">
        <w:rPr>
          <w:rStyle w:val="FootnoteReference"/>
          <w:rFonts w:ascii="Times New Roman" w:hAnsi="Times New Roman" w:cs="Times New Roman"/>
        </w:rPr>
        <w:footnoteReference w:id="29"/>
      </w:r>
      <w:r w:rsidR="000343D9">
        <w:rPr>
          <w:rFonts w:ascii="Times New Roman" w:hAnsi="Times New Roman" w:cs="Times New Roman"/>
        </w:rPr>
        <w:t xml:space="preserve"> </w:t>
      </w:r>
      <w:r>
        <w:rPr>
          <w:rFonts w:ascii="Times New Roman" w:hAnsi="Times New Roman" w:cs="Times New Roman"/>
        </w:rPr>
        <w:t xml:space="preserve"> ABC I/A must establish a “code of ethics” which will address employee conduct and prohibit fraudulent and manipulative activity in association with the advisory business.</w:t>
      </w:r>
      <w:r>
        <w:rPr>
          <w:rStyle w:val="FootnoteReference"/>
          <w:rFonts w:ascii="Times New Roman" w:hAnsi="Times New Roman" w:cs="Times New Roman"/>
        </w:rPr>
        <w:footnoteReference w:id="30"/>
      </w:r>
      <w:r>
        <w:rPr>
          <w:rFonts w:ascii="Times New Roman" w:hAnsi="Times New Roman" w:cs="Times New Roman"/>
        </w:rPr>
        <w:t xml:space="preserve"> </w:t>
      </w:r>
      <w:r w:rsidR="00032DE9">
        <w:rPr>
          <w:rFonts w:ascii="Times New Roman" w:hAnsi="Times New Roman" w:cs="Times New Roman"/>
        </w:rPr>
        <w:t>To ensure these requirements are met, ABC I/A’s compliance program will entail an annual review of its policies to ensure efficiency under the law.</w:t>
      </w:r>
      <w:r w:rsidR="00032DE9">
        <w:rPr>
          <w:rStyle w:val="FootnoteReference"/>
          <w:rFonts w:ascii="Times New Roman" w:hAnsi="Times New Roman" w:cs="Times New Roman"/>
        </w:rPr>
        <w:footnoteReference w:id="31"/>
      </w:r>
    </w:p>
    <w:p w14:paraId="2B1A3B94" w14:textId="77777777" w:rsidR="00420C34" w:rsidRDefault="00420C34" w:rsidP="00420C34">
      <w:pPr>
        <w:spacing w:line="480" w:lineRule="auto"/>
        <w:rPr>
          <w:rFonts w:ascii="Times New Roman" w:hAnsi="Times New Roman" w:cs="Times New Roman"/>
        </w:rPr>
      </w:pPr>
    </w:p>
    <w:p w14:paraId="286C5F3B" w14:textId="77777777" w:rsidR="00420C34" w:rsidRDefault="00420C34" w:rsidP="00420C34">
      <w:pPr>
        <w:spacing w:line="480" w:lineRule="auto"/>
        <w:rPr>
          <w:rFonts w:ascii="Times New Roman" w:hAnsi="Times New Roman" w:cs="Times New Roman"/>
        </w:rPr>
      </w:pPr>
    </w:p>
    <w:sectPr w:rsidR="00420C34" w:rsidSect="00B57E5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FC958" w14:textId="77777777" w:rsidR="00515E1F" w:rsidRDefault="00515E1F" w:rsidP="001E1C3C">
      <w:r>
        <w:separator/>
      </w:r>
    </w:p>
  </w:endnote>
  <w:endnote w:type="continuationSeparator" w:id="0">
    <w:p w14:paraId="0A4B5CE5" w14:textId="77777777" w:rsidR="00515E1F" w:rsidRDefault="00515E1F" w:rsidP="001E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193E3" w14:textId="77777777" w:rsidR="00C879AB" w:rsidRDefault="00C879AB" w:rsidP="00C879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7F85ED" w14:textId="77777777" w:rsidR="00C879AB" w:rsidRDefault="00C87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40D17" w14:textId="77777777" w:rsidR="00C879AB" w:rsidRPr="001E1C3C" w:rsidRDefault="00C879AB" w:rsidP="00C879AB">
    <w:pPr>
      <w:pStyle w:val="Footer"/>
      <w:framePr w:wrap="none" w:vAnchor="text" w:hAnchor="margin" w:xAlign="center" w:y="1"/>
      <w:rPr>
        <w:rStyle w:val="PageNumber"/>
        <w:rFonts w:ascii="Times New Roman" w:hAnsi="Times New Roman" w:cs="Times New Roman"/>
        <w:sz w:val="20"/>
        <w:szCs w:val="20"/>
      </w:rPr>
    </w:pPr>
    <w:r w:rsidRPr="001E1C3C">
      <w:rPr>
        <w:rStyle w:val="PageNumber"/>
        <w:rFonts w:ascii="Times New Roman" w:hAnsi="Times New Roman" w:cs="Times New Roman"/>
        <w:sz w:val="20"/>
        <w:szCs w:val="20"/>
      </w:rPr>
      <w:fldChar w:fldCharType="begin"/>
    </w:r>
    <w:r w:rsidRPr="001E1C3C">
      <w:rPr>
        <w:rStyle w:val="PageNumber"/>
        <w:rFonts w:ascii="Times New Roman" w:hAnsi="Times New Roman" w:cs="Times New Roman"/>
        <w:sz w:val="20"/>
        <w:szCs w:val="20"/>
      </w:rPr>
      <w:instrText xml:space="preserve">PAGE  </w:instrText>
    </w:r>
    <w:r w:rsidRPr="001E1C3C">
      <w:rPr>
        <w:rStyle w:val="PageNumber"/>
        <w:rFonts w:ascii="Times New Roman" w:hAnsi="Times New Roman" w:cs="Times New Roman"/>
        <w:sz w:val="20"/>
        <w:szCs w:val="20"/>
      </w:rPr>
      <w:fldChar w:fldCharType="separate"/>
    </w:r>
    <w:r w:rsidR="000839A5">
      <w:rPr>
        <w:rStyle w:val="PageNumber"/>
        <w:rFonts w:ascii="Times New Roman" w:hAnsi="Times New Roman" w:cs="Times New Roman"/>
        <w:noProof/>
        <w:sz w:val="20"/>
        <w:szCs w:val="20"/>
      </w:rPr>
      <w:t>10</w:t>
    </w:r>
    <w:r w:rsidRPr="001E1C3C">
      <w:rPr>
        <w:rStyle w:val="PageNumber"/>
        <w:rFonts w:ascii="Times New Roman" w:hAnsi="Times New Roman" w:cs="Times New Roman"/>
        <w:sz w:val="20"/>
        <w:szCs w:val="20"/>
      </w:rPr>
      <w:fldChar w:fldCharType="end"/>
    </w:r>
  </w:p>
  <w:p w14:paraId="4452C4C8" w14:textId="77777777" w:rsidR="00C879AB" w:rsidRDefault="00C87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948C1" w14:textId="77777777" w:rsidR="00515E1F" w:rsidRDefault="00515E1F" w:rsidP="001E1C3C">
      <w:r>
        <w:separator/>
      </w:r>
    </w:p>
  </w:footnote>
  <w:footnote w:type="continuationSeparator" w:id="0">
    <w:p w14:paraId="76DADDA7" w14:textId="77777777" w:rsidR="00515E1F" w:rsidRDefault="00515E1F" w:rsidP="001E1C3C">
      <w:r>
        <w:continuationSeparator/>
      </w:r>
    </w:p>
  </w:footnote>
  <w:footnote w:id="1">
    <w:p w14:paraId="0347AAC1" w14:textId="499E8DF6" w:rsidR="00C879AB" w:rsidRDefault="00C879AB">
      <w:pPr>
        <w:pStyle w:val="FootnoteText"/>
      </w:pPr>
      <w:r>
        <w:rPr>
          <w:rStyle w:val="FootnoteReference"/>
        </w:rPr>
        <w:footnoteRef/>
      </w:r>
      <w:r>
        <w:t xml:space="preserve"> Broker-dealers are exempt from registration as an I/A if their services are solely incidental to their business and they do not receive any special compensation for their advice.</w:t>
      </w:r>
      <w:r w:rsidRPr="00870A45">
        <w:t xml:space="preserve"> </w:t>
      </w:r>
      <w:r>
        <w:rPr>
          <w:i/>
        </w:rPr>
        <w:t xml:space="preserve">See </w:t>
      </w:r>
      <w:r w:rsidRPr="00870A45">
        <w:t>Section 202(a)(11)(B).</w:t>
      </w:r>
    </w:p>
  </w:footnote>
  <w:footnote w:id="2">
    <w:p w14:paraId="691AA1ED" w14:textId="4BAA3C7E" w:rsidR="00C879AB" w:rsidRDefault="00C879AB">
      <w:pPr>
        <w:pStyle w:val="FootnoteText"/>
      </w:pPr>
      <w:r>
        <w:rPr>
          <w:rStyle w:val="FootnoteReference"/>
        </w:rPr>
        <w:footnoteRef/>
      </w:r>
      <w:r>
        <w:t xml:space="preserve"> A “broker” is defined as “</w:t>
      </w:r>
      <w:r w:rsidRPr="00E97A64">
        <w:t>any person engaged in the business of effecting transactions in securities for the account of others.</w:t>
      </w:r>
      <w:r>
        <w:t xml:space="preserve">” </w:t>
      </w:r>
      <w:r w:rsidRPr="00E97A64">
        <w:t>§ 3(a)(4)(A)</w:t>
      </w:r>
      <w:r>
        <w:t>. A “dealer” is defined as “</w:t>
      </w:r>
      <w:r w:rsidRPr="00E97A64">
        <w:t>any person engaged in the business of buying and selling securities for his own account, through a broker or otherwise.</w:t>
      </w:r>
      <w:r>
        <w:t xml:space="preserve">” </w:t>
      </w:r>
      <w:r w:rsidRPr="00E97A64">
        <w:t>§ 3</w:t>
      </w:r>
      <w:r>
        <w:t xml:space="preserve"> (a)(5)(A).</w:t>
      </w:r>
    </w:p>
  </w:footnote>
  <w:footnote w:id="3">
    <w:p w14:paraId="3F9EA148" w14:textId="4584CF02" w:rsidR="00C879AB" w:rsidRPr="00AA5F95" w:rsidRDefault="00C879AB">
      <w:pPr>
        <w:pStyle w:val="FootnoteText"/>
        <w:rPr>
          <w:i/>
        </w:rPr>
      </w:pPr>
      <w:r>
        <w:rPr>
          <w:rStyle w:val="FootnoteReference"/>
        </w:rPr>
        <w:footnoteRef/>
      </w:r>
      <w:r>
        <w:t xml:space="preserve"> </w:t>
      </w:r>
      <w:r>
        <w:rPr>
          <w:i/>
        </w:rPr>
        <w:t xml:space="preserve">See </w:t>
      </w:r>
      <w:r w:rsidRPr="00E97A64">
        <w:t xml:space="preserve">§ </w:t>
      </w:r>
      <w:r>
        <w:t>5(C</w:t>
      </w:r>
      <w:r w:rsidRPr="00E97A64">
        <w:t>)</w:t>
      </w:r>
      <w:r>
        <w:t xml:space="preserve">. Regulation R dictates the specific activities banks can engage in without necessitating B/D registration. It describes the activities that must be “pushed out” to a separately registered entity. </w:t>
      </w:r>
      <w:r>
        <w:rPr>
          <w:i/>
        </w:rPr>
        <w:t>See</w:t>
      </w:r>
      <w:r>
        <w:t xml:space="preserve"> 17 C.F.R. </w:t>
      </w:r>
      <w:r w:rsidRPr="0045778E">
        <w:t>§</w:t>
      </w:r>
      <w:r>
        <w:t xml:space="preserve"> 247 et seq.).</w:t>
      </w:r>
    </w:p>
  </w:footnote>
  <w:footnote w:id="4">
    <w:p w14:paraId="17331A49" w14:textId="085AB09C" w:rsidR="00C879AB" w:rsidRDefault="00C879AB">
      <w:pPr>
        <w:pStyle w:val="FootnoteText"/>
      </w:pPr>
      <w:r>
        <w:rPr>
          <w:rStyle w:val="FootnoteReference"/>
        </w:rPr>
        <w:footnoteRef/>
      </w:r>
      <w:r>
        <w:t xml:space="preserve"> Form BD is available at: </w:t>
      </w:r>
      <w:r w:rsidRPr="00F069CD">
        <w:t>http://www.sec.gov/about/forms/formbd.pdf</w:t>
      </w:r>
      <w:r>
        <w:t>.</w:t>
      </w:r>
    </w:p>
  </w:footnote>
  <w:footnote w:id="5">
    <w:p w14:paraId="519FBDEE" w14:textId="6D2CED56" w:rsidR="00C879AB" w:rsidRDefault="00C879AB">
      <w:pPr>
        <w:pStyle w:val="FootnoteText"/>
      </w:pPr>
      <w:r>
        <w:rPr>
          <w:rStyle w:val="FootnoteReference"/>
        </w:rPr>
        <w:footnoteRef/>
      </w:r>
      <w:r>
        <w:t xml:space="preserve"> </w:t>
      </w:r>
      <w:r w:rsidRPr="0045778E">
        <w:t>§</w:t>
      </w:r>
      <w:r>
        <w:t xml:space="preserve"> 15(b)(8) and Rule 15b9-1. National securities exchanges are also SROs. In some instances, B/Ds may only be required to register as members with exchanges that they conduct business with; however, registration with FINRA provides the greatest coverage to B/D activities. </w:t>
      </w:r>
      <w:r>
        <w:rPr>
          <w:i/>
        </w:rPr>
        <w:t xml:space="preserve">See </w:t>
      </w:r>
      <w:r w:rsidRPr="00707E41">
        <w:t>Rule 15b9-1.</w:t>
      </w:r>
      <w:r>
        <w:t xml:space="preserve"> </w:t>
      </w:r>
    </w:p>
  </w:footnote>
  <w:footnote w:id="6">
    <w:p w14:paraId="7832D2C0" w14:textId="3B38733D" w:rsidR="00C879AB" w:rsidRDefault="00C879AB">
      <w:pPr>
        <w:pStyle w:val="FootnoteText"/>
      </w:pPr>
      <w:r>
        <w:rPr>
          <w:rStyle w:val="FootnoteReference"/>
        </w:rPr>
        <w:footnoteRef/>
      </w:r>
      <w:r>
        <w:t xml:space="preserve"> The Exchange Act defines “APs” as: “</w:t>
      </w:r>
      <w:r w:rsidRPr="009F147F">
        <w:t>any partner, officer, director, or branch manager of such broker or dealer (or any person occupying a similar status or performing similar functions), any person directly or indirectly controlling, controlled by, or under common control with such broker or dealer, or any em</w:t>
      </w:r>
      <w:r>
        <w:t>ployee of such broker or dealer.”</w:t>
      </w:r>
      <w:r w:rsidRPr="009F147F">
        <w:t xml:space="preserve"> </w:t>
      </w:r>
      <w:r>
        <w:t>APs do not include those “</w:t>
      </w:r>
      <w:r w:rsidRPr="009F147F">
        <w:t>whose functions are solely clerical or ministerial</w:t>
      </w:r>
      <w:r>
        <w:t>.”</w:t>
      </w:r>
      <w:r w:rsidRPr="009F147F">
        <w:t xml:space="preserve"> </w:t>
      </w:r>
      <w:r w:rsidRPr="0045778E">
        <w:t>§</w:t>
      </w:r>
      <w:r>
        <w:t xml:space="preserve"> 3(a)(18) and Rule 15b7-1.</w:t>
      </w:r>
    </w:p>
  </w:footnote>
  <w:footnote w:id="7">
    <w:p w14:paraId="51556077" w14:textId="77777777" w:rsidR="00C879AB" w:rsidRDefault="00C879AB" w:rsidP="00FE1B14">
      <w:pPr>
        <w:pStyle w:val="FootnoteText"/>
      </w:pPr>
      <w:r>
        <w:rPr>
          <w:rStyle w:val="FootnoteReference"/>
        </w:rPr>
        <w:footnoteRef/>
      </w:r>
      <w:r>
        <w:t xml:space="preserve"> </w:t>
      </w:r>
      <w:r w:rsidRPr="004E2303">
        <w:t>17 CFR 240.3a4-1</w:t>
      </w:r>
      <w:r>
        <w:t xml:space="preserve"> (APs are explicitly excluded from the B/D registration as long as their conduct is in relation to their employment with the B/D and not on their own behalf).</w:t>
      </w:r>
    </w:p>
  </w:footnote>
  <w:footnote w:id="8">
    <w:p w14:paraId="55816A63" w14:textId="44548E63" w:rsidR="00C879AB" w:rsidRPr="00E302DB" w:rsidRDefault="00C879AB">
      <w:pPr>
        <w:pStyle w:val="FootnoteText"/>
        <w:rPr>
          <w:i/>
        </w:rPr>
      </w:pPr>
      <w:r>
        <w:rPr>
          <w:rStyle w:val="FootnoteReference"/>
        </w:rPr>
        <w:footnoteRef/>
      </w:r>
      <w:r>
        <w:t xml:space="preserve"> </w:t>
      </w:r>
      <w:r>
        <w:rPr>
          <w:i/>
        </w:rPr>
        <w:t xml:space="preserve">See </w:t>
      </w:r>
      <w:r w:rsidRPr="00E302DB">
        <w:t>Securities Investor Protection Act</w:t>
      </w:r>
      <w:r>
        <w:t xml:space="preserve"> (SIPA)</w:t>
      </w:r>
      <w:r w:rsidRPr="00E302DB">
        <w:t xml:space="preserve">, 15 U.S.C. </w:t>
      </w:r>
      <w:r w:rsidRPr="0045778E">
        <w:t>§</w:t>
      </w:r>
      <w:r>
        <w:t xml:space="preserve"> </w:t>
      </w:r>
      <w:r w:rsidRPr="00E302DB">
        <w:t>78aaa, et seq.</w:t>
      </w:r>
      <w:r>
        <w:t xml:space="preserve"> SIPA created the SIPC and governs liquidations of affiliates. </w:t>
      </w:r>
      <w:r>
        <w:rPr>
          <w:i/>
        </w:rPr>
        <w:t>Id.</w:t>
      </w:r>
    </w:p>
  </w:footnote>
  <w:footnote w:id="9">
    <w:p w14:paraId="53D6066E" w14:textId="7F2C2F9A" w:rsidR="00C879AB" w:rsidRDefault="00C879AB">
      <w:pPr>
        <w:pStyle w:val="FootnoteText"/>
      </w:pPr>
      <w:r>
        <w:rPr>
          <w:rStyle w:val="FootnoteReference"/>
        </w:rPr>
        <w:footnoteRef/>
      </w:r>
      <w:r>
        <w:t xml:space="preserve"> More information is available at: </w:t>
      </w:r>
      <w:r w:rsidRPr="00804E2F">
        <w:t>http://www.nasaa.org/</w:t>
      </w:r>
      <w:r>
        <w:t>.</w:t>
      </w:r>
    </w:p>
  </w:footnote>
  <w:footnote w:id="10">
    <w:p w14:paraId="00DC9268" w14:textId="77777777" w:rsidR="00C879AB" w:rsidRPr="00B43593" w:rsidRDefault="00C879AB" w:rsidP="000F48B7">
      <w:pPr>
        <w:pStyle w:val="FootnoteText"/>
        <w:rPr>
          <w:rFonts w:cs="Times New Roman"/>
          <w:szCs w:val="20"/>
        </w:rPr>
      </w:pPr>
      <w:r w:rsidRPr="00B43593">
        <w:rPr>
          <w:rStyle w:val="FootnoteReference"/>
          <w:rFonts w:cs="Times New Roman"/>
          <w:szCs w:val="20"/>
        </w:rPr>
        <w:footnoteRef/>
      </w:r>
      <w:r w:rsidRPr="00B43593">
        <w:rPr>
          <w:rFonts w:cs="Times New Roman"/>
          <w:szCs w:val="20"/>
        </w:rPr>
        <w:t xml:space="preserve"> </w:t>
      </w:r>
      <w:r>
        <w:rPr>
          <w:rFonts w:cs="Times New Roman"/>
          <w:szCs w:val="20"/>
        </w:rPr>
        <w:t>§ 202(a)(11).</w:t>
      </w:r>
    </w:p>
  </w:footnote>
  <w:footnote w:id="11">
    <w:p w14:paraId="16F59F10" w14:textId="16690E7C" w:rsidR="00C879AB" w:rsidRDefault="00C879AB" w:rsidP="00BB71F0">
      <w:pPr>
        <w:pStyle w:val="FootnoteText"/>
      </w:pPr>
      <w:r>
        <w:rPr>
          <w:rStyle w:val="FootnoteReference"/>
        </w:rPr>
        <w:footnoteRef/>
      </w:r>
      <w:r>
        <w:t xml:space="preserve"> </w:t>
      </w:r>
      <w:r>
        <w:rPr>
          <w:rFonts w:cs="Times New Roman"/>
          <w:i/>
        </w:rPr>
        <w:t>See</w:t>
      </w:r>
      <w:r>
        <w:t xml:space="preserve"> Advisers Act Rule 203A</w:t>
      </w:r>
      <w:r>
        <w:softHyphen/>
        <w:t xml:space="preserve">–1 and Rule 203A–2. </w:t>
      </w:r>
    </w:p>
  </w:footnote>
  <w:footnote w:id="12">
    <w:p w14:paraId="67E3F610" w14:textId="77777777" w:rsidR="00C879AB" w:rsidRPr="00DB1DAF" w:rsidRDefault="00C879AB" w:rsidP="00BB71F0">
      <w:pPr>
        <w:pStyle w:val="FootnoteText"/>
        <w:rPr>
          <w:i/>
        </w:rPr>
      </w:pPr>
      <w:r>
        <w:rPr>
          <w:rStyle w:val="FootnoteReference"/>
        </w:rPr>
        <w:footnoteRef/>
      </w:r>
      <w:r>
        <w:t xml:space="preserve"> Section 202(a)(26). This section defines a “separately identifiable department or division” through which the bank can avoid being required to register as an “investment adviser.” </w:t>
      </w:r>
      <w:r>
        <w:rPr>
          <w:i/>
        </w:rPr>
        <w:t>Id.</w:t>
      </w:r>
    </w:p>
  </w:footnote>
  <w:footnote w:id="13">
    <w:p w14:paraId="1F051100" w14:textId="77777777" w:rsidR="00C879AB" w:rsidRDefault="00C879AB" w:rsidP="002E3494">
      <w:pPr>
        <w:pStyle w:val="FootnoteText"/>
      </w:pPr>
      <w:r>
        <w:rPr>
          <w:rStyle w:val="FootnoteReference"/>
        </w:rPr>
        <w:footnoteRef/>
      </w:r>
      <w:r>
        <w:t xml:space="preserve"> IARD, a product of FINRA, is the portal through which the public accesses adviser information and disclosures. Form ADV is filed here: </w:t>
      </w:r>
      <w:r w:rsidRPr="00296510">
        <w:t>https://www.iard.com/filingonline</w:t>
      </w:r>
      <w:r>
        <w:t xml:space="preserve">.  </w:t>
      </w:r>
    </w:p>
  </w:footnote>
  <w:footnote w:id="14">
    <w:p w14:paraId="59D064C8" w14:textId="77777777" w:rsidR="00420C34" w:rsidRDefault="00420C34" w:rsidP="00420C34">
      <w:pPr>
        <w:pStyle w:val="FootnoteText"/>
      </w:pPr>
      <w:r>
        <w:rPr>
          <w:rStyle w:val="FootnoteReference"/>
        </w:rPr>
        <w:footnoteRef/>
      </w:r>
      <w:r>
        <w:t xml:space="preserve"> </w:t>
      </w:r>
      <w:r w:rsidRPr="00823430">
        <w:rPr>
          <w:i/>
        </w:rPr>
        <w:t>See generally</w:t>
      </w:r>
      <w:r>
        <w:t xml:space="preserve"> </w:t>
      </w:r>
      <w:r w:rsidRPr="00823430">
        <w:t>Securities Industry Associatio</w:t>
      </w:r>
      <w:r>
        <w:t xml:space="preserve">n (SIA), White Paper on the Role of Compliance (2005). </w:t>
      </w:r>
    </w:p>
  </w:footnote>
  <w:footnote w:id="15">
    <w:p w14:paraId="4D8FE520" w14:textId="32FFF961" w:rsidR="00C2223E" w:rsidRDefault="00C2223E">
      <w:pPr>
        <w:pStyle w:val="FootnoteText"/>
      </w:pPr>
      <w:r>
        <w:rPr>
          <w:rStyle w:val="FootnoteReference"/>
        </w:rPr>
        <w:footnoteRef/>
      </w:r>
      <w:r>
        <w:t xml:space="preserve"> </w:t>
      </w:r>
      <w:r>
        <w:rPr>
          <w:rFonts w:cs="Times New Roman"/>
        </w:rPr>
        <w:t>FINRA provides that B/D customers disputes must be pursued through FINRA arbitration, whereas I/A disputes are subject to disputes brought by customers in federal court under the Advisers Act.</w:t>
      </w:r>
    </w:p>
  </w:footnote>
  <w:footnote w:id="16">
    <w:p w14:paraId="1C4900C9" w14:textId="77777777" w:rsidR="00047029" w:rsidRDefault="00047029" w:rsidP="00047029">
      <w:pPr>
        <w:pStyle w:val="FootnoteText"/>
      </w:pPr>
      <w:r>
        <w:rPr>
          <w:rStyle w:val="FootnoteReference"/>
        </w:rPr>
        <w:footnoteRef/>
      </w:r>
      <w:r>
        <w:t xml:space="preserve"> </w:t>
      </w:r>
      <w:r>
        <w:rPr>
          <w:i/>
        </w:rPr>
        <w:t>See</w:t>
      </w:r>
      <w:r>
        <w:t xml:space="preserve"> Exchange Act </w:t>
      </w:r>
      <w:r>
        <w:rPr>
          <w:rFonts w:cs="Times New Roman"/>
          <w:szCs w:val="20"/>
        </w:rPr>
        <w:t xml:space="preserve">§ 10(b) and Rules 10b–5 (the broad anti-fraud provisions that apply to B/Ds). </w:t>
      </w:r>
      <w:r>
        <w:rPr>
          <w:rFonts w:cs="Times New Roman"/>
          <w:i/>
          <w:szCs w:val="20"/>
        </w:rPr>
        <w:t xml:space="preserve">See </w:t>
      </w:r>
      <w:r w:rsidRPr="0062700D">
        <w:rPr>
          <w:rFonts w:cs="Times New Roman"/>
          <w:szCs w:val="20"/>
        </w:rPr>
        <w:t>Advisers Act Sections 206 (1)/(2)</w:t>
      </w:r>
      <w:r>
        <w:rPr>
          <w:rFonts w:cs="Times New Roman"/>
          <w:i/>
          <w:szCs w:val="20"/>
        </w:rPr>
        <w:t xml:space="preserve"> </w:t>
      </w:r>
      <w:r>
        <w:rPr>
          <w:rFonts w:cs="Times New Roman"/>
          <w:szCs w:val="20"/>
        </w:rPr>
        <w:t>(</w:t>
      </w:r>
      <w:r w:rsidRPr="0062700D">
        <w:rPr>
          <w:rFonts w:cs="Times New Roman"/>
          <w:szCs w:val="20"/>
        </w:rPr>
        <w:t>prohibiting “any device, scheme or artifice to defraud a</w:t>
      </w:r>
      <w:r>
        <w:rPr>
          <w:rFonts w:cs="Times New Roman"/>
          <w:szCs w:val="20"/>
        </w:rPr>
        <w:t>ny client or prospective client</w:t>
      </w:r>
      <w:r w:rsidRPr="0062700D">
        <w:rPr>
          <w:rFonts w:cs="Times New Roman"/>
          <w:szCs w:val="20"/>
        </w:rPr>
        <w:t>”</w:t>
      </w:r>
      <w:r>
        <w:rPr>
          <w:rFonts w:cs="Times New Roman"/>
          <w:szCs w:val="20"/>
        </w:rPr>
        <w:t>).</w:t>
      </w:r>
    </w:p>
  </w:footnote>
  <w:footnote w:id="17">
    <w:p w14:paraId="44E5209C" w14:textId="77777777" w:rsidR="001651BD" w:rsidRDefault="001651BD" w:rsidP="001651BD">
      <w:pPr>
        <w:pStyle w:val="FootnoteText"/>
      </w:pPr>
      <w:r>
        <w:rPr>
          <w:rStyle w:val="FootnoteReference"/>
        </w:rPr>
        <w:footnoteRef/>
      </w:r>
      <w:r>
        <w:t xml:space="preserve"> </w:t>
      </w:r>
      <w:r>
        <w:rPr>
          <w:rFonts w:cs="Times New Roman"/>
        </w:rPr>
        <w:t>The Exchange Act imposes a duty of supervision on B/Ds under which they must reasonably oversee their employees and persons under their control in order to prevent violations of securities laws.</w:t>
      </w:r>
    </w:p>
  </w:footnote>
  <w:footnote w:id="18">
    <w:p w14:paraId="2520E0BB" w14:textId="77777777" w:rsidR="001651BD" w:rsidRPr="006107FC" w:rsidRDefault="001651BD" w:rsidP="001651BD">
      <w:pPr>
        <w:pStyle w:val="FootnoteText"/>
      </w:pPr>
      <w:r>
        <w:rPr>
          <w:rStyle w:val="FootnoteReference"/>
        </w:rPr>
        <w:footnoteRef/>
      </w:r>
      <w:r>
        <w:t xml:space="preserve"> </w:t>
      </w:r>
      <w:r>
        <w:rPr>
          <w:i/>
        </w:rPr>
        <w:t>Id.</w:t>
      </w:r>
      <w:r>
        <w:t xml:space="preserve"> at 2.</w:t>
      </w:r>
    </w:p>
  </w:footnote>
  <w:footnote w:id="19">
    <w:p w14:paraId="3A938234" w14:textId="02EAB253" w:rsidR="00941478" w:rsidRDefault="00941478">
      <w:pPr>
        <w:pStyle w:val="FootnoteText"/>
      </w:pPr>
      <w:r>
        <w:rPr>
          <w:rStyle w:val="FootnoteReference"/>
        </w:rPr>
        <w:footnoteRef/>
      </w:r>
      <w:r>
        <w:t xml:space="preserve"> A</w:t>
      </w:r>
      <w:r w:rsidRPr="00941478">
        <w:t xml:space="preserve"> </w:t>
      </w:r>
      <w:r>
        <w:t>B/D must</w:t>
      </w:r>
      <w:r w:rsidRPr="00941478">
        <w:t xml:space="preserve"> seek to obtain the most favorable terms available under the circumstances for its customer orders.</w:t>
      </w:r>
    </w:p>
  </w:footnote>
  <w:footnote w:id="20">
    <w:p w14:paraId="76BEC6FA" w14:textId="17C61335" w:rsidR="008E111C" w:rsidRDefault="008E111C">
      <w:pPr>
        <w:pStyle w:val="FootnoteText"/>
      </w:pPr>
      <w:r>
        <w:rPr>
          <w:rStyle w:val="FootnoteReference"/>
        </w:rPr>
        <w:footnoteRef/>
      </w:r>
      <w:r>
        <w:t xml:space="preserve"> The “duty of fair dealing” includes </w:t>
      </w:r>
      <w:r w:rsidR="003A3185" w:rsidRPr="003A3185">
        <w:t xml:space="preserve">the </w:t>
      </w:r>
      <w:r w:rsidR="003A3185">
        <w:t>duty</w:t>
      </w:r>
      <w:r w:rsidR="003A3185" w:rsidRPr="003A3185">
        <w:t xml:space="preserve"> to execute orders promptly, disclose certain material info</w:t>
      </w:r>
      <w:r w:rsidR="003A3185">
        <w:t xml:space="preserve">rmation, </w:t>
      </w:r>
      <w:r w:rsidR="003A3185" w:rsidRPr="003A3185">
        <w:t>charge prices reasonably related to the prevailing market, and fully disclose any conflict of interest.</w:t>
      </w:r>
    </w:p>
  </w:footnote>
  <w:footnote w:id="21">
    <w:p w14:paraId="30D7305A" w14:textId="61DDAF23" w:rsidR="00283455" w:rsidRDefault="00283455">
      <w:pPr>
        <w:pStyle w:val="FootnoteText"/>
      </w:pPr>
      <w:r>
        <w:rPr>
          <w:rStyle w:val="FootnoteReference"/>
        </w:rPr>
        <w:footnoteRef/>
      </w:r>
      <w:r>
        <w:t xml:space="preserve"> The “</w:t>
      </w:r>
      <w:r w:rsidR="00941478">
        <w:t>suitability</w:t>
      </w:r>
      <w:r>
        <w:t>”</w:t>
      </w:r>
      <w:r w:rsidR="00941478">
        <w:t xml:space="preserve"> requirement</w:t>
      </w:r>
      <w:r>
        <w:t xml:space="preserve"> means that </w:t>
      </w:r>
      <w:r w:rsidRPr="00283455">
        <w:t xml:space="preserve">a </w:t>
      </w:r>
      <w:r>
        <w:t>B/D</w:t>
      </w:r>
      <w:r w:rsidRPr="00283455">
        <w:t xml:space="preserve"> must have an "adequate and reasonable basis" for any recommendation that it makes.</w:t>
      </w:r>
    </w:p>
  </w:footnote>
  <w:footnote w:id="22">
    <w:p w14:paraId="233B8B81" w14:textId="77777777" w:rsidR="00376F34" w:rsidRDefault="00376F34" w:rsidP="00376F34">
      <w:pPr>
        <w:pStyle w:val="FootnoteText"/>
      </w:pPr>
      <w:r>
        <w:rPr>
          <w:rStyle w:val="FootnoteReference"/>
        </w:rPr>
        <w:footnoteRef/>
      </w:r>
      <w:r>
        <w:t xml:space="preserve"> “</w:t>
      </w:r>
      <w:r w:rsidRPr="00074CF2">
        <w:t xml:space="preserve">A </w:t>
      </w:r>
      <w:r>
        <w:t>B/D</w:t>
      </w:r>
      <w:r w:rsidRPr="00074CF2">
        <w:t xml:space="preserve"> must establish procedures for disclosing this information before it extends credit to a customer for the purchase of securities. A </w:t>
      </w:r>
      <w:r>
        <w:t>B/D</w:t>
      </w:r>
      <w:r w:rsidRPr="00074CF2">
        <w:t xml:space="preserve"> must give the customer this information at the time the account is opened, and must also provide credit customers with account statements at least quarterly.</w:t>
      </w:r>
      <w:r>
        <w:t xml:space="preserve">” </w:t>
      </w:r>
      <w:r>
        <w:rPr>
          <w:i/>
        </w:rPr>
        <w:t>See</w:t>
      </w:r>
      <w:r>
        <w:t xml:space="preserve"> Exchange Act Rule 10b-16. </w:t>
      </w:r>
    </w:p>
  </w:footnote>
  <w:footnote w:id="23">
    <w:p w14:paraId="36C589C9" w14:textId="77777777" w:rsidR="00047029" w:rsidRPr="00303560" w:rsidRDefault="00047029" w:rsidP="00047029">
      <w:pPr>
        <w:pStyle w:val="FootnoteText"/>
        <w:rPr>
          <w:i/>
        </w:rPr>
      </w:pPr>
      <w:r>
        <w:rPr>
          <w:rStyle w:val="FootnoteReference"/>
        </w:rPr>
        <w:footnoteRef/>
      </w:r>
      <w:r>
        <w:t xml:space="preserve"> </w:t>
      </w:r>
      <w:r>
        <w:rPr>
          <w:i/>
        </w:rPr>
        <w:t xml:space="preserve">See </w:t>
      </w:r>
      <w:r>
        <w:t xml:space="preserve">Exchange Act </w:t>
      </w:r>
      <w:r>
        <w:rPr>
          <w:rFonts w:cs="Times New Roman"/>
          <w:szCs w:val="20"/>
        </w:rPr>
        <w:t>§ 15(g).</w:t>
      </w:r>
    </w:p>
  </w:footnote>
  <w:footnote w:id="24">
    <w:p w14:paraId="225933D8" w14:textId="6E7776B8" w:rsidR="004C6254" w:rsidRPr="004C6254" w:rsidRDefault="004C6254">
      <w:pPr>
        <w:pStyle w:val="FootnoteText"/>
      </w:pPr>
      <w:r>
        <w:rPr>
          <w:rStyle w:val="FootnoteReference"/>
        </w:rPr>
        <w:footnoteRef/>
      </w:r>
      <w:r>
        <w:t xml:space="preserve"> </w:t>
      </w:r>
      <w:r>
        <w:rPr>
          <w:i/>
        </w:rPr>
        <w:t>See</w:t>
      </w:r>
      <w:r>
        <w:t xml:space="preserve"> Exchange Act </w:t>
      </w:r>
      <w:r w:rsidRPr="004C6254">
        <w:t>Rule 10b-10</w:t>
      </w:r>
      <w:r>
        <w:t>.</w:t>
      </w:r>
    </w:p>
  </w:footnote>
  <w:footnote w:id="25">
    <w:p w14:paraId="4E9FA46C" w14:textId="77777777" w:rsidR="00F56167" w:rsidRPr="005143B1" w:rsidRDefault="00F56167" w:rsidP="00F56167">
      <w:pPr>
        <w:pStyle w:val="FootnoteText"/>
      </w:pPr>
      <w:r>
        <w:rPr>
          <w:rStyle w:val="FootnoteReference"/>
        </w:rPr>
        <w:footnoteRef/>
      </w:r>
      <w:r>
        <w:t xml:space="preserve"> </w:t>
      </w:r>
      <w:r>
        <w:rPr>
          <w:i/>
        </w:rPr>
        <w:t>See</w:t>
      </w:r>
      <w:r>
        <w:t xml:space="preserve"> FINRA Rule 2241 and Rule 2242.</w:t>
      </w:r>
    </w:p>
  </w:footnote>
  <w:footnote w:id="26">
    <w:p w14:paraId="5D73932E" w14:textId="77777777" w:rsidR="00F56167" w:rsidRDefault="00F56167" w:rsidP="00F56167">
      <w:pPr>
        <w:pStyle w:val="FootnoteText"/>
      </w:pPr>
      <w:r>
        <w:rPr>
          <w:rStyle w:val="FootnoteReference"/>
        </w:rPr>
        <w:footnoteRef/>
      </w:r>
      <w:r>
        <w:rPr>
          <w:i/>
        </w:rPr>
        <w:t xml:space="preserve"> See</w:t>
      </w:r>
      <w:r>
        <w:t xml:space="preserve"> FINRA Rules 2210; 2212–2216</w:t>
      </w:r>
    </w:p>
  </w:footnote>
  <w:footnote w:id="27">
    <w:p w14:paraId="34CF35A0" w14:textId="40E25FB0" w:rsidR="003438BE" w:rsidRPr="003438BE" w:rsidRDefault="003438BE">
      <w:pPr>
        <w:pStyle w:val="FootnoteText"/>
      </w:pPr>
      <w:r>
        <w:rPr>
          <w:rStyle w:val="FootnoteReference"/>
        </w:rPr>
        <w:footnoteRef/>
      </w:r>
      <w:r>
        <w:t xml:space="preserve"> </w:t>
      </w:r>
      <w:r>
        <w:rPr>
          <w:i/>
        </w:rPr>
        <w:t>See</w:t>
      </w:r>
      <w:r>
        <w:t xml:space="preserve"> FINRA Rule 3130.</w:t>
      </w:r>
    </w:p>
  </w:footnote>
  <w:footnote w:id="28">
    <w:p w14:paraId="07C0B1C4" w14:textId="63C8634E" w:rsidR="00EE4DBA" w:rsidRPr="005E153C" w:rsidRDefault="00EE4DBA">
      <w:pPr>
        <w:pStyle w:val="FootnoteText"/>
      </w:pPr>
      <w:r>
        <w:rPr>
          <w:rStyle w:val="FootnoteReference"/>
        </w:rPr>
        <w:footnoteRef/>
      </w:r>
      <w:r>
        <w:t xml:space="preserve"> I/As must maintain copies of their compliance program, as well as the annual assessment reports for 5 years from th</w:t>
      </w:r>
      <w:r w:rsidR="00F4753F">
        <w:t xml:space="preserve">e date of their implementation. These records can be in electronic form. </w:t>
      </w:r>
      <w:r w:rsidR="005E153C">
        <w:rPr>
          <w:i/>
        </w:rPr>
        <w:t>See</w:t>
      </w:r>
      <w:r w:rsidR="005E153C">
        <w:t xml:space="preserve"> Advisers Act Rule 38a–1.</w:t>
      </w:r>
    </w:p>
  </w:footnote>
  <w:footnote w:id="29">
    <w:p w14:paraId="24DC8033" w14:textId="77777777" w:rsidR="000343D9" w:rsidRPr="00553268" w:rsidRDefault="000343D9" w:rsidP="000343D9">
      <w:pPr>
        <w:pStyle w:val="FootnoteText"/>
        <w:rPr>
          <w:i/>
        </w:rPr>
      </w:pPr>
      <w:r>
        <w:rPr>
          <w:rStyle w:val="FootnoteReference"/>
        </w:rPr>
        <w:footnoteRef/>
      </w:r>
      <w:r>
        <w:t xml:space="preserve"> </w:t>
      </w:r>
      <w:r>
        <w:rPr>
          <w:i/>
        </w:rPr>
        <w:t xml:space="preserve">See </w:t>
      </w:r>
      <w:r w:rsidRPr="00553268">
        <w:t>Advisers Act Section 206(3)</w:t>
      </w:r>
      <w:r>
        <w:t xml:space="preserve">. </w:t>
      </w:r>
    </w:p>
  </w:footnote>
  <w:footnote w:id="30">
    <w:p w14:paraId="713B427F" w14:textId="77777777" w:rsidR="00047029" w:rsidRPr="00303560" w:rsidRDefault="00047029" w:rsidP="00047029">
      <w:pPr>
        <w:pStyle w:val="FootnoteText"/>
      </w:pPr>
      <w:r>
        <w:rPr>
          <w:rStyle w:val="FootnoteReference"/>
        </w:rPr>
        <w:footnoteRef/>
      </w:r>
      <w:r>
        <w:t xml:space="preserve"> </w:t>
      </w:r>
      <w:r>
        <w:rPr>
          <w:i/>
        </w:rPr>
        <w:t xml:space="preserve">See </w:t>
      </w:r>
      <w:r>
        <w:t xml:space="preserve">Advisers Act </w:t>
      </w:r>
      <w:r w:rsidRPr="00303560">
        <w:t>Rule 204A-1</w:t>
      </w:r>
      <w:r>
        <w:t>.</w:t>
      </w:r>
    </w:p>
  </w:footnote>
  <w:footnote w:id="31">
    <w:p w14:paraId="3500EC27" w14:textId="77777777" w:rsidR="00032DE9" w:rsidRDefault="00032DE9" w:rsidP="00032DE9">
      <w:pPr>
        <w:pStyle w:val="FootnoteText"/>
      </w:pPr>
      <w:r>
        <w:rPr>
          <w:rStyle w:val="FootnoteReference"/>
        </w:rPr>
        <w:footnoteRef/>
      </w:r>
      <w:r>
        <w:t xml:space="preserve"> </w:t>
      </w:r>
      <w:r>
        <w:rPr>
          <w:i/>
        </w:rPr>
        <w:t xml:space="preserve">See </w:t>
      </w:r>
      <w:r w:rsidRPr="00725B2F">
        <w:t>Rule 206(4)-7</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55E"/>
    <w:multiLevelType w:val="multilevel"/>
    <w:tmpl w:val="0DA8234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1366C47"/>
    <w:multiLevelType w:val="multilevel"/>
    <w:tmpl w:val="197C282A"/>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5322C8"/>
    <w:multiLevelType w:val="hybridMultilevel"/>
    <w:tmpl w:val="C75488F8"/>
    <w:lvl w:ilvl="0" w:tplc="43EAD22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E10862"/>
    <w:multiLevelType w:val="hybridMultilevel"/>
    <w:tmpl w:val="B08EDE14"/>
    <w:lvl w:ilvl="0" w:tplc="0409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506B9"/>
    <w:multiLevelType w:val="hybridMultilevel"/>
    <w:tmpl w:val="0DA823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0C346F"/>
    <w:multiLevelType w:val="hybridMultilevel"/>
    <w:tmpl w:val="7D90916A"/>
    <w:lvl w:ilvl="0" w:tplc="0409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1077A"/>
    <w:multiLevelType w:val="hybridMultilevel"/>
    <w:tmpl w:val="16447E12"/>
    <w:lvl w:ilvl="0" w:tplc="0409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1671E"/>
    <w:multiLevelType w:val="multilevel"/>
    <w:tmpl w:val="B08EDE14"/>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D3083E"/>
    <w:multiLevelType w:val="hybridMultilevel"/>
    <w:tmpl w:val="EA9CEDBA"/>
    <w:lvl w:ilvl="0" w:tplc="0409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00654"/>
    <w:multiLevelType w:val="multilevel"/>
    <w:tmpl w:val="EA9CEDBA"/>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7348A4"/>
    <w:multiLevelType w:val="hybridMultilevel"/>
    <w:tmpl w:val="197C282A"/>
    <w:lvl w:ilvl="0" w:tplc="0409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3331B"/>
    <w:multiLevelType w:val="multilevel"/>
    <w:tmpl w:val="7D90916A"/>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59522A"/>
    <w:multiLevelType w:val="multilevel"/>
    <w:tmpl w:val="16447E12"/>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2"/>
  </w:num>
  <w:num w:numId="6">
    <w:abstractNumId w:val="3"/>
  </w:num>
  <w:num w:numId="7">
    <w:abstractNumId w:val="7"/>
  </w:num>
  <w:num w:numId="8">
    <w:abstractNumId w:val="10"/>
  </w:num>
  <w:num w:numId="9">
    <w:abstractNumId w:val="1"/>
  </w:num>
  <w:num w:numId="10">
    <w:abstractNumId w:val="5"/>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749"/>
    <w:rsid w:val="000153CE"/>
    <w:rsid w:val="00025E52"/>
    <w:rsid w:val="00032DE9"/>
    <w:rsid w:val="000343D9"/>
    <w:rsid w:val="000368A4"/>
    <w:rsid w:val="00047029"/>
    <w:rsid w:val="000501E2"/>
    <w:rsid w:val="0006555D"/>
    <w:rsid w:val="00073226"/>
    <w:rsid w:val="00074CF2"/>
    <w:rsid w:val="000839A5"/>
    <w:rsid w:val="00087F01"/>
    <w:rsid w:val="000947C8"/>
    <w:rsid w:val="000B6E67"/>
    <w:rsid w:val="000D1795"/>
    <w:rsid w:val="000E7B69"/>
    <w:rsid w:val="000F001D"/>
    <w:rsid w:val="000F42CE"/>
    <w:rsid w:val="000F455E"/>
    <w:rsid w:val="000F48B7"/>
    <w:rsid w:val="000F7674"/>
    <w:rsid w:val="0011077B"/>
    <w:rsid w:val="001226A8"/>
    <w:rsid w:val="00150497"/>
    <w:rsid w:val="00162AFE"/>
    <w:rsid w:val="001651BD"/>
    <w:rsid w:val="00170FA3"/>
    <w:rsid w:val="001B326C"/>
    <w:rsid w:val="001D6D28"/>
    <w:rsid w:val="001D6E13"/>
    <w:rsid w:val="001E1C3C"/>
    <w:rsid w:val="001E3F3C"/>
    <w:rsid w:val="001E43BD"/>
    <w:rsid w:val="001F0D73"/>
    <w:rsid w:val="00206A41"/>
    <w:rsid w:val="00207489"/>
    <w:rsid w:val="00210DFF"/>
    <w:rsid w:val="00211578"/>
    <w:rsid w:val="002148BE"/>
    <w:rsid w:val="002201CD"/>
    <w:rsid w:val="002235FD"/>
    <w:rsid w:val="00226D3C"/>
    <w:rsid w:val="002278BD"/>
    <w:rsid w:val="002423CB"/>
    <w:rsid w:val="00246540"/>
    <w:rsid w:val="00273C41"/>
    <w:rsid w:val="00280FA6"/>
    <w:rsid w:val="002810DF"/>
    <w:rsid w:val="00283455"/>
    <w:rsid w:val="00296510"/>
    <w:rsid w:val="002B12EB"/>
    <w:rsid w:val="002B341C"/>
    <w:rsid w:val="002B4E2E"/>
    <w:rsid w:val="002C0C84"/>
    <w:rsid w:val="002C7060"/>
    <w:rsid w:val="002D0784"/>
    <w:rsid w:val="002D31EA"/>
    <w:rsid w:val="002E3494"/>
    <w:rsid w:val="002F1C3B"/>
    <w:rsid w:val="002F3500"/>
    <w:rsid w:val="00303560"/>
    <w:rsid w:val="003177FF"/>
    <w:rsid w:val="00322A06"/>
    <w:rsid w:val="003242E0"/>
    <w:rsid w:val="0032564E"/>
    <w:rsid w:val="003258F1"/>
    <w:rsid w:val="00331212"/>
    <w:rsid w:val="003438BE"/>
    <w:rsid w:val="003440F7"/>
    <w:rsid w:val="003564DE"/>
    <w:rsid w:val="00376F34"/>
    <w:rsid w:val="003876C8"/>
    <w:rsid w:val="00392D14"/>
    <w:rsid w:val="003A3185"/>
    <w:rsid w:val="003C10B7"/>
    <w:rsid w:val="003D1CBE"/>
    <w:rsid w:val="003E48C8"/>
    <w:rsid w:val="003F0ECD"/>
    <w:rsid w:val="003F3B3D"/>
    <w:rsid w:val="003F4AE8"/>
    <w:rsid w:val="0040708E"/>
    <w:rsid w:val="0041107F"/>
    <w:rsid w:val="00420C34"/>
    <w:rsid w:val="00426F0D"/>
    <w:rsid w:val="004301B6"/>
    <w:rsid w:val="00435DCB"/>
    <w:rsid w:val="004414D9"/>
    <w:rsid w:val="00445A9F"/>
    <w:rsid w:val="00450617"/>
    <w:rsid w:val="0045778E"/>
    <w:rsid w:val="00463811"/>
    <w:rsid w:val="004747AF"/>
    <w:rsid w:val="004829E0"/>
    <w:rsid w:val="004A3278"/>
    <w:rsid w:val="004B27E9"/>
    <w:rsid w:val="004B40B8"/>
    <w:rsid w:val="004C0DEF"/>
    <w:rsid w:val="004C3B78"/>
    <w:rsid w:val="004C6254"/>
    <w:rsid w:val="004D280C"/>
    <w:rsid w:val="004D3274"/>
    <w:rsid w:val="004E2303"/>
    <w:rsid w:val="004F1033"/>
    <w:rsid w:val="004F1733"/>
    <w:rsid w:val="004F6EAA"/>
    <w:rsid w:val="00500462"/>
    <w:rsid w:val="00503FB2"/>
    <w:rsid w:val="005051D4"/>
    <w:rsid w:val="00505F82"/>
    <w:rsid w:val="0050704F"/>
    <w:rsid w:val="0051195D"/>
    <w:rsid w:val="00512784"/>
    <w:rsid w:val="005143B1"/>
    <w:rsid w:val="00515601"/>
    <w:rsid w:val="00515E1F"/>
    <w:rsid w:val="00525880"/>
    <w:rsid w:val="00533C1D"/>
    <w:rsid w:val="00536CF3"/>
    <w:rsid w:val="00536F65"/>
    <w:rsid w:val="00537095"/>
    <w:rsid w:val="005468C1"/>
    <w:rsid w:val="0055137E"/>
    <w:rsid w:val="00553268"/>
    <w:rsid w:val="005757E5"/>
    <w:rsid w:val="005779B1"/>
    <w:rsid w:val="00582BA0"/>
    <w:rsid w:val="005A54D3"/>
    <w:rsid w:val="005B7E3C"/>
    <w:rsid w:val="005C1941"/>
    <w:rsid w:val="005D1E76"/>
    <w:rsid w:val="005D3789"/>
    <w:rsid w:val="005E153C"/>
    <w:rsid w:val="005E4A20"/>
    <w:rsid w:val="00600434"/>
    <w:rsid w:val="00600980"/>
    <w:rsid w:val="00603CDD"/>
    <w:rsid w:val="006107FC"/>
    <w:rsid w:val="00620E0A"/>
    <w:rsid w:val="0062700D"/>
    <w:rsid w:val="00634462"/>
    <w:rsid w:val="006376B1"/>
    <w:rsid w:val="00666A2E"/>
    <w:rsid w:val="00673898"/>
    <w:rsid w:val="00675930"/>
    <w:rsid w:val="00687B96"/>
    <w:rsid w:val="00691AA0"/>
    <w:rsid w:val="0069254D"/>
    <w:rsid w:val="006957C5"/>
    <w:rsid w:val="00695903"/>
    <w:rsid w:val="006B1132"/>
    <w:rsid w:val="006B7EA3"/>
    <w:rsid w:val="006C0006"/>
    <w:rsid w:val="006C5910"/>
    <w:rsid w:val="006C751D"/>
    <w:rsid w:val="006F40A8"/>
    <w:rsid w:val="006F542A"/>
    <w:rsid w:val="0070103C"/>
    <w:rsid w:val="007051C1"/>
    <w:rsid w:val="00707E41"/>
    <w:rsid w:val="00725B2F"/>
    <w:rsid w:val="00730379"/>
    <w:rsid w:val="007463C3"/>
    <w:rsid w:val="00747A29"/>
    <w:rsid w:val="0076066E"/>
    <w:rsid w:val="00786590"/>
    <w:rsid w:val="00796754"/>
    <w:rsid w:val="007968F5"/>
    <w:rsid w:val="00796C2E"/>
    <w:rsid w:val="007A1E20"/>
    <w:rsid w:val="007B1870"/>
    <w:rsid w:val="007C4617"/>
    <w:rsid w:val="007E0167"/>
    <w:rsid w:val="007E20A4"/>
    <w:rsid w:val="007E283A"/>
    <w:rsid w:val="007E7A4E"/>
    <w:rsid w:val="007F4F0A"/>
    <w:rsid w:val="007F6F58"/>
    <w:rsid w:val="00804E2F"/>
    <w:rsid w:val="00806DE9"/>
    <w:rsid w:val="0080720B"/>
    <w:rsid w:val="00811462"/>
    <w:rsid w:val="0081401E"/>
    <w:rsid w:val="00815A68"/>
    <w:rsid w:val="00820033"/>
    <w:rsid w:val="00823430"/>
    <w:rsid w:val="00824511"/>
    <w:rsid w:val="008252D3"/>
    <w:rsid w:val="008278B0"/>
    <w:rsid w:val="00832420"/>
    <w:rsid w:val="00835423"/>
    <w:rsid w:val="00835499"/>
    <w:rsid w:val="008363D3"/>
    <w:rsid w:val="00850375"/>
    <w:rsid w:val="008639AB"/>
    <w:rsid w:val="008641DC"/>
    <w:rsid w:val="008643A4"/>
    <w:rsid w:val="00870A45"/>
    <w:rsid w:val="00882D15"/>
    <w:rsid w:val="008832D2"/>
    <w:rsid w:val="00890CC3"/>
    <w:rsid w:val="008A50E8"/>
    <w:rsid w:val="008B0F37"/>
    <w:rsid w:val="008B352B"/>
    <w:rsid w:val="008B7A19"/>
    <w:rsid w:val="008C335D"/>
    <w:rsid w:val="008D3A78"/>
    <w:rsid w:val="008D4BF5"/>
    <w:rsid w:val="008D596D"/>
    <w:rsid w:val="008E0870"/>
    <w:rsid w:val="008E111C"/>
    <w:rsid w:val="008F7978"/>
    <w:rsid w:val="00903A48"/>
    <w:rsid w:val="00924AC2"/>
    <w:rsid w:val="009343C9"/>
    <w:rsid w:val="00935CA1"/>
    <w:rsid w:val="00936EA4"/>
    <w:rsid w:val="00941478"/>
    <w:rsid w:val="00941E3D"/>
    <w:rsid w:val="009537BE"/>
    <w:rsid w:val="00967A15"/>
    <w:rsid w:val="00967EC6"/>
    <w:rsid w:val="00972783"/>
    <w:rsid w:val="009870C2"/>
    <w:rsid w:val="009948BD"/>
    <w:rsid w:val="009C45DA"/>
    <w:rsid w:val="009C767E"/>
    <w:rsid w:val="009D12C5"/>
    <w:rsid w:val="009D26CE"/>
    <w:rsid w:val="009D7554"/>
    <w:rsid w:val="009E4695"/>
    <w:rsid w:val="009E58B8"/>
    <w:rsid w:val="009F0595"/>
    <w:rsid w:val="009F147F"/>
    <w:rsid w:val="009F287C"/>
    <w:rsid w:val="00A14D0E"/>
    <w:rsid w:val="00A16993"/>
    <w:rsid w:val="00A178BB"/>
    <w:rsid w:val="00A25129"/>
    <w:rsid w:val="00A424FA"/>
    <w:rsid w:val="00A57DCA"/>
    <w:rsid w:val="00A60DC2"/>
    <w:rsid w:val="00A635BD"/>
    <w:rsid w:val="00A72143"/>
    <w:rsid w:val="00A763EE"/>
    <w:rsid w:val="00A864D4"/>
    <w:rsid w:val="00A90491"/>
    <w:rsid w:val="00AA5F95"/>
    <w:rsid w:val="00AA6E45"/>
    <w:rsid w:val="00AB0F9D"/>
    <w:rsid w:val="00AB5985"/>
    <w:rsid w:val="00AB5CFB"/>
    <w:rsid w:val="00AC1091"/>
    <w:rsid w:val="00AC1E92"/>
    <w:rsid w:val="00AC2180"/>
    <w:rsid w:val="00AD01E3"/>
    <w:rsid w:val="00AF529A"/>
    <w:rsid w:val="00B11A54"/>
    <w:rsid w:val="00B22254"/>
    <w:rsid w:val="00B24AA3"/>
    <w:rsid w:val="00B24E57"/>
    <w:rsid w:val="00B25953"/>
    <w:rsid w:val="00B35716"/>
    <w:rsid w:val="00B418A5"/>
    <w:rsid w:val="00B418AF"/>
    <w:rsid w:val="00B43593"/>
    <w:rsid w:val="00B57E5B"/>
    <w:rsid w:val="00B61E2F"/>
    <w:rsid w:val="00B63627"/>
    <w:rsid w:val="00B64113"/>
    <w:rsid w:val="00B70A88"/>
    <w:rsid w:val="00B903CE"/>
    <w:rsid w:val="00B94CF8"/>
    <w:rsid w:val="00B97E3B"/>
    <w:rsid w:val="00BA43F7"/>
    <w:rsid w:val="00BB07C4"/>
    <w:rsid w:val="00BB71F0"/>
    <w:rsid w:val="00BC181C"/>
    <w:rsid w:val="00BC4BF6"/>
    <w:rsid w:val="00BD4D67"/>
    <w:rsid w:val="00BE5F49"/>
    <w:rsid w:val="00C125C7"/>
    <w:rsid w:val="00C163B9"/>
    <w:rsid w:val="00C21B0A"/>
    <w:rsid w:val="00C2223E"/>
    <w:rsid w:val="00C3182E"/>
    <w:rsid w:val="00C343BB"/>
    <w:rsid w:val="00C361AF"/>
    <w:rsid w:val="00C41319"/>
    <w:rsid w:val="00C45A52"/>
    <w:rsid w:val="00C45C23"/>
    <w:rsid w:val="00C51ACF"/>
    <w:rsid w:val="00C549C6"/>
    <w:rsid w:val="00C7128A"/>
    <w:rsid w:val="00C72075"/>
    <w:rsid w:val="00C811CA"/>
    <w:rsid w:val="00C879AB"/>
    <w:rsid w:val="00C92B5C"/>
    <w:rsid w:val="00CA484A"/>
    <w:rsid w:val="00CA6749"/>
    <w:rsid w:val="00CB3F6C"/>
    <w:rsid w:val="00CC4737"/>
    <w:rsid w:val="00CC4836"/>
    <w:rsid w:val="00CC652A"/>
    <w:rsid w:val="00CE2BB8"/>
    <w:rsid w:val="00CF492A"/>
    <w:rsid w:val="00D1025A"/>
    <w:rsid w:val="00D11B5A"/>
    <w:rsid w:val="00D17B92"/>
    <w:rsid w:val="00D25075"/>
    <w:rsid w:val="00D26489"/>
    <w:rsid w:val="00D44A86"/>
    <w:rsid w:val="00D60A35"/>
    <w:rsid w:val="00D74F0E"/>
    <w:rsid w:val="00D85737"/>
    <w:rsid w:val="00D92C69"/>
    <w:rsid w:val="00D97D8D"/>
    <w:rsid w:val="00DA053A"/>
    <w:rsid w:val="00DA5E31"/>
    <w:rsid w:val="00DA6F41"/>
    <w:rsid w:val="00DB1DAF"/>
    <w:rsid w:val="00DB612A"/>
    <w:rsid w:val="00DB6C4E"/>
    <w:rsid w:val="00DD05E0"/>
    <w:rsid w:val="00DD24B2"/>
    <w:rsid w:val="00DD6B3C"/>
    <w:rsid w:val="00DE30C2"/>
    <w:rsid w:val="00DE4CE4"/>
    <w:rsid w:val="00E10673"/>
    <w:rsid w:val="00E302DB"/>
    <w:rsid w:val="00E326BE"/>
    <w:rsid w:val="00E37E68"/>
    <w:rsid w:val="00E5259B"/>
    <w:rsid w:val="00E54F2E"/>
    <w:rsid w:val="00E76B29"/>
    <w:rsid w:val="00E812F2"/>
    <w:rsid w:val="00E866EC"/>
    <w:rsid w:val="00E97A64"/>
    <w:rsid w:val="00EA3083"/>
    <w:rsid w:val="00EA4451"/>
    <w:rsid w:val="00EC2FB4"/>
    <w:rsid w:val="00EC434D"/>
    <w:rsid w:val="00EC69DC"/>
    <w:rsid w:val="00EC7164"/>
    <w:rsid w:val="00ED3432"/>
    <w:rsid w:val="00EE4AC0"/>
    <w:rsid w:val="00EE4DBA"/>
    <w:rsid w:val="00EE5227"/>
    <w:rsid w:val="00EF4A71"/>
    <w:rsid w:val="00F00F82"/>
    <w:rsid w:val="00F04C48"/>
    <w:rsid w:val="00F069CD"/>
    <w:rsid w:val="00F25019"/>
    <w:rsid w:val="00F2526A"/>
    <w:rsid w:val="00F2588B"/>
    <w:rsid w:val="00F30E8F"/>
    <w:rsid w:val="00F36174"/>
    <w:rsid w:val="00F4753F"/>
    <w:rsid w:val="00F518B9"/>
    <w:rsid w:val="00F56167"/>
    <w:rsid w:val="00F6091F"/>
    <w:rsid w:val="00F7690E"/>
    <w:rsid w:val="00F76FA0"/>
    <w:rsid w:val="00F90BB1"/>
    <w:rsid w:val="00F91456"/>
    <w:rsid w:val="00F94355"/>
    <w:rsid w:val="00F95219"/>
    <w:rsid w:val="00F95CD7"/>
    <w:rsid w:val="00F977C6"/>
    <w:rsid w:val="00FA6C86"/>
    <w:rsid w:val="00FB36F7"/>
    <w:rsid w:val="00FD66DA"/>
    <w:rsid w:val="00FD6E8C"/>
    <w:rsid w:val="00FE1B14"/>
    <w:rsid w:val="00FF0C1E"/>
    <w:rsid w:val="00FF2A11"/>
    <w:rsid w:val="00FF2C13"/>
    <w:rsid w:val="00FF5127"/>
    <w:rsid w:val="00FF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D551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1EA"/>
    <w:pPr>
      <w:ind w:left="720"/>
      <w:contextualSpacing/>
    </w:pPr>
  </w:style>
  <w:style w:type="paragraph" w:styleId="Footer">
    <w:name w:val="footer"/>
    <w:basedOn w:val="Normal"/>
    <w:link w:val="FooterChar"/>
    <w:uiPriority w:val="99"/>
    <w:unhideWhenUsed/>
    <w:rsid w:val="001E1C3C"/>
    <w:pPr>
      <w:tabs>
        <w:tab w:val="center" w:pos="4680"/>
        <w:tab w:val="right" w:pos="9360"/>
      </w:tabs>
    </w:pPr>
  </w:style>
  <w:style w:type="character" w:customStyle="1" w:styleId="FooterChar">
    <w:name w:val="Footer Char"/>
    <w:basedOn w:val="DefaultParagraphFont"/>
    <w:link w:val="Footer"/>
    <w:uiPriority w:val="99"/>
    <w:rsid w:val="001E1C3C"/>
  </w:style>
  <w:style w:type="character" w:styleId="PageNumber">
    <w:name w:val="page number"/>
    <w:basedOn w:val="DefaultParagraphFont"/>
    <w:uiPriority w:val="99"/>
    <w:semiHidden/>
    <w:unhideWhenUsed/>
    <w:rsid w:val="001E1C3C"/>
  </w:style>
  <w:style w:type="paragraph" w:styleId="Header">
    <w:name w:val="header"/>
    <w:basedOn w:val="Normal"/>
    <w:link w:val="HeaderChar"/>
    <w:uiPriority w:val="99"/>
    <w:unhideWhenUsed/>
    <w:rsid w:val="001E1C3C"/>
    <w:pPr>
      <w:tabs>
        <w:tab w:val="center" w:pos="4680"/>
        <w:tab w:val="right" w:pos="9360"/>
      </w:tabs>
    </w:pPr>
  </w:style>
  <w:style w:type="character" w:customStyle="1" w:styleId="HeaderChar">
    <w:name w:val="Header Char"/>
    <w:basedOn w:val="DefaultParagraphFont"/>
    <w:link w:val="Header"/>
    <w:uiPriority w:val="99"/>
    <w:rsid w:val="001E1C3C"/>
  </w:style>
  <w:style w:type="paragraph" w:styleId="FootnoteText">
    <w:name w:val="footnote text"/>
    <w:basedOn w:val="Normal"/>
    <w:link w:val="FootnoteTextChar"/>
    <w:uiPriority w:val="99"/>
    <w:unhideWhenUsed/>
    <w:rsid w:val="00B43593"/>
    <w:rPr>
      <w:rFonts w:ascii="Times New Roman" w:hAnsi="Times New Roman"/>
      <w:sz w:val="20"/>
    </w:rPr>
  </w:style>
  <w:style w:type="character" w:customStyle="1" w:styleId="FootnoteTextChar">
    <w:name w:val="Footnote Text Char"/>
    <w:basedOn w:val="DefaultParagraphFont"/>
    <w:link w:val="FootnoteText"/>
    <w:uiPriority w:val="99"/>
    <w:rsid w:val="00B43593"/>
    <w:rPr>
      <w:rFonts w:ascii="Times New Roman" w:hAnsi="Times New Roman"/>
      <w:sz w:val="20"/>
    </w:rPr>
  </w:style>
  <w:style w:type="character" w:styleId="FootnoteReference">
    <w:name w:val="footnote reference"/>
    <w:basedOn w:val="DefaultParagraphFont"/>
    <w:uiPriority w:val="99"/>
    <w:unhideWhenUsed/>
    <w:rsid w:val="00B43593"/>
    <w:rPr>
      <w:vertAlign w:val="superscript"/>
    </w:rPr>
  </w:style>
  <w:style w:type="character" w:styleId="Hyperlink">
    <w:name w:val="Hyperlink"/>
    <w:basedOn w:val="DefaultParagraphFont"/>
    <w:uiPriority w:val="99"/>
    <w:unhideWhenUsed/>
    <w:rsid w:val="00296510"/>
    <w:rPr>
      <w:color w:val="0563C1" w:themeColor="hyperlink"/>
      <w:u w:val="single"/>
    </w:rPr>
  </w:style>
  <w:style w:type="character" w:styleId="FollowedHyperlink">
    <w:name w:val="FollowedHyperlink"/>
    <w:basedOn w:val="DefaultParagraphFont"/>
    <w:uiPriority w:val="99"/>
    <w:semiHidden/>
    <w:unhideWhenUsed/>
    <w:rsid w:val="002810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204">
      <w:bodyDiv w:val="1"/>
      <w:marLeft w:val="0"/>
      <w:marRight w:val="0"/>
      <w:marTop w:val="0"/>
      <w:marBottom w:val="0"/>
      <w:divBdr>
        <w:top w:val="none" w:sz="0" w:space="0" w:color="auto"/>
        <w:left w:val="none" w:sz="0" w:space="0" w:color="auto"/>
        <w:bottom w:val="none" w:sz="0" w:space="0" w:color="auto"/>
        <w:right w:val="none" w:sz="0" w:space="0" w:color="auto"/>
      </w:divBdr>
    </w:div>
    <w:div w:id="43917543">
      <w:bodyDiv w:val="1"/>
      <w:marLeft w:val="0"/>
      <w:marRight w:val="0"/>
      <w:marTop w:val="0"/>
      <w:marBottom w:val="0"/>
      <w:divBdr>
        <w:top w:val="none" w:sz="0" w:space="0" w:color="auto"/>
        <w:left w:val="none" w:sz="0" w:space="0" w:color="auto"/>
        <w:bottom w:val="none" w:sz="0" w:space="0" w:color="auto"/>
        <w:right w:val="none" w:sz="0" w:space="0" w:color="auto"/>
      </w:divBdr>
    </w:div>
    <w:div w:id="80219828">
      <w:bodyDiv w:val="1"/>
      <w:marLeft w:val="0"/>
      <w:marRight w:val="0"/>
      <w:marTop w:val="0"/>
      <w:marBottom w:val="0"/>
      <w:divBdr>
        <w:top w:val="none" w:sz="0" w:space="0" w:color="auto"/>
        <w:left w:val="none" w:sz="0" w:space="0" w:color="auto"/>
        <w:bottom w:val="none" w:sz="0" w:space="0" w:color="auto"/>
        <w:right w:val="none" w:sz="0" w:space="0" w:color="auto"/>
      </w:divBdr>
    </w:div>
    <w:div w:id="141772514">
      <w:bodyDiv w:val="1"/>
      <w:marLeft w:val="0"/>
      <w:marRight w:val="0"/>
      <w:marTop w:val="0"/>
      <w:marBottom w:val="0"/>
      <w:divBdr>
        <w:top w:val="none" w:sz="0" w:space="0" w:color="auto"/>
        <w:left w:val="none" w:sz="0" w:space="0" w:color="auto"/>
        <w:bottom w:val="none" w:sz="0" w:space="0" w:color="auto"/>
        <w:right w:val="none" w:sz="0" w:space="0" w:color="auto"/>
      </w:divBdr>
    </w:div>
    <w:div w:id="155070121">
      <w:bodyDiv w:val="1"/>
      <w:marLeft w:val="0"/>
      <w:marRight w:val="0"/>
      <w:marTop w:val="0"/>
      <w:marBottom w:val="0"/>
      <w:divBdr>
        <w:top w:val="none" w:sz="0" w:space="0" w:color="auto"/>
        <w:left w:val="none" w:sz="0" w:space="0" w:color="auto"/>
        <w:bottom w:val="none" w:sz="0" w:space="0" w:color="auto"/>
        <w:right w:val="none" w:sz="0" w:space="0" w:color="auto"/>
      </w:divBdr>
    </w:div>
    <w:div w:id="265121576">
      <w:bodyDiv w:val="1"/>
      <w:marLeft w:val="0"/>
      <w:marRight w:val="0"/>
      <w:marTop w:val="0"/>
      <w:marBottom w:val="0"/>
      <w:divBdr>
        <w:top w:val="none" w:sz="0" w:space="0" w:color="auto"/>
        <w:left w:val="none" w:sz="0" w:space="0" w:color="auto"/>
        <w:bottom w:val="none" w:sz="0" w:space="0" w:color="auto"/>
        <w:right w:val="none" w:sz="0" w:space="0" w:color="auto"/>
      </w:divBdr>
    </w:div>
    <w:div w:id="311259417">
      <w:bodyDiv w:val="1"/>
      <w:marLeft w:val="0"/>
      <w:marRight w:val="0"/>
      <w:marTop w:val="0"/>
      <w:marBottom w:val="0"/>
      <w:divBdr>
        <w:top w:val="none" w:sz="0" w:space="0" w:color="auto"/>
        <w:left w:val="none" w:sz="0" w:space="0" w:color="auto"/>
        <w:bottom w:val="none" w:sz="0" w:space="0" w:color="auto"/>
        <w:right w:val="none" w:sz="0" w:space="0" w:color="auto"/>
      </w:divBdr>
    </w:div>
    <w:div w:id="478692098">
      <w:bodyDiv w:val="1"/>
      <w:marLeft w:val="0"/>
      <w:marRight w:val="0"/>
      <w:marTop w:val="0"/>
      <w:marBottom w:val="0"/>
      <w:divBdr>
        <w:top w:val="none" w:sz="0" w:space="0" w:color="auto"/>
        <w:left w:val="none" w:sz="0" w:space="0" w:color="auto"/>
        <w:bottom w:val="none" w:sz="0" w:space="0" w:color="auto"/>
        <w:right w:val="none" w:sz="0" w:space="0" w:color="auto"/>
      </w:divBdr>
    </w:div>
    <w:div w:id="588124553">
      <w:bodyDiv w:val="1"/>
      <w:marLeft w:val="0"/>
      <w:marRight w:val="0"/>
      <w:marTop w:val="0"/>
      <w:marBottom w:val="0"/>
      <w:divBdr>
        <w:top w:val="none" w:sz="0" w:space="0" w:color="auto"/>
        <w:left w:val="none" w:sz="0" w:space="0" w:color="auto"/>
        <w:bottom w:val="none" w:sz="0" w:space="0" w:color="auto"/>
        <w:right w:val="none" w:sz="0" w:space="0" w:color="auto"/>
      </w:divBdr>
    </w:div>
    <w:div w:id="661814089">
      <w:bodyDiv w:val="1"/>
      <w:marLeft w:val="0"/>
      <w:marRight w:val="0"/>
      <w:marTop w:val="0"/>
      <w:marBottom w:val="0"/>
      <w:divBdr>
        <w:top w:val="none" w:sz="0" w:space="0" w:color="auto"/>
        <w:left w:val="none" w:sz="0" w:space="0" w:color="auto"/>
        <w:bottom w:val="none" w:sz="0" w:space="0" w:color="auto"/>
        <w:right w:val="none" w:sz="0" w:space="0" w:color="auto"/>
      </w:divBdr>
    </w:div>
    <w:div w:id="677385512">
      <w:bodyDiv w:val="1"/>
      <w:marLeft w:val="0"/>
      <w:marRight w:val="0"/>
      <w:marTop w:val="0"/>
      <w:marBottom w:val="0"/>
      <w:divBdr>
        <w:top w:val="none" w:sz="0" w:space="0" w:color="auto"/>
        <w:left w:val="none" w:sz="0" w:space="0" w:color="auto"/>
        <w:bottom w:val="none" w:sz="0" w:space="0" w:color="auto"/>
        <w:right w:val="none" w:sz="0" w:space="0" w:color="auto"/>
      </w:divBdr>
    </w:div>
    <w:div w:id="790436935">
      <w:bodyDiv w:val="1"/>
      <w:marLeft w:val="0"/>
      <w:marRight w:val="0"/>
      <w:marTop w:val="0"/>
      <w:marBottom w:val="0"/>
      <w:divBdr>
        <w:top w:val="none" w:sz="0" w:space="0" w:color="auto"/>
        <w:left w:val="none" w:sz="0" w:space="0" w:color="auto"/>
        <w:bottom w:val="none" w:sz="0" w:space="0" w:color="auto"/>
        <w:right w:val="none" w:sz="0" w:space="0" w:color="auto"/>
      </w:divBdr>
    </w:div>
    <w:div w:id="797260224">
      <w:bodyDiv w:val="1"/>
      <w:marLeft w:val="0"/>
      <w:marRight w:val="0"/>
      <w:marTop w:val="0"/>
      <w:marBottom w:val="0"/>
      <w:divBdr>
        <w:top w:val="none" w:sz="0" w:space="0" w:color="auto"/>
        <w:left w:val="none" w:sz="0" w:space="0" w:color="auto"/>
        <w:bottom w:val="none" w:sz="0" w:space="0" w:color="auto"/>
        <w:right w:val="none" w:sz="0" w:space="0" w:color="auto"/>
      </w:divBdr>
    </w:div>
    <w:div w:id="858006625">
      <w:bodyDiv w:val="1"/>
      <w:marLeft w:val="0"/>
      <w:marRight w:val="0"/>
      <w:marTop w:val="0"/>
      <w:marBottom w:val="0"/>
      <w:divBdr>
        <w:top w:val="none" w:sz="0" w:space="0" w:color="auto"/>
        <w:left w:val="none" w:sz="0" w:space="0" w:color="auto"/>
        <w:bottom w:val="none" w:sz="0" w:space="0" w:color="auto"/>
        <w:right w:val="none" w:sz="0" w:space="0" w:color="auto"/>
      </w:divBdr>
    </w:div>
    <w:div w:id="891188014">
      <w:bodyDiv w:val="1"/>
      <w:marLeft w:val="0"/>
      <w:marRight w:val="0"/>
      <w:marTop w:val="0"/>
      <w:marBottom w:val="0"/>
      <w:divBdr>
        <w:top w:val="none" w:sz="0" w:space="0" w:color="auto"/>
        <w:left w:val="none" w:sz="0" w:space="0" w:color="auto"/>
        <w:bottom w:val="none" w:sz="0" w:space="0" w:color="auto"/>
        <w:right w:val="none" w:sz="0" w:space="0" w:color="auto"/>
      </w:divBdr>
    </w:div>
    <w:div w:id="967858500">
      <w:bodyDiv w:val="1"/>
      <w:marLeft w:val="0"/>
      <w:marRight w:val="0"/>
      <w:marTop w:val="0"/>
      <w:marBottom w:val="0"/>
      <w:divBdr>
        <w:top w:val="none" w:sz="0" w:space="0" w:color="auto"/>
        <w:left w:val="none" w:sz="0" w:space="0" w:color="auto"/>
        <w:bottom w:val="none" w:sz="0" w:space="0" w:color="auto"/>
        <w:right w:val="none" w:sz="0" w:space="0" w:color="auto"/>
      </w:divBdr>
    </w:div>
    <w:div w:id="1095708311">
      <w:bodyDiv w:val="1"/>
      <w:marLeft w:val="0"/>
      <w:marRight w:val="0"/>
      <w:marTop w:val="0"/>
      <w:marBottom w:val="0"/>
      <w:divBdr>
        <w:top w:val="none" w:sz="0" w:space="0" w:color="auto"/>
        <w:left w:val="none" w:sz="0" w:space="0" w:color="auto"/>
        <w:bottom w:val="none" w:sz="0" w:space="0" w:color="auto"/>
        <w:right w:val="none" w:sz="0" w:space="0" w:color="auto"/>
      </w:divBdr>
    </w:div>
    <w:div w:id="1252549930">
      <w:bodyDiv w:val="1"/>
      <w:marLeft w:val="0"/>
      <w:marRight w:val="0"/>
      <w:marTop w:val="0"/>
      <w:marBottom w:val="0"/>
      <w:divBdr>
        <w:top w:val="none" w:sz="0" w:space="0" w:color="auto"/>
        <w:left w:val="none" w:sz="0" w:space="0" w:color="auto"/>
        <w:bottom w:val="none" w:sz="0" w:space="0" w:color="auto"/>
        <w:right w:val="none" w:sz="0" w:space="0" w:color="auto"/>
      </w:divBdr>
    </w:div>
    <w:div w:id="1418790916">
      <w:bodyDiv w:val="1"/>
      <w:marLeft w:val="0"/>
      <w:marRight w:val="0"/>
      <w:marTop w:val="0"/>
      <w:marBottom w:val="0"/>
      <w:divBdr>
        <w:top w:val="none" w:sz="0" w:space="0" w:color="auto"/>
        <w:left w:val="none" w:sz="0" w:space="0" w:color="auto"/>
        <w:bottom w:val="none" w:sz="0" w:space="0" w:color="auto"/>
        <w:right w:val="none" w:sz="0" w:space="0" w:color="auto"/>
      </w:divBdr>
    </w:div>
    <w:div w:id="1569147710">
      <w:bodyDiv w:val="1"/>
      <w:marLeft w:val="0"/>
      <w:marRight w:val="0"/>
      <w:marTop w:val="0"/>
      <w:marBottom w:val="0"/>
      <w:divBdr>
        <w:top w:val="none" w:sz="0" w:space="0" w:color="auto"/>
        <w:left w:val="none" w:sz="0" w:space="0" w:color="auto"/>
        <w:bottom w:val="none" w:sz="0" w:space="0" w:color="auto"/>
        <w:right w:val="none" w:sz="0" w:space="0" w:color="auto"/>
      </w:divBdr>
    </w:div>
    <w:div w:id="1571960943">
      <w:bodyDiv w:val="1"/>
      <w:marLeft w:val="0"/>
      <w:marRight w:val="0"/>
      <w:marTop w:val="0"/>
      <w:marBottom w:val="0"/>
      <w:divBdr>
        <w:top w:val="none" w:sz="0" w:space="0" w:color="auto"/>
        <w:left w:val="none" w:sz="0" w:space="0" w:color="auto"/>
        <w:bottom w:val="none" w:sz="0" w:space="0" w:color="auto"/>
        <w:right w:val="none" w:sz="0" w:space="0" w:color="auto"/>
      </w:divBdr>
    </w:div>
    <w:div w:id="1638682665">
      <w:bodyDiv w:val="1"/>
      <w:marLeft w:val="0"/>
      <w:marRight w:val="0"/>
      <w:marTop w:val="0"/>
      <w:marBottom w:val="0"/>
      <w:divBdr>
        <w:top w:val="none" w:sz="0" w:space="0" w:color="auto"/>
        <w:left w:val="none" w:sz="0" w:space="0" w:color="auto"/>
        <w:bottom w:val="none" w:sz="0" w:space="0" w:color="auto"/>
        <w:right w:val="none" w:sz="0" w:space="0" w:color="auto"/>
      </w:divBdr>
    </w:div>
    <w:div w:id="1698431931">
      <w:bodyDiv w:val="1"/>
      <w:marLeft w:val="0"/>
      <w:marRight w:val="0"/>
      <w:marTop w:val="0"/>
      <w:marBottom w:val="0"/>
      <w:divBdr>
        <w:top w:val="none" w:sz="0" w:space="0" w:color="auto"/>
        <w:left w:val="none" w:sz="0" w:space="0" w:color="auto"/>
        <w:bottom w:val="none" w:sz="0" w:space="0" w:color="auto"/>
        <w:right w:val="none" w:sz="0" w:space="0" w:color="auto"/>
      </w:divBdr>
    </w:div>
    <w:div w:id="1703940949">
      <w:bodyDiv w:val="1"/>
      <w:marLeft w:val="0"/>
      <w:marRight w:val="0"/>
      <w:marTop w:val="0"/>
      <w:marBottom w:val="0"/>
      <w:divBdr>
        <w:top w:val="none" w:sz="0" w:space="0" w:color="auto"/>
        <w:left w:val="none" w:sz="0" w:space="0" w:color="auto"/>
        <w:bottom w:val="none" w:sz="0" w:space="0" w:color="auto"/>
        <w:right w:val="none" w:sz="0" w:space="0" w:color="auto"/>
      </w:divBdr>
    </w:div>
    <w:div w:id="1848205987">
      <w:bodyDiv w:val="1"/>
      <w:marLeft w:val="0"/>
      <w:marRight w:val="0"/>
      <w:marTop w:val="0"/>
      <w:marBottom w:val="0"/>
      <w:divBdr>
        <w:top w:val="none" w:sz="0" w:space="0" w:color="auto"/>
        <w:left w:val="none" w:sz="0" w:space="0" w:color="auto"/>
        <w:bottom w:val="none" w:sz="0" w:space="0" w:color="auto"/>
        <w:right w:val="none" w:sz="0" w:space="0" w:color="auto"/>
      </w:divBdr>
    </w:div>
    <w:div w:id="1880623020">
      <w:bodyDiv w:val="1"/>
      <w:marLeft w:val="0"/>
      <w:marRight w:val="0"/>
      <w:marTop w:val="0"/>
      <w:marBottom w:val="0"/>
      <w:divBdr>
        <w:top w:val="none" w:sz="0" w:space="0" w:color="auto"/>
        <w:left w:val="none" w:sz="0" w:space="0" w:color="auto"/>
        <w:bottom w:val="none" w:sz="0" w:space="0" w:color="auto"/>
        <w:right w:val="none" w:sz="0" w:space="0" w:color="auto"/>
      </w:divBdr>
    </w:div>
    <w:div w:id="1934778893">
      <w:bodyDiv w:val="1"/>
      <w:marLeft w:val="0"/>
      <w:marRight w:val="0"/>
      <w:marTop w:val="0"/>
      <w:marBottom w:val="0"/>
      <w:divBdr>
        <w:top w:val="none" w:sz="0" w:space="0" w:color="auto"/>
        <w:left w:val="none" w:sz="0" w:space="0" w:color="auto"/>
        <w:bottom w:val="none" w:sz="0" w:space="0" w:color="auto"/>
        <w:right w:val="none" w:sz="0" w:space="0" w:color="auto"/>
      </w:divBdr>
    </w:div>
    <w:div w:id="1936015746">
      <w:bodyDiv w:val="1"/>
      <w:marLeft w:val="0"/>
      <w:marRight w:val="0"/>
      <w:marTop w:val="0"/>
      <w:marBottom w:val="0"/>
      <w:divBdr>
        <w:top w:val="none" w:sz="0" w:space="0" w:color="auto"/>
        <w:left w:val="none" w:sz="0" w:space="0" w:color="auto"/>
        <w:bottom w:val="none" w:sz="0" w:space="0" w:color="auto"/>
        <w:right w:val="none" w:sz="0" w:space="0" w:color="auto"/>
      </w:divBdr>
    </w:div>
    <w:div w:id="1958952433">
      <w:bodyDiv w:val="1"/>
      <w:marLeft w:val="0"/>
      <w:marRight w:val="0"/>
      <w:marTop w:val="0"/>
      <w:marBottom w:val="0"/>
      <w:divBdr>
        <w:top w:val="none" w:sz="0" w:space="0" w:color="auto"/>
        <w:left w:val="none" w:sz="0" w:space="0" w:color="auto"/>
        <w:bottom w:val="none" w:sz="0" w:space="0" w:color="auto"/>
        <w:right w:val="none" w:sz="0" w:space="0" w:color="auto"/>
      </w:divBdr>
    </w:div>
    <w:div w:id="2024698962">
      <w:bodyDiv w:val="1"/>
      <w:marLeft w:val="0"/>
      <w:marRight w:val="0"/>
      <w:marTop w:val="0"/>
      <w:marBottom w:val="0"/>
      <w:divBdr>
        <w:top w:val="none" w:sz="0" w:space="0" w:color="auto"/>
        <w:left w:val="none" w:sz="0" w:space="0" w:color="auto"/>
        <w:bottom w:val="none" w:sz="0" w:space="0" w:color="auto"/>
        <w:right w:val="none" w:sz="0" w:space="0" w:color="auto"/>
      </w:divBdr>
    </w:div>
    <w:div w:id="2054570153">
      <w:bodyDiv w:val="1"/>
      <w:marLeft w:val="0"/>
      <w:marRight w:val="0"/>
      <w:marTop w:val="0"/>
      <w:marBottom w:val="0"/>
      <w:divBdr>
        <w:top w:val="none" w:sz="0" w:space="0" w:color="auto"/>
        <w:left w:val="none" w:sz="0" w:space="0" w:color="auto"/>
        <w:bottom w:val="none" w:sz="0" w:space="0" w:color="auto"/>
        <w:right w:val="none" w:sz="0" w:space="0" w:color="auto"/>
      </w:divBdr>
    </w:div>
    <w:div w:id="2092964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920145-D6E5-1141-8409-72EFE880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Lefever, Lisa</dc:creator>
  <cp:keywords/>
  <dc:description/>
  <cp:lastModifiedBy>Lefever, Lisa</cp:lastModifiedBy>
  <cp:revision>3</cp:revision>
  <dcterms:created xsi:type="dcterms:W3CDTF">2018-10-10T13:30:00Z</dcterms:created>
  <dcterms:modified xsi:type="dcterms:W3CDTF">2018-10-10T13:31:00Z</dcterms:modified>
</cp:coreProperties>
</file>