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D9D06" w14:textId="139167E7" w:rsidR="00DF6698" w:rsidRDefault="00AA70A7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BCF46" wp14:editId="1B5FBAD8">
                <wp:simplePos x="0" y="0"/>
                <wp:positionH relativeFrom="column">
                  <wp:posOffset>-294143</wp:posOffset>
                </wp:positionH>
                <wp:positionV relativeFrom="paragraph">
                  <wp:posOffset>1720095</wp:posOffset>
                </wp:positionV>
                <wp:extent cx="562006" cy="223804"/>
                <wp:effectExtent l="0" t="0" r="952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006" cy="223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9C125" w14:textId="1DC1D35F" w:rsidR="00AA70A7" w:rsidRPr="00AA70A7" w:rsidRDefault="00AA70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PPM TP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BCF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3.15pt;margin-top:135.45pt;width:44.25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" fillcolor="white [3201]" strokeweight=".5pt">
                <v:textbox>
                  <w:txbxContent>
                    <w:p w14:paraId="2069C125" w14:textId="1DC1D35F" w:rsidR="00AA70A7" w:rsidRPr="00AA70A7" w:rsidRDefault="00AA70A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PPM TP </w:t>
                      </w:r>
                    </w:p>
                  </w:txbxContent>
                </v:textbox>
              </v:shape>
            </w:pict>
          </mc:Fallback>
        </mc:AlternateContent>
      </w:r>
      <w:r w:rsidR="00107844" w:rsidRPr="00813420">
        <w:rPr>
          <w:noProof/>
          <w:color w:val="FF0000"/>
        </w:rPr>
        <w:drawing>
          <wp:inline distT="0" distB="0" distL="0" distR="0" wp14:anchorId="0BE60C7C" wp14:editId="28E2AFCC">
            <wp:extent cx="5943600" cy="2968701"/>
            <wp:effectExtent l="0" t="0" r="12700" b="15875"/>
            <wp:docPr id="48" name="Chart 48">
              <a:extLst xmlns:a="http://schemas.openxmlformats.org/drawingml/2006/main">
                <a:ext uri="{FF2B5EF4-FFF2-40B4-BE49-F238E27FC236}">
                  <a16:creationId xmlns:a16="http://schemas.microsoft.com/office/drawing/2014/main" id="{85DF674B-3574-304A-97C1-D83F236F862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75AC5111" w14:textId="49D24C58" w:rsidR="0028649C" w:rsidRDefault="00107844">
      <w:pPr>
        <w:rPr>
          <w:rFonts w:ascii="Helvetica" w:hAnsi="Helvetica"/>
          <w:color w:val="000000"/>
          <w:sz w:val="22"/>
          <w:szCs w:val="22"/>
        </w:rPr>
      </w:pPr>
      <w:r w:rsidRPr="001C5958">
        <w:rPr>
          <w:rFonts w:ascii="Helvetica" w:hAnsi="Helvetica"/>
          <w:color w:val="000000"/>
          <w:sz w:val="22"/>
          <w:szCs w:val="22"/>
        </w:rPr>
        <w:t xml:space="preserve">Figure </w:t>
      </w:r>
      <w:r>
        <w:rPr>
          <w:rFonts w:ascii="Helvetica" w:hAnsi="Helvetica"/>
          <w:color w:val="000000"/>
          <w:sz w:val="22"/>
          <w:szCs w:val="22"/>
        </w:rPr>
        <w:t>1</w:t>
      </w:r>
      <w:r w:rsidRPr="001C5958">
        <w:rPr>
          <w:rFonts w:ascii="Helvetica" w:hAnsi="Helvetica"/>
          <w:color w:val="000000"/>
          <w:sz w:val="22"/>
          <w:szCs w:val="22"/>
        </w:rPr>
        <w:t xml:space="preserve">. </w:t>
      </w:r>
      <w:r>
        <w:rPr>
          <w:rFonts w:ascii="Helvetica" w:hAnsi="Helvetica"/>
          <w:color w:val="000000"/>
          <w:sz w:val="22"/>
          <w:szCs w:val="22"/>
        </w:rPr>
        <w:t xml:space="preserve">Lake Okeechobee’s </w:t>
      </w:r>
      <w:r>
        <w:rPr>
          <w:rFonts w:ascii="Helvetica" w:hAnsi="Helvetica"/>
          <w:color w:val="000000"/>
          <w:sz w:val="22"/>
          <w:szCs w:val="22"/>
        </w:rPr>
        <w:t xml:space="preserve">parts per </w:t>
      </w:r>
      <w:r w:rsidR="00E54339">
        <w:rPr>
          <w:rFonts w:ascii="Helvetica" w:hAnsi="Helvetica"/>
          <w:color w:val="000000"/>
          <w:sz w:val="22"/>
          <w:szCs w:val="22"/>
        </w:rPr>
        <w:t>m</w:t>
      </w:r>
      <w:r>
        <w:rPr>
          <w:rFonts w:ascii="Helvetica" w:hAnsi="Helvetica"/>
          <w:color w:val="000000"/>
          <w:sz w:val="22"/>
          <w:szCs w:val="22"/>
        </w:rPr>
        <w:t xml:space="preserve">illion Total Phosphorus [ppb TP] increase over the most recent 4 decades demonstrates a steady increase in the water column with time. Concentrations over </w:t>
      </w:r>
      <w:r w:rsidR="00E54339">
        <w:rPr>
          <w:rFonts w:ascii="Helvetica" w:hAnsi="Helvetica"/>
          <w:color w:val="000000"/>
          <w:sz w:val="22"/>
          <w:szCs w:val="22"/>
        </w:rPr>
        <w:t>0.</w:t>
      </w:r>
      <w:r>
        <w:rPr>
          <w:rFonts w:ascii="Helvetica" w:hAnsi="Helvetica"/>
          <w:color w:val="000000"/>
          <w:sz w:val="22"/>
          <w:szCs w:val="22"/>
        </w:rPr>
        <w:t>1 pp</w:t>
      </w:r>
      <w:r w:rsidR="00E54339">
        <w:rPr>
          <w:rFonts w:ascii="Helvetica" w:hAnsi="Helvetica"/>
          <w:color w:val="000000"/>
          <w:sz w:val="22"/>
          <w:szCs w:val="22"/>
        </w:rPr>
        <w:t xml:space="preserve">m TP are highly correlated with </w:t>
      </w:r>
      <w:r w:rsidR="00E54339">
        <w:rPr>
          <w:rFonts w:ascii="Helvetica" w:hAnsi="Helvetica"/>
          <w:color w:val="000000"/>
          <w:sz w:val="22"/>
          <w:szCs w:val="22"/>
        </w:rPr>
        <w:t>cyanophyte blooms</w:t>
      </w:r>
      <w:r w:rsidR="00E54339">
        <w:rPr>
          <w:rFonts w:ascii="Helvetica" w:hAnsi="Helvetica"/>
          <w:color w:val="000000"/>
          <w:sz w:val="22"/>
          <w:szCs w:val="22"/>
        </w:rPr>
        <w:t>.</w:t>
      </w:r>
      <w:r w:rsidR="00E54339" w:rsidRPr="00E54339">
        <w:rPr>
          <w:rFonts w:ascii="Helvetica" w:hAnsi="Helvetica"/>
          <w:color w:val="000000"/>
          <w:sz w:val="22"/>
          <w:szCs w:val="22"/>
        </w:rPr>
        <w:t xml:space="preserve"> </w:t>
      </w:r>
      <w:r>
        <w:rPr>
          <w:rFonts w:ascii="Helvetica" w:hAnsi="Helvetica"/>
          <w:color w:val="000000"/>
          <w:sz w:val="22"/>
          <w:szCs w:val="22"/>
        </w:rPr>
        <w:t xml:space="preserve">The </w:t>
      </w:r>
      <w:proofErr w:type="spellStart"/>
      <w:r>
        <w:rPr>
          <w:rFonts w:ascii="Helvetica" w:hAnsi="Helvetica"/>
          <w:color w:val="000000"/>
          <w:sz w:val="22"/>
          <w:szCs w:val="22"/>
        </w:rPr>
        <w:t>1980’s</w:t>
      </w:r>
      <w:proofErr w:type="spellEnd"/>
      <w:r>
        <w:rPr>
          <w:rFonts w:ascii="Helvetica" w:hAnsi="Helvetica"/>
          <w:color w:val="000000"/>
          <w:sz w:val="22"/>
          <w:szCs w:val="22"/>
        </w:rPr>
        <w:t xml:space="preserve"> cattle ranch removals along the lake’s shore and the Kissimmee River had no long-term  reduction in</w:t>
      </w:r>
      <w:r w:rsidR="00E54339">
        <w:rPr>
          <w:rFonts w:ascii="Helvetica" w:hAnsi="Helvetica"/>
          <w:color w:val="000000"/>
          <w:sz w:val="22"/>
          <w:szCs w:val="22"/>
        </w:rPr>
        <w:t xml:space="preserve"> the </w:t>
      </w:r>
      <w:r>
        <w:rPr>
          <w:rFonts w:ascii="Helvetica" w:hAnsi="Helvetica"/>
          <w:color w:val="000000"/>
          <w:sz w:val="22"/>
          <w:szCs w:val="22"/>
        </w:rPr>
        <w:t xml:space="preserve"> lake’s TP concentration.</w:t>
      </w:r>
      <w:r w:rsidRPr="00107844">
        <w:rPr>
          <w:rFonts w:ascii="Helvetica" w:hAnsi="Helvetica"/>
          <w:color w:val="000000"/>
          <w:sz w:val="22"/>
          <w:szCs w:val="22"/>
        </w:rPr>
        <w:t xml:space="preserve"> </w:t>
      </w:r>
      <w:r>
        <w:rPr>
          <w:rFonts w:ascii="Helvetica" w:hAnsi="Helvetica"/>
          <w:color w:val="000000"/>
          <w:sz w:val="22"/>
          <w:szCs w:val="22"/>
        </w:rPr>
        <w:t>The 4</w:t>
      </w:r>
      <w:r>
        <w:rPr>
          <w:rFonts w:ascii="Helvetica" w:hAnsi="Helvetica"/>
          <w:color w:val="000000"/>
          <w:sz w:val="22"/>
          <w:szCs w:val="22"/>
        </w:rPr>
        <w:t xml:space="preserve"> direct</w:t>
      </w:r>
      <w:r>
        <w:rPr>
          <w:rFonts w:ascii="Helvetica" w:hAnsi="Helvetica"/>
          <w:color w:val="000000"/>
          <w:sz w:val="22"/>
          <w:szCs w:val="22"/>
        </w:rPr>
        <w:t xml:space="preserve"> hurricane hits [2004,</w:t>
      </w:r>
      <w:r>
        <w:rPr>
          <w:rFonts w:ascii="Helvetica" w:hAnsi="Helvetica"/>
          <w:color w:val="000000"/>
          <w:sz w:val="22"/>
          <w:szCs w:val="22"/>
        </w:rPr>
        <w:t xml:space="preserve"> </w:t>
      </w:r>
      <w:r>
        <w:rPr>
          <w:rFonts w:ascii="Helvetica" w:hAnsi="Helvetica"/>
          <w:color w:val="000000"/>
          <w:sz w:val="22"/>
          <w:szCs w:val="22"/>
        </w:rPr>
        <w:t xml:space="preserve">2005] </w:t>
      </w:r>
      <w:r>
        <w:rPr>
          <w:rFonts w:ascii="Helvetica" w:hAnsi="Helvetica"/>
          <w:color w:val="000000"/>
          <w:sz w:val="22"/>
          <w:szCs w:val="22"/>
        </w:rPr>
        <w:t xml:space="preserve">as red arrows </w:t>
      </w:r>
      <w:r>
        <w:rPr>
          <w:rFonts w:ascii="Helvetica" w:hAnsi="Helvetica"/>
          <w:color w:val="000000"/>
          <w:sz w:val="22"/>
          <w:szCs w:val="22"/>
        </w:rPr>
        <w:t xml:space="preserve">effect on the lake’s water column is pronounced </w:t>
      </w:r>
      <w:r>
        <w:rPr>
          <w:rFonts w:ascii="Helvetica" w:hAnsi="Helvetica"/>
          <w:color w:val="000000"/>
          <w:sz w:val="22"/>
          <w:szCs w:val="22"/>
        </w:rPr>
        <w:t xml:space="preserve"> [</w:t>
      </w:r>
      <w:r>
        <w:rPr>
          <w:rFonts w:ascii="Helvetica" w:hAnsi="Helvetica"/>
          <w:color w:val="000000"/>
          <w:sz w:val="22"/>
          <w:szCs w:val="22"/>
        </w:rPr>
        <w:t>from SFWMD data, 2019].</w:t>
      </w:r>
      <w:r w:rsidRPr="001C5958">
        <w:rPr>
          <w:rFonts w:ascii="Helvetica" w:hAnsi="Helvetica"/>
          <w:color w:val="000000"/>
          <w:sz w:val="22"/>
          <w:szCs w:val="22"/>
        </w:rPr>
        <w:t xml:space="preserve"> </w:t>
      </w:r>
    </w:p>
    <w:p w14:paraId="23C7AC8E" w14:textId="77777777" w:rsidR="0028649C" w:rsidRDefault="0028649C">
      <w:pPr>
        <w:rPr>
          <w:rFonts w:ascii="Helvetica" w:hAnsi="Helvetica"/>
          <w:color w:val="000000"/>
          <w:sz w:val="22"/>
          <w:szCs w:val="22"/>
        </w:rPr>
      </w:pPr>
    </w:p>
    <w:p w14:paraId="46A53263" w14:textId="22F8221F" w:rsidR="0028649C" w:rsidRDefault="0028649C">
      <w:r w:rsidRPr="006B1BD2">
        <w:rPr>
          <w:rFonts w:ascii="Helvetica" w:hAnsi="Helvetica"/>
          <w:noProof/>
          <w:color w:val="000000"/>
          <w:sz w:val="22"/>
          <w:szCs w:val="22"/>
        </w:rPr>
        <w:drawing>
          <wp:inline distT="0" distB="0" distL="0" distR="0" wp14:anchorId="4A5CD652" wp14:editId="3717B143">
            <wp:extent cx="5943600" cy="3343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4016" cy="3349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1BD61" w14:textId="334E723C" w:rsidR="0028649C" w:rsidRPr="00250466" w:rsidRDefault="0028649C"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056B1" wp14:editId="1DB491EA">
                <wp:simplePos x="0" y="0"/>
                <wp:positionH relativeFrom="column">
                  <wp:posOffset>692390</wp:posOffset>
                </wp:positionH>
                <wp:positionV relativeFrom="paragraph">
                  <wp:posOffset>169545</wp:posOffset>
                </wp:positionV>
                <wp:extent cx="99121" cy="169463"/>
                <wp:effectExtent l="12700" t="12700" r="15240" b="8890"/>
                <wp:wrapNone/>
                <wp:docPr id="15" name="Up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99121" cy="169463"/>
                        </a:xfrm>
                        <a:prstGeom prst="up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93A1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5" o:spid="_x0000_s1026" type="#_x0000_t68" style="position:absolute;margin-left:54.5pt;margin-top:13.35pt;width:7.8pt;height:13.35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" adj="6317" fillcolor="#00b050" strokecolor="#1f3763 [1604]" strokeweight="1pt"/>
            </w:pict>
          </mc:Fallback>
        </mc:AlternateContent>
      </w:r>
      <w:r>
        <w:rPr>
          <w:rFonts w:ascii="Helvetica" w:hAnsi="Helvetica"/>
          <w:color w:val="000000"/>
          <w:sz w:val="22"/>
          <w:szCs w:val="22"/>
        </w:rPr>
        <w:t>The annual mean TP budget for lake Okeechobee for the POR 1974-2017. The maximum desorption</w:t>
      </w:r>
      <w:r w:rsidR="00250466">
        <w:rPr>
          <w:rFonts w:ascii="Helvetica" w:hAnsi="Helvetica"/>
          <w:color w:val="000000"/>
          <w:sz w:val="22"/>
          <w:szCs w:val="22"/>
        </w:rPr>
        <w:t xml:space="preserve">   </w:t>
      </w:r>
      <w:r>
        <w:rPr>
          <w:rFonts w:ascii="Helvetica" w:hAnsi="Helvetica"/>
          <w:color w:val="000000"/>
          <w:sz w:val="22"/>
          <w:szCs w:val="22"/>
        </w:rPr>
        <w:t xml:space="preserve"> of  162 Mt TP for 1998 from the lake’s sediment is increasing in frequency but at a lower load transfer with sediment matrix saturation from decades of TP river inflow 3.3 times larger than TMDL. </w:t>
      </w:r>
      <w:bookmarkStart w:id="0" w:name="_GoBack"/>
      <w:bookmarkEnd w:id="0"/>
    </w:p>
    <w:sectPr w:rsidR="0028649C" w:rsidRPr="00250466" w:rsidSect="00B30CC1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844"/>
    <w:rsid w:val="00107844"/>
    <w:rsid w:val="001B5EC6"/>
    <w:rsid w:val="00250466"/>
    <w:rsid w:val="002538FE"/>
    <w:rsid w:val="0028649C"/>
    <w:rsid w:val="004B0F66"/>
    <w:rsid w:val="005378AE"/>
    <w:rsid w:val="00656168"/>
    <w:rsid w:val="006C3C17"/>
    <w:rsid w:val="008C0342"/>
    <w:rsid w:val="00AA70A7"/>
    <w:rsid w:val="00B30CC1"/>
    <w:rsid w:val="00E54339"/>
    <w:rsid w:val="00EF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C29A1"/>
  <w14:defaultImageDpi w14:val="32767"/>
  <w15:chartTrackingRefBased/>
  <w15:docId w15:val="{7402062F-A683-2241-AC62-35354ADE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gilio/Documents/Documents%20-%20Joseph&#8217;s%20iMac/ENVIRONEMENTAL/LIMNOLOGICAL%20%20SCIENCE/lake%20okeechobee%20rejevenation/Demuck%20Lake%20Okeechobee/WHITE%20PAPER/Lake.o.tp.flow.month.wyear.budget.2016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Lake</a:t>
            </a:r>
            <a:r>
              <a:rPr lang="en-US" baseline="0"/>
              <a:t> Okeechobee's water column TP </a:t>
            </a:r>
            <a:r>
              <a:rPr lang="en-US"/>
              <a:t>concentration </a:t>
            </a:r>
            <a:r>
              <a:rPr lang="en-US" baseline="0"/>
              <a:t> in mg/l </a:t>
            </a:r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yearbudget!$AG$2:$AG$3</c:f>
              <c:strCache>
                <c:ptCount val="2"/>
                <c:pt idx="0">
                  <c:v>lake_concentration</c:v>
                </c:pt>
                <c:pt idx="1">
                  <c:v>mg/l</c:v>
                </c:pt>
              </c:strCache>
            </c:strRef>
          </c:tx>
          <c:spPr>
            <a:ln w="952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xVal>
            <c:numRef>
              <c:f>yearbudget!$AF$4:$AF$47</c:f>
              <c:numCache>
                <c:formatCode>General</c:formatCode>
                <c:ptCount val="44"/>
                <c:pt idx="0">
                  <c:v>1974</c:v>
                </c:pt>
                <c:pt idx="1">
                  <c:v>1975</c:v>
                </c:pt>
                <c:pt idx="2">
                  <c:v>1976</c:v>
                </c:pt>
                <c:pt idx="3">
                  <c:v>1977</c:v>
                </c:pt>
                <c:pt idx="4">
                  <c:v>1978</c:v>
                </c:pt>
                <c:pt idx="5">
                  <c:v>1979</c:v>
                </c:pt>
                <c:pt idx="6">
                  <c:v>1980</c:v>
                </c:pt>
                <c:pt idx="7">
                  <c:v>1981</c:v>
                </c:pt>
                <c:pt idx="8">
                  <c:v>1982</c:v>
                </c:pt>
                <c:pt idx="9">
                  <c:v>1983</c:v>
                </c:pt>
                <c:pt idx="10">
                  <c:v>1984</c:v>
                </c:pt>
                <c:pt idx="11">
                  <c:v>1985</c:v>
                </c:pt>
                <c:pt idx="12">
                  <c:v>1986</c:v>
                </c:pt>
                <c:pt idx="13">
                  <c:v>1987</c:v>
                </c:pt>
                <c:pt idx="14">
                  <c:v>1988</c:v>
                </c:pt>
                <c:pt idx="15">
                  <c:v>1989</c:v>
                </c:pt>
                <c:pt idx="16">
                  <c:v>1990</c:v>
                </c:pt>
                <c:pt idx="17">
                  <c:v>1991</c:v>
                </c:pt>
                <c:pt idx="18">
                  <c:v>1992</c:v>
                </c:pt>
                <c:pt idx="19">
                  <c:v>1993</c:v>
                </c:pt>
                <c:pt idx="20">
                  <c:v>1994</c:v>
                </c:pt>
                <c:pt idx="21">
                  <c:v>1995</c:v>
                </c:pt>
                <c:pt idx="22">
                  <c:v>1996</c:v>
                </c:pt>
                <c:pt idx="23">
                  <c:v>1997</c:v>
                </c:pt>
                <c:pt idx="24">
                  <c:v>1998</c:v>
                </c:pt>
                <c:pt idx="25">
                  <c:v>1999</c:v>
                </c:pt>
                <c:pt idx="26">
                  <c:v>2000</c:v>
                </c:pt>
                <c:pt idx="27">
                  <c:v>2001</c:v>
                </c:pt>
                <c:pt idx="28">
                  <c:v>2002</c:v>
                </c:pt>
                <c:pt idx="29">
                  <c:v>2003</c:v>
                </c:pt>
                <c:pt idx="30">
                  <c:v>2004</c:v>
                </c:pt>
                <c:pt idx="31">
                  <c:v>2005</c:v>
                </c:pt>
                <c:pt idx="32">
                  <c:v>2006</c:v>
                </c:pt>
                <c:pt idx="33">
                  <c:v>2007</c:v>
                </c:pt>
                <c:pt idx="34">
                  <c:v>2008</c:v>
                </c:pt>
                <c:pt idx="35">
                  <c:v>2009</c:v>
                </c:pt>
                <c:pt idx="36">
                  <c:v>2010</c:v>
                </c:pt>
                <c:pt idx="37">
                  <c:v>2011</c:v>
                </c:pt>
                <c:pt idx="38">
                  <c:v>2012</c:v>
                </c:pt>
                <c:pt idx="39">
                  <c:v>2013</c:v>
                </c:pt>
                <c:pt idx="40">
                  <c:v>2014</c:v>
                </c:pt>
                <c:pt idx="41">
                  <c:v>2015</c:v>
                </c:pt>
                <c:pt idx="42">
                  <c:v>2016</c:v>
                </c:pt>
                <c:pt idx="43">
                  <c:v>2017</c:v>
                </c:pt>
              </c:numCache>
            </c:numRef>
          </c:xVal>
          <c:yVal>
            <c:numRef>
              <c:f>yearbudget!$AG$4:$AG$47</c:f>
              <c:numCache>
                <c:formatCode>0.0000</c:formatCode>
                <c:ptCount val="44"/>
                <c:pt idx="0">
                  <c:v>5.0278539381908592E-2</c:v>
                </c:pt>
                <c:pt idx="1">
                  <c:v>5.1308300379172535E-2</c:v>
                </c:pt>
                <c:pt idx="2">
                  <c:v>5.7997860674863115E-2</c:v>
                </c:pt>
                <c:pt idx="3">
                  <c:v>5.7821406201840862E-2</c:v>
                </c:pt>
                <c:pt idx="4">
                  <c:v>6.8371696627925221E-2</c:v>
                </c:pt>
                <c:pt idx="5">
                  <c:v>7.2541529334953031E-2</c:v>
                </c:pt>
                <c:pt idx="6">
                  <c:v>0.10260390015036945</c:v>
                </c:pt>
                <c:pt idx="7">
                  <c:v>8.2216141021106096E-2</c:v>
                </c:pt>
                <c:pt idx="8">
                  <c:v>7.3883798734335093E-2</c:v>
                </c:pt>
                <c:pt idx="9">
                  <c:v>9.291115761185674E-2</c:v>
                </c:pt>
                <c:pt idx="10">
                  <c:v>9.0351760954926003E-2</c:v>
                </c:pt>
                <c:pt idx="11">
                  <c:v>9.2168219054737474E-2</c:v>
                </c:pt>
                <c:pt idx="12">
                  <c:v>7.2423862178432594E-2</c:v>
                </c:pt>
                <c:pt idx="13">
                  <c:v>8.7524449094057183E-2</c:v>
                </c:pt>
                <c:pt idx="14">
                  <c:v>0.11855456532186003</c:v>
                </c:pt>
                <c:pt idx="15">
                  <c:v>8.6351844962780158E-2</c:v>
                </c:pt>
                <c:pt idx="16">
                  <c:v>9.741634925843691E-2</c:v>
                </c:pt>
                <c:pt idx="17">
                  <c:v>8.8676204558129607E-2</c:v>
                </c:pt>
                <c:pt idx="18">
                  <c:v>7.2520783555901233E-2</c:v>
                </c:pt>
                <c:pt idx="19">
                  <c:v>8.3834120378287469E-2</c:v>
                </c:pt>
                <c:pt idx="20">
                  <c:v>0.11804688528369776</c:v>
                </c:pt>
                <c:pt idx="21">
                  <c:v>9.0127612623123174E-2</c:v>
                </c:pt>
                <c:pt idx="22">
                  <c:v>0.10984830676288254</c:v>
                </c:pt>
                <c:pt idx="23">
                  <c:v>9.9192907521278614E-2</c:v>
                </c:pt>
                <c:pt idx="24">
                  <c:v>0.11701701598681587</c:v>
                </c:pt>
                <c:pt idx="25">
                  <c:v>0.10528728536444053</c:v>
                </c:pt>
                <c:pt idx="26">
                  <c:v>0.1438070041403855</c:v>
                </c:pt>
                <c:pt idx="27">
                  <c:v>0.11978660954731767</c:v>
                </c:pt>
                <c:pt idx="28">
                  <c:v>0.11228577190686496</c:v>
                </c:pt>
                <c:pt idx="29">
                  <c:v>0.12911544573952011</c:v>
                </c:pt>
                <c:pt idx="30">
                  <c:v>0.11384625137476817</c:v>
                </c:pt>
                <c:pt idx="31">
                  <c:v>0.23159225526293842</c:v>
                </c:pt>
                <c:pt idx="32">
                  <c:v>0.22373026028854481</c:v>
                </c:pt>
                <c:pt idx="33">
                  <c:v>0.17400809664436426</c:v>
                </c:pt>
                <c:pt idx="34">
                  <c:v>0.18113145725800281</c:v>
                </c:pt>
                <c:pt idx="35">
                  <c:v>0.16442933365868678</c:v>
                </c:pt>
                <c:pt idx="36">
                  <c:v>0.12203639796305561</c:v>
                </c:pt>
                <c:pt idx="37">
                  <c:v>0.11064663863488695</c:v>
                </c:pt>
                <c:pt idx="38">
                  <c:v>9.2354862278077959E-2</c:v>
                </c:pt>
                <c:pt idx="39">
                  <c:v>0.12667347745676444</c:v>
                </c:pt>
                <c:pt idx="40">
                  <c:v>0.11827933574762593</c:v>
                </c:pt>
                <c:pt idx="41">
                  <c:v>0.13473961288483915</c:v>
                </c:pt>
                <c:pt idx="42">
                  <c:v>0.12570868132211349</c:v>
                </c:pt>
                <c:pt idx="43">
                  <c:v>0.15013563897026583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456-6942-8D87-B52DFC626C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93048304"/>
        <c:axId val="593049936"/>
      </c:scatterChart>
      <c:valAx>
        <c:axId val="5930483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3049936"/>
        <c:crosses val="autoZero"/>
        <c:crossBetween val="midCat"/>
      </c:valAx>
      <c:valAx>
        <c:axId val="593049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00" sourceLinked="1"/>
        <c:majorTickMark val="none"/>
        <c:minorTickMark val="none"/>
        <c:tickLblPos val="nextTo"/>
        <c:spPr>
          <a:noFill/>
          <a:ln>
            <a:solidFill>
              <a:schemeClr val="tx2">
                <a:lumMod val="40000"/>
                <a:lumOff val="6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304830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2"/>
    <cs:fontRef idx="minor">
      <a:schemeClr val="tx2"/>
    </cs:fontRef>
    <cs:spPr>
      <a:ln w="9525">
        <a:solidFill>
          <a:schemeClr val="phClr"/>
        </a:solidFill>
        <a:round/>
      </a:ln>
    </cs:spPr>
  </cs:dataPointMarker>
  <cs:dataPointMarkerLayout symbol="circle" size="5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spPr>
      <a:ln>
        <a:solidFill>
          <a:schemeClr val="tx2">
            <a:lumMod val="40000"/>
            <a:lumOff val="60000"/>
          </a:schemeClr>
        </a:solidFill>
      </a:ln>
    </cs:spPr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0.68539</cdr:x>
      <cdr:y>0.53669</cdr:y>
    </cdr:from>
    <cdr:to>
      <cdr:x>0.72253</cdr:x>
      <cdr:y>0.55172</cdr:y>
    </cdr:to>
    <cdr:sp macro="" textlink="">
      <cdr:nvSpPr>
        <cdr:cNvPr id="2" name="Left-Right Arrow 1"/>
        <cdr:cNvSpPr/>
      </cdr:nvSpPr>
      <cdr:spPr>
        <a:xfrm xmlns:a="http://schemas.openxmlformats.org/drawingml/2006/main">
          <a:off x="4173793" y="1632433"/>
          <a:ext cx="226142" cy="45719"/>
        </a:xfrm>
        <a:prstGeom xmlns:a="http://schemas.openxmlformats.org/drawingml/2006/main" prst="leftRightArrow">
          <a:avLst/>
        </a:prstGeom>
        <a:solidFill xmlns:a="http://schemas.openxmlformats.org/drawingml/2006/main">
          <a:srgbClr val="FF0000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>
            <a:solidFill>
              <a:srgbClr val="FF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jlgilio@mac.com</dc:creator>
  <cp:keywords/>
  <dc:description/>
  <cp:lastModifiedBy>jlgilio@mac.com</cp:lastModifiedBy>
  <cp:revision>2</cp:revision>
  <dcterms:created xsi:type="dcterms:W3CDTF">2019-11-29T16:48:00Z</dcterms:created>
  <dcterms:modified xsi:type="dcterms:W3CDTF">2019-11-29T16:48:00Z</dcterms:modified>
</cp:coreProperties>
</file>