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221A8" w14:textId="77777777" w:rsidR="000C69CE" w:rsidRPr="008E5156" w:rsidRDefault="000C69CE" w:rsidP="00201F91">
      <w:pPr>
        <w:spacing w:after="1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7FAABCC" w14:textId="74840CA5" w:rsidR="000C69CE" w:rsidRPr="008E5156" w:rsidRDefault="000C69CE" w:rsidP="000C69CE">
      <w:pPr>
        <w:spacing w:after="12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Title Page</w:t>
      </w:r>
    </w:p>
    <w:p w14:paraId="7A4EC4D4" w14:textId="77777777" w:rsidR="000C69CE" w:rsidRPr="008E5156" w:rsidRDefault="000C69CE" w:rsidP="000C69CE">
      <w:pPr>
        <w:spacing w:after="12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A68952C" w14:textId="77777777" w:rsidR="008E5156" w:rsidRPr="008E5156" w:rsidRDefault="008E5156" w:rsidP="00DF12E3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8E5156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 xml:space="preserve">Submission Title: </w:t>
      </w:r>
    </w:p>
    <w:p w14:paraId="6BE7D675" w14:textId="77777777" w:rsidR="008E5156" w:rsidRPr="008E5156" w:rsidRDefault="008E5156" w:rsidP="008E5156">
      <w:pPr>
        <w:pStyle w:val="ListParagraph"/>
        <w:spacing w:after="120"/>
        <w:ind w:left="435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8C11AED" w14:textId="2B9A5D34" w:rsidR="000C69CE" w:rsidRPr="008E5156" w:rsidRDefault="000C69CE" w:rsidP="008E5156">
      <w:pPr>
        <w:pStyle w:val="ListParagraph"/>
        <w:spacing w:after="120"/>
        <w:ind w:left="435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Enhanced Eye and Face Protection for Surgical Patients in </w:t>
      </w:r>
      <w:r w:rsid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Robotic </w:t>
      </w:r>
      <w:proofErr w:type="spellStart"/>
      <w:r w:rsid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Trendelenberg</w:t>
      </w:r>
      <w:proofErr w:type="spellEnd"/>
      <w:r w:rsid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and Supine 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Position</w:t>
      </w:r>
      <w:r w:rsidR="00F901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Evaluation of a Novel Shielding Device</w:t>
      </w:r>
    </w:p>
    <w:p w14:paraId="5CB52F0A" w14:textId="77777777" w:rsidR="000C69CE" w:rsidRPr="008E5156" w:rsidRDefault="000C69CE" w:rsidP="00DF12E3">
      <w:pPr>
        <w:spacing w:after="1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91B4370" w14:textId="77777777" w:rsidR="008E5156" w:rsidRPr="008E5156" w:rsidRDefault="000C69CE" w:rsidP="00DF12E3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E5156" w:rsidRPr="008E5156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 xml:space="preserve">Full name of author: </w:t>
      </w:r>
    </w:p>
    <w:p w14:paraId="375EE034" w14:textId="77777777" w:rsidR="008E5156" w:rsidRPr="008E5156" w:rsidRDefault="008E5156" w:rsidP="008E5156">
      <w:pPr>
        <w:pStyle w:val="ListParagraph"/>
        <w:spacing w:after="120"/>
        <w:ind w:left="435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35183A9" w14:textId="6DE2F85C" w:rsidR="000C69CE" w:rsidRPr="008E5156" w:rsidRDefault="000C69CE" w:rsidP="008E5156">
      <w:pPr>
        <w:pStyle w:val="ListParagraph"/>
        <w:spacing w:after="120"/>
        <w:ind w:left="435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Michael D. Sparkuhl, MD, FACS</w:t>
      </w:r>
    </w:p>
    <w:p w14:paraId="06093338" w14:textId="77777777" w:rsidR="000C69CE" w:rsidRPr="008E5156" w:rsidRDefault="000C69CE" w:rsidP="000C69CE">
      <w:pPr>
        <w:spacing w:after="1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30CF794" w14:textId="77777777" w:rsidR="008E5156" w:rsidRPr="008E5156" w:rsidRDefault="008E5156" w:rsidP="00DF12E3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8E5156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 xml:space="preserve">Affiliation: </w:t>
      </w:r>
    </w:p>
    <w:p w14:paraId="3DF486D1" w14:textId="77777777" w:rsidR="008E5156" w:rsidRPr="008E5156" w:rsidRDefault="008E5156" w:rsidP="008E5156">
      <w:pPr>
        <w:pStyle w:val="ListParagraph"/>
        <w:spacing w:after="120"/>
        <w:ind w:left="435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2ED1A92" w14:textId="2B5C95C6" w:rsidR="00DF12E3" w:rsidRPr="008E5156" w:rsidRDefault="000C69CE" w:rsidP="008E5156">
      <w:pPr>
        <w:pStyle w:val="ListParagraph"/>
        <w:spacing w:after="120"/>
        <w:ind w:left="435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Michael D. Sparkuhl, MD, FACS is a former Clinical Instructor</w:t>
      </w:r>
      <w:r w:rsid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00170E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General Surgery Residency</w:t>
      </w:r>
      <w:r w:rsidR="0000170E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Program, Com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munity Memorial Health System,</w:t>
      </w:r>
      <w:r w:rsidR="0000170E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Ventura, CA and currently </w:t>
      </w:r>
      <w:r w:rsidR="00DF12E3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works as a private consultant.</w:t>
      </w:r>
    </w:p>
    <w:p w14:paraId="7F3AA2C7" w14:textId="77777777" w:rsidR="00DF12E3" w:rsidRPr="008E5156" w:rsidRDefault="00DF12E3" w:rsidP="00DF12E3">
      <w:pPr>
        <w:pStyle w:val="ListParagrap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4673306" w14:textId="77777777" w:rsidR="008E5156" w:rsidRPr="008E5156" w:rsidRDefault="008E5156" w:rsidP="00DF12E3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8E5156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 xml:space="preserve">Summary of submission: </w:t>
      </w:r>
    </w:p>
    <w:p w14:paraId="4415C745" w14:textId="77777777" w:rsidR="008E5156" w:rsidRPr="008E5156" w:rsidRDefault="008E5156" w:rsidP="008E5156">
      <w:pPr>
        <w:pStyle w:val="ListParagraph"/>
        <w:ind w:left="435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E6160EC" w14:textId="122C8C01" w:rsidR="008E5156" w:rsidRPr="008E5156" w:rsidRDefault="008E5156" w:rsidP="008E5156">
      <w:pPr>
        <w:pStyle w:val="ListParagraph"/>
        <w:ind w:left="435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Unrecognized and unrecorded eye and face near misses from dropped and moving objects in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Robotic and supine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surgery results in impact testing and a novel shield to enhance patient protection.</w:t>
      </w:r>
    </w:p>
    <w:p w14:paraId="18D00AD7" w14:textId="77777777" w:rsidR="008E5156" w:rsidRPr="008E5156" w:rsidRDefault="008E5156" w:rsidP="008E5156">
      <w:pPr>
        <w:pStyle w:val="ListParagrap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B9A985D" w14:textId="77777777" w:rsidR="000C69CE" w:rsidRPr="008E5156" w:rsidRDefault="000C69CE" w:rsidP="000C69CE">
      <w:pPr>
        <w:spacing w:after="1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6D059E7" w14:textId="77777777" w:rsidR="000C69CE" w:rsidRDefault="000C69CE" w:rsidP="00201F91">
      <w:pPr>
        <w:spacing w:after="1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7E91F0E" w14:textId="77777777" w:rsidR="008E5156" w:rsidRDefault="008E5156" w:rsidP="00201F91">
      <w:pPr>
        <w:spacing w:after="1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89F2BFA" w14:textId="77777777" w:rsidR="008E5156" w:rsidRDefault="008E5156" w:rsidP="00201F91">
      <w:pPr>
        <w:spacing w:after="1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800FFA" w14:textId="77777777" w:rsidR="008E5156" w:rsidRDefault="008E5156" w:rsidP="00201F91">
      <w:pPr>
        <w:spacing w:after="1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72010C2" w14:textId="77777777" w:rsidR="008E5156" w:rsidRDefault="008E5156" w:rsidP="00201F91">
      <w:pPr>
        <w:spacing w:after="1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75AF576" w14:textId="77777777" w:rsidR="008E5156" w:rsidRDefault="008E5156" w:rsidP="00201F91">
      <w:pPr>
        <w:spacing w:after="1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1D2636E" w14:textId="77777777" w:rsidR="008E5156" w:rsidRDefault="008E5156" w:rsidP="00201F91">
      <w:pPr>
        <w:spacing w:after="1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FDA4D92" w14:textId="77777777" w:rsidR="008E5156" w:rsidRDefault="008E5156" w:rsidP="00201F91">
      <w:pPr>
        <w:spacing w:after="1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FA6A20" w14:textId="77777777" w:rsidR="008E5156" w:rsidRDefault="008E5156" w:rsidP="00201F91">
      <w:pPr>
        <w:spacing w:after="1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4137E80" w14:textId="77777777" w:rsidR="008E5156" w:rsidRPr="008E5156" w:rsidRDefault="008E5156" w:rsidP="00201F91">
      <w:pPr>
        <w:spacing w:after="1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11AC7F9" w14:textId="2A521FCA" w:rsidR="00201F91" w:rsidRPr="008E5156" w:rsidRDefault="00201F91" w:rsidP="00201F91">
      <w:pPr>
        <w:spacing w:after="1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Enhanced Eye and Face Protection for Surgical Patients in </w:t>
      </w:r>
      <w:r w:rsidR="008E5156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Robotic </w:t>
      </w:r>
      <w:proofErr w:type="spellStart"/>
      <w:r w:rsidR="008E5156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Trendelenberg</w:t>
      </w:r>
      <w:proofErr w:type="spellEnd"/>
      <w:r w:rsidR="008E5156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and Supine 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Position</w:t>
      </w:r>
      <w:r w:rsidR="00F901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Evaluation of a Novel Shielding Device</w:t>
      </w:r>
    </w:p>
    <w:p w14:paraId="39C71DC1" w14:textId="77777777" w:rsidR="008E5156" w:rsidRPr="008E5156" w:rsidRDefault="008E5156" w:rsidP="00201F91">
      <w:pPr>
        <w:spacing w:after="1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AE41B0C" w14:textId="2D12B0EC" w:rsidR="008E5156" w:rsidRPr="008E5156" w:rsidRDefault="008E5156" w:rsidP="00201F91">
      <w:pPr>
        <w:spacing w:after="1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Michael D. Sparkuhl, MD, FACS</w:t>
      </w:r>
    </w:p>
    <w:p w14:paraId="2572CF93" w14:textId="77777777" w:rsidR="008E5156" w:rsidRPr="008E5156" w:rsidRDefault="008E5156" w:rsidP="00201F91">
      <w:pPr>
        <w:spacing w:after="1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72FC52C" w14:textId="1EDA87DD" w:rsidR="00201F91" w:rsidRPr="008E5156" w:rsidRDefault="00201F91" w:rsidP="00201F91">
      <w:pPr>
        <w:spacing w:after="1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prior newsletter addressed malpractice claims associated with visual loss</w:t>
      </w:r>
      <w:r w:rsidR="00810CCB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in </w:t>
      </w:r>
      <w:r w:rsidR="00810CCB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prone positioning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face pressures and a protective device in response to eye injuries</w:t>
      </w:r>
      <w:r w:rsidR="007F1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F1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Other than lip and tooth injuries and postoperative visual loss, the medical literature lacks investigation into unintentional </w:t>
      </w:r>
      <w:r w:rsidR="00D632DC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patient 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eye and face injuries during supine</w:t>
      </w:r>
      <w:r w:rsidR="00FD53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and </w:t>
      </w:r>
      <w:proofErr w:type="spellStart"/>
      <w:r w:rsidR="00FD53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Trendelenberg</w:t>
      </w:r>
      <w:proofErr w:type="spellEnd"/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general anesthesia.</w:t>
      </w:r>
    </w:p>
    <w:p w14:paraId="4EABCB3A" w14:textId="15A909F5" w:rsidR="00201F91" w:rsidRPr="008E5156" w:rsidRDefault="00201F91" w:rsidP="00201F91">
      <w:pPr>
        <w:spacing w:after="120"/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</w:pP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Occupational Safety and Health Administration (OSHA) regulations</w:t>
      </w:r>
      <w:r w:rsidR="007F1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F12EA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="007F1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(29 CFR 1910.133 and 1910.1030) </w:t>
      </w:r>
      <w:r w:rsidR="00D632DC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require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the use of eye and face protection for healthcare workers, but not for patients, within the operating room. In contrast to OSHA</w:t>
      </w:r>
      <w:r w:rsidR="00810CCB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the Joint Commission for Accreditation of Hospital Healthcare Organizations (JCAHO) has no </w:t>
      </w:r>
      <w:r w:rsidR="00D632DC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specific</w:t>
      </w:r>
      <w:r w:rsidR="00810CCB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eye and face protection requirements for the patient</w:t>
      </w:r>
      <w:r w:rsidR="00FD53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D5381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3</w:t>
      </w:r>
      <w:r w:rsidR="00810CCB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This is paradoxical given the vulnerability a patient’s face during surgical procedures</w:t>
      </w:r>
      <w:r w:rsidR="00810CCB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FA04A49" w14:textId="7063D9A8" w:rsidR="00201F91" w:rsidRPr="009D1C0B" w:rsidRDefault="00201F91" w:rsidP="00201F91">
      <w:pPr>
        <w:spacing w:after="120"/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</w:pP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Experience tells us that there are many </w:t>
      </w:r>
      <w:r w:rsidR="00625290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unrecognized and 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unrecorded</w:t>
      </w:r>
      <w:r w:rsidR="00625290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hazards </w:t>
      </w:r>
      <w:r w:rsidR="00625290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near misses around the patient’s eyes and face</w:t>
      </w:r>
      <w:r w:rsidR="009F327B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during surgery</w:t>
      </w:r>
      <w:r w:rsidR="00FD53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which are potential sentinel events. This is</w:t>
      </w:r>
      <w:r w:rsidR="00D21123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especially</w:t>
      </w:r>
      <w:r w:rsidR="00FD53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true</w:t>
      </w:r>
      <w:r w:rsidR="00D21123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25290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</w:t>
      </w:r>
      <w:r w:rsidR="00D21123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Robotic surgery</w:t>
      </w:r>
      <w:r w:rsidR="00810CCB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with the face </w:t>
      </w:r>
      <w:r w:rsidR="00625290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commonly </w:t>
      </w:r>
      <w:r w:rsidR="00810CCB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hidden from view. 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Moreover, the impact forces of dropped objects and their potential </w:t>
      </w:r>
      <w:r w:rsidR="00810CCB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for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eye and face injuries </w:t>
      </w:r>
      <w:r w:rsidR="00D632DC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have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not been systematically studied. Prior </w:t>
      </w:r>
      <w:r w:rsidR="00D632DC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investigations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focused on complications associated with prone positioning. </w:t>
      </w:r>
      <w:r w:rsidR="009D1C0B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4</w:t>
      </w:r>
    </w:p>
    <w:p w14:paraId="334EA0AC" w14:textId="1020CFAE" w:rsidR="00201F91" w:rsidRPr="008E5156" w:rsidRDefault="00201F91" w:rsidP="00201F91">
      <w:pPr>
        <w:spacing w:after="1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Existing eye and face protective devices for </w:t>
      </w:r>
      <w:r w:rsidR="00D21123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supine and </w:t>
      </w:r>
      <w:proofErr w:type="spellStart"/>
      <w:r w:rsidR="00D21123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Trendelenberg</w:t>
      </w:r>
      <w:proofErr w:type="spellEnd"/>
      <w:r w:rsidR="00D21123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position</w:t>
      </w:r>
      <w:r w:rsidR="00810CCB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ing</w:t>
      </w:r>
      <w:r w:rsidR="00D21123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are limited, often bulky, cumbersome, obscure the face, and are not easily amenable to airway management. </w:t>
      </w:r>
      <w:r w:rsidR="00810CCB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yelid taping may prevent corneal abrasions but </w:t>
      </w:r>
      <w:r w:rsidR="00810CCB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does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little to </w:t>
      </w:r>
      <w:r w:rsidR="00625290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prevent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traumatic injuries caused by dropped objects</w:t>
      </w:r>
      <w:r w:rsidR="00810CCB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and 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instruments</w:t>
      </w:r>
      <w:r w:rsidR="00625290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810CCB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A76AB44" w14:textId="08A5C815" w:rsidR="00201F91" w:rsidRPr="008E5156" w:rsidRDefault="00201F91" w:rsidP="00201F91">
      <w:pPr>
        <w:spacing w:after="1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Using electronic sensors and slow-motion videography we </w:t>
      </w:r>
      <w:r w:rsidR="00810CCB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evaluated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the effectiveness of a novel transparent foam-padded eye and face shield developed by </w:t>
      </w:r>
      <w:proofErr w:type="spellStart"/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Dupaco</w:t>
      </w:r>
      <w:proofErr w:type="spellEnd"/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Inc. </w:t>
      </w:r>
      <w:r w:rsidR="00810CCB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Blunt and pointed 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weights (50-500 gm.) mimicking common surgical instruments</w:t>
      </w:r>
      <w:r w:rsidR="00810CCB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were each dropped ten times onto the </w:t>
      </w:r>
      <w:r w:rsidR="00C74443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supine 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shield from a height of 60 cm. The impact forces were recorded with high-speed electronic sensor technology (</w:t>
      </w:r>
      <w:proofErr w:type="spellStart"/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Xsensor</w:t>
      </w:r>
      <w:proofErr w:type="spellEnd"/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Technology Corporation) </w:t>
      </w:r>
      <w:r w:rsidR="00625290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used in</w:t>
      </w:r>
      <w:r w:rsidR="00C74443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automobile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crash testing. The average </w:t>
      </w:r>
      <w:r w:rsidR="00D632DC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impact 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pressures ranged from 1032</w:t>
      </w:r>
      <w:r w:rsidR="00810CCB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mmHg.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to 5410 mmHg (pointed end) and 348</w:t>
      </w:r>
      <w:r w:rsidR="00810CCB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mmHg.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to 3139 mmHg (blunt end), signifying </w:t>
      </w:r>
      <w:r w:rsidR="00D632DC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significant </w:t>
      </w:r>
      <w:r w:rsidR="00625290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hazards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if these weights were to strike the unprotected eyes and face.</w:t>
      </w:r>
    </w:p>
    <w:p w14:paraId="6595462A" w14:textId="5A26CE14" w:rsidR="00201F91" w:rsidRPr="008E5156" w:rsidRDefault="00201F91" w:rsidP="00201F91">
      <w:pPr>
        <w:spacing w:after="1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The foam padding </w:t>
      </w:r>
      <w:r w:rsidR="00810CCB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disperses the impact pressure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converting split-second high pressures (up to 5410 mmHg) uniformly to </w:t>
      </w:r>
      <w:r w:rsidR="00625290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self-limited 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lower pressures (ranging from 79 to 138 mmHg) </w:t>
      </w:r>
      <w:r w:rsidR="009F327B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measured around the face at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the chin and forehead. Unlike sustained pressure in</w:t>
      </w:r>
      <w:r w:rsidR="00810CCB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the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prone position, </w:t>
      </w:r>
      <w:r w:rsidR="00810CCB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there was no sustained pressure in the supine position due to the compression and expansion properties of the foam. 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It acts </w:t>
      </w:r>
      <w:r w:rsidR="00C74443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like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 shock absorber, immediately dissipating </w:t>
      </w:r>
      <w:r w:rsidR="00D632DC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high shield </w:t>
      </w:r>
      <w:r w:rsidR="00810CCB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impact pressures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regardless of the weight dropped.</w:t>
      </w:r>
    </w:p>
    <w:p w14:paraId="2AB199C4" w14:textId="6CA988DD" w:rsidR="00201F91" w:rsidRPr="008E5156" w:rsidRDefault="00201F91" w:rsidP="00201F91">
      <w:pPr>
        <w:spacing w:after="1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The findings suggest that a protective shield may mitigate eye and facial trauma in patients undergoing surger</w:t>
      </w:r>
      <w:r w:rsidR="00625290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in the supine</w:t>
      </w:r>
      <w:r w:rsidR="00CC7EDC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74443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and</w:t>
      </w:r>
      <w:r w:rsidR="00CC7EDC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CC7EDC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Trendelenberg</w:t>
      </w:r>
      <w:proofErr w:type="spellEnd"/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position</w:t>
      </w:r>
      <w:r w:rsidR="00C74443"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s.</w:t>
      </w:r>
    </w:p>
    <w:p w14:paraId="7A64CC3E" w14:textId="77777777" w:rsidR="00201F91" w:rsidRPr="008E5156" w:rsidRDefault="00201F91" w:rsidP="00201F91">
      <w:pPr>
        <w:spacing w:after="1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5156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654341AC" wp14:editId="603B5A8B">
            <wp:extent cx="2559858" cy="1531818"/>
            <wp:effectExtent l="0" t="0" r="0" b="0"/>
            <wp:docPr id="2124619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029" cy="1537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E5156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600D7863" wp14:editId="7FD04B66">
            <wp:extent cx="1929250" cy="2067272"/>
            <wp:effectExtent l="0" t="0" r="0" b="9525"/>
            <wp:docPr id="493831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12"/>
                    <a:stretch/>
                  </pic:blipFill>
                  <pic:spPr bwMode="auto">
                    <a:xfrm>
                      <a:off x="0" y="0"/>
                      <a:ext cx="2006648" cy="2150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AC9F13" w14:textId="77777777" w:rsidR="008E5156" w:rsidRPr="008E5156" w:rsidRDefault="008E5156" w:rsidP="00201F91">
      <w:pPr>
        <w:spacing w:after="1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EA00076" w14:textId="74C20FAA" w:rsidR="008E5156" w:rsidRPr="008E5156" w:rsidRDefault="008E5156" w:rsidP="00201F91">
      <w:pPr>
        <w:spacing w:after="1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Michael D. Sparkuhl, MD, FACS</w:t>
      </w:r>
    </w:p>
    <w:p w14:paraId="07FC50C7" w14:textId="41A206CE" w:rsidR="00201F91" w:rsidRPr="008E5156" w:rsidRDefault="008E5156" w:rsidP="00201F91">
      <w:pPr>
        <w:spacing w:after="1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Michael D. Sparkuhl, MD, FACS participated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in 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development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5B38548" w14:textId="5BE3CF39" w:rsidR="00201F91" w:rsidRPr="008E5156" w:rsidRDefault="00201F91" w:rsidP="00201F91">
      <w:pPr>
        <w:spacing w:after="1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1.) Mazzei, W.J., </w:t>
      </w:r>
      <w:proofErr w:type="spellStart"/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Benumof</w:t>
      </w:r>
      <w:proofErr w:type="spellEnd"/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J.L. Eye injury issue leads to new protective helmet device and research on face pressures from prone positioning on OR table. </w:t>
      </w:r>
      <w:r w:rsid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Anesthesia Patient Safety Foundation Newsletter,</w:t>
      </w:r>
      <w:r w:rsidR="007F1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2020</w:t>
      </w:r>
      <w:r w:rsidR="007F1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:15(3, Fall).</w:t>
      </w:r>
    </w:p>
    <w:p w14:paraId="030D14B2" w14:textId="03D63786" w:rsidR="00201F91" w:rsidRDefault="00201F91" w:rsidP="00201F91">
      <w:pPr>
        <w:spacing w:after="1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</w:t>
      </w:r>
      <w:r w:rsidR="007F12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Occupational Health and Safety Administration </w:t>
      </w:r>
      <w:r w:rsidRPr="008E51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Code of Federal Regulations 29 CFR 1910.133 and 1910.1030.</w:t>
      </w:r>
    </w:p>
    <w:p w14:paraId="4BC99D43" w14:textId="112DC3A8" w:rsidR="009D1C0B" w:rsidRDefault="00FD5381" w:rsidP="00201F91">
      <w:pPr>
        <w:spacing w:after="1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3. </w:t>
      </w:r>
      <w:r w:rsidR="00F901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The Joint </w:t>
      </w:r>
      <w:proofErr w:type="spellStart"/>
      <w:r w:rsidR="00F901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Commision</w:t>
      </w:r>
      <w:proofErr w:type="spellEnd"/>
      <w:r w:rsidR="00F901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National Patient Safety Goals Effective January 2024 For the Hospital Program pg.1-12 (online-</w:t>
      </w:r>
      <w:r w:rsidR="00F90147" w:rsidRPr="00F90147">
        <w:t xml:space="preserve"> </w:t>
      </w:r>
      <w:hyperlink r:id="rId9" w:history="1">
        <w:r w:rsidR="009D1C0B" w:rsidRPr="00A25645">
          <w:rPr>
            <w:rStyle w:val="Hyperlink"/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https://www.jointcommission.org/-/media/tjc/documents/standards/national-patient-safety-goals/2024/npsg_chapter_hap_jan2024.pdf</w:t>
        </w:r>
      </w:hyperlink>
      <w:r w:rsidR="00F901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</w:p>
    <w:p w14:paraId="25E4EEAC" w14:textId="0E871CAD" w:rsidR="009D1C0B" w:rsidRPr="009D1C0B" w:rsidRDefault="009D1C0B" w:rsidP="009D1C0B">
      <w:pPr>
        <w:spacing w:after="1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4. </w:t>
      </w:r>
      <w:r w:rsidRPr="009D1C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American Society of Anesthesiologists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9D1C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Practice Advisory for Perioperative Visual Loss Associated with Spine Surgery 2019: An Updated Report by the American Society of Anesthesiologists Task Force on Perioperative Visual Loss, the North American Neuro-Ophthalmology Society, and the Society for Neuroscience in Anesthesiology and Critical Care* Anesthesiology January 2019, Vol. 130, 12–30.</w:t>
      </w:r>
    </w:p>
    <w:p w14:paraId="36A7AD23" w14:textId="77777777" w:rsidR="00201F91" w:rsidRPr="008E5156" w:rsidRDefault="00201F91" w:rsidP="00201F91">
      <w:pPr>
        <w:spacing w:after="1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9A9E1AB" w14:textId="77777777" w:rsidR="00201F91" w:rsidRPr="00201F91" w:rsidRDefault="00201F91" w:rsidP="00201F91">
      <w:pPr>
        <w:spacing w:after="120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</w:p>
    <w:p w14:paraId="25FF85AE" w14:textId="77777777" w:rsidR="00647936" w:rsidRDefault="00647936"/>
    <w:sectPr w:rsidR="0064793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7F78A" w14:textId="77777777" w:rsidR="001B4883" w:rsidRDefault="001B4883" w:rsidP="008E5156">
      <w:pPr>
        <w:spacing w:after="0" w:line="240" w:lineRule="auto"/>
      </w:pPr>
      <w:r>
        <w:separator/>
      </w:r>
    </w:p>
  </w:endnote>
  <w:endnote w:type="continuationSeparator" w:id="0">
    <w:p w14:paraId="4E04265D" w14:textId="77777777" w:rsidR="001B4883" w:rsidRDefault="001B4883" w:rsidP="008E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F52F8" w14:textId="77777777" w:rsidR="001B4883" w:rsidRDefault="001B4883" w:rsidP="008E5156">
      <w:pPr>
        <w:spacing w:after="0" w:line="240" w:lineRule="auto"/>
      </w:pPr>
      <w:r>
        <w:separator/>
      </w:r>
    </w:p>
  </w:footnote>
  <w:footnote w:type="continuationSeparator" w:id="0">
    <w:p w14:paraId="316599D5" w14:textId="77777777" w:rsidR="001B4883" w:rsidRDefault="001B4883" w:rsidP="008E5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14648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8EF896" w14:textId="7F2E14A1" w:rsidR="008E5156" w:rsidRDefault="008E515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F4B153" w14:textId="77777777" w:rsidR="008E5156" w:rsidRDefault="008E51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92306"/>
    <w:multiLevelType w:val="hybridMultilevel"/>
    <w:tmpl w:val="B868EE2C"/>
    <w:lvl w:ilvl="0" w:tplc="73AC30A6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51427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91"/>
    <w:rsid w:val="0000170E"/>
    <w:rsid w:val="000C69CE"/>
    <w:rsid w:val="001B4883"/>
    <w:rsid w:val="001C1AD0"/>
    <w:rsid w:val="001F6E09"/>
    <w:rsid w:val="00201F91"/>
    <w:rsid w:val="002654A8"/>
    <w:rsid w:val="002D7BDE"/>
    <w:rsid w:val="00625290"/>
    <w:rsid w:val="00647936"/>
    <w:rsid w:val="006F14EE"/>
    <w:rsid w:val="007F12EA"/>
    <w:rsid w:val="00810CCB"/>
    <w:rsid w:val="008E5156"/>
    <w:rsid w:val="009D1C0B"/>
    <w:rsid w:val="009F327B"/>
    <w:rsid w:val="009F483C"/>
    <w:rsid w:val="00A056E1"/>
    <w:rsid w:val="00A54DB9"/>
    <w:rsid w:val="00A66A14"/>
    <w:rsid w:val="00BF2176"/>
    <w:rsid w:val="00C74443"/>
    <w:rsid w:val="00CC7EDC"/>
    <w:rsid w:val="00CD27F5"/>
    <w:rsid w:val="00D21123"/>
    <w:rsid w:val="00D632DC"/>
    <w:rsid w:val="00DF12E3"/>
    <w:rsid w:val="00ED6374"/>
    <w:rsid w:val="00F90147"/>
    <w:rsid w:val="00FD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7343A"/>
  <w15:chartTrackingRefBased/>
  <w15:docId w15:val="{CC595868-48B3-442A-A564-43A067D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156"/>
  </w:style>
  <w:style w:type="paragraph" w:styleId="Footer">
    <w:name w:val="footer"/>
    <w:basedOn w:val="Normal"/>
    <w:link w:val="FooterChar"/>
    <w:uiPriority w:val="99"/>
    <w:unhideWhenUsed/>
    <w:rsid w:val="008E5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156"/>
  </w:style>
  <w:style w:type="character" w:styleId="Hyperlink">
    <w:name w:val="Hyperlink"/>
    <w:basedOn w:val="DefaultParagraphFont"/>
    <w:uiPriority w:val="99"/>
    <w:unhideWhenUsed/>
    <w:rsid w:val="009D1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intcommission.org/-/media/tjc/documents/standards/national-patient-safety-goals/2024/npsg_chapter_hap_jan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3257</TotalTime>
  <Pages>3</Pages>
  <Words>737</Words>
  <Characters>4308</Characters>
  <Application>Microsoft Office Word</Application>
  <DocSecurity>0</DocSecurity>
  <Lines>95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Sparkuhl</dc:creator>
  <cp:keywords/>
  <dc:description/>
  <cp:lastModifiedBy>Michael Sparkuhl</cp:lastModifiedBy>
  <cp:revision>5</cp:revision>
  <dcterms:created xsi:type="dcterms:W3CDTF">2023-12-29T21:26:00Z</dcterms:created>
  <dcterms:modified xsi:type="dcterms:W3CDTF">2024-01-01T23:13:00Z</dcterms:modified>
</cp:coreProperties>
</file>