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6"/>
      </w:pPr>
      <w:bookmarkStart w:id="0" w:name="_GoBack"/>
      <w:r>
        <w:t>BYLAWS OF COLAS CONNECT CO</w:t>
      </w:r>
    </w:p>
    <w:bookmarkEnd w:id="0"/>
    <w:p>
      <w:r>
        <w:t>(An Indiana Nonprofit Corporation)</w:t>
      </w:r>
    </w:p>
    <w:p>
      <w:r>
        <w:t>Adopted: [Insert Adoption Date]</w:t>
      </w:r>
    </w:p>
    <w:p>
      <w:pPr>
        <w:pStyle w:val="2"/>
      </w:pPr>
      <w:r>
        <w:t>ARTICLE I – NAME AND PURPOSE</w:t>
      </w:r>
    </w:p>
    <w:p>
      <w:r>
        <w:t>Section 1. Name</w:t>
      </w:r>
      <w:r>
        <w:br w:type="textWrapping"/>
      </w:r>
      <w:r>
        <w:t>The name of this organization shall be COLAS Connect Co, hereafter referred to as “the Corporation.”</w:t>
      </w:r>
    </w:p>
    <w:p>
      <w:r>
        <w:t>Section 2. Purpose</w:t>
      </w:r>
      <w:r>
        <w:br w:type="textWrapping"/>
      </w:r>
      <w:r>
        <w:t>The Corporation is organized exclusively for charitable and educational purposes within the meaning of Section 501(c)(3) of the Internal Revenue Code and the Indiana Nonprofit Corporation Act (IC 23-17). The mission of COLAS Connect Co is to create inclusive social activities, life-skills programming, and caregiver support for individuals with severe or profound autism and related developmental disabilities.</w:t>
      </w:r>
    </w:p>
    <w:p>
      <w:r>
        <w:t>Section 3. Powers</w:t>
      </w:r>
      <w:r>
        <w:br w:type="textWrapping"/>
      </w:r>
      <w:r>
        <w:t>The Corporation shall have all powers necessary to carry out its mission as permitted under Indiana Code Title 23, Article 17, including the ability to solicit and accept donations, own property, and engage in lawful activities consistent with its exempt status.</w:t>
      </w:r>
    </w:p>
    <w:p>
      <w:pPr>
        <w:pStyle w:val="2"/>
      </w:pPr>
      <w:r>
        <w:t>ARTICLE II – OFFICES</w:t>
      </w:r>
    </w:p>
    <w:p>
      <w:r>
        <w:t>The principal office shall be located in the State of Indiana, at an address determined by the Board of Directors. Additional offices may be established as needed.</w:t>
      </w:r>
    </w:p>
    <w:p>
      <w:pPr>
        <w:pStyle w:val="2"/>
      </w:pPr>
      <w:r>
        <w:t>ARTICLE III – MEMBERSHIP</w:t>
      </w:r>
    </w:p>
    <w:p>
      <w:r>
        <w:t>Section 1. No Members</w:t>
      </w:r>
      <w:r>
        <w:br w:type="textWrapping"/>
      </w:r>
      <w:r>
        <w:t>The Corporation shall have no voting members as defined in IC 23-17-8-1. All rights that would otherwise vest in members shall be vested in the Board of Directors.</w:t>
      </w:r>
    </w:p>
    <w:p>
      <w:r>
        <w:t>Section 2. Advisory Members</w:t>
      </w:r>
      <w:r>
        <w:br w:type="textWrapping"/>
      </w:r>
      <w:r>
        <w:t>The Board may appoint non-voting advisory members or committees to provide expertise or community representation.</w:t>
      </w:r>
    </w:p>
    <w:p>
      <w:pPr>
        <w:pStyle w:val="2"/>
      </w:pPr>
      <w:r>
        <w:t>ARTICLE IV – BOARD OF DIRECTORS</w:t>
      </w:r>
    </w:p>
    <w:p>
      <w:r>
        <w:t>Section 1. Authority</w:t>
      </w:r>
      <w:r>
        <w:br w:type="textWrapping"/>
      </w:r>
      <w:r>
        <w:t>The governing body of the Corporation shall be the Board of Directors, which has authority and responsibility for the overall direction, management, and control of the Corporation’s affairs.</w:t>
      </w:r>
    </w:p>
    <w:p>
      <w:r>
        <w:t>Section 2. Composition</w:t>
      </w:r>
      <w:r>
        <w:br w:type="textWrapping"/>
      </w:r>
      <w:r>
        <w:t>The Board shall consist of at least three (3) and not more than seven (7) Directors.</w:t>
      </w:r>
    </w:p>
    <w:p>
      <w:r>
        <w:t>Section 3. Current Board of Directors</w:t>
      </w:r>
    </w:p>
    <w:tbl>
      <w:tblPr>
        <w:tblStyle w:val="12"/>
        <w:tblW w:w="0" w:type="auto"/>
        <w:tblInd w:w="0" w:type="dxa"/>
        <w:tblLayout w:type="autofit"/>
        <w:tblCellMar>
          <w:top w:w="0" w:type="dxa"/>
          <w:left w:w="108" w:type="dxa"/>
          <w:bottom w:w="0" w:type="dxa"/>
          <w:right w:w="108" w:type="dxa"/>
        </w:tblCellMar>
      </w:tblPr>
      <w:tblGrid>
        <w:gridCol w:w="2880"/>
        <w:gridCol w:w="2880"/>
        <w:gridCol w:w="2880"/>
      </w:tblGrid>
      <w:tr>
        <w:tblPrEx>
          <w:tblCellMar>
            <w:top w:w="0" w:type="dxa"/>
            <w:left w:w="108" w:type="dxa"/>
            <w:bottom w:w="0" w:type="dxa"/>
            <w:right w:w="108" w:type="dxa"/>
          </w:tblCellMar>
        </w:tblPrEx>
        <w:tc>
          <w:tcPr>
            <w:tcW w:w="2880" w:type="dxa"/>
          </w:tcPr>
          <w:p>
            <w:r>
              <w:t>Name</w:t>
            </w:r>
          </w:p>
        </w:tc>
        <w:tc>
          <w:tcPr>
            <w:tcW w:w="2880" w:type="dxa"/>
          </w:tcPr>
          <w:p>
            <w:r>
              <w:t>Office</w:t>
            </w:r>
          </w:p>
        </w:tc>
        <w:tc>
          <w:tcPr>
            <w:tcW w:w="2880" w:type="dxa"/>
          </w:tcPr>
          <w:p>
            <w:r>
              <w:t>Title/Role</w:t>
            </w:r>
          </w:p>
        </w:tc>
      </w:tr>
      <w:tr>
        <w:tblPrEx>
          <w:tblCellMar>
            <w:top w:w="0" w:type="dxa"/>
            <w:left w:w="108" w:type="dxa"/>
            <w:bottom w:w="0" w:type="dxa"/>
            <w:right w:w="108" w:type="dxa"/>
          </w:tblCellMar>
        </w:tblPrEx>
        <w:tc>
          <w:tcPr>
            <w:tcW w:w="2880" w:type="dxa"/>
          </w:tcPr>
          <w:p>
            <w:r>
              <w:t>Megan Dabney</w:t>
            </w:r>
          </w:p>
        </w:tc>
        <w:tc>
          <w:tcPr>
            <w:tcW w:w="2880" w:type="dxa"/>
          </w:tcPr>
          <w:p>
            <w:r>
              <w:t>President &amp; Treasurer</w:t>
            </w:r>
          </w:p>
        </w:tc>
        <w:tc>
          <w:tcPr>
            <w:tcW w:w="2880" w:type="dxa"/>
          </w:tcPr>
          <w:p>
            <w:r>
              <w:t>Board Chair / Finance Officer</w:t>
            </w:r>
          </w:p>
        </w:tc>
      </w:tr>
      <w:tr>
        <w:tblPrEx>
          <w:tblCellMar>
            <w:top w:w="0" w:type="dxa"/>
            <w:left w:w="108" w:type="dxa"/>
            <w:bottom w:w="0" w:type="dxa"/>
            <w:right w:w="108" w:type="dxa"/>
          </w:tblCellMar>
        </w:tblPrEx>
        <w:tc>
          <w:tcPr>
            <w:tcW w:w="2880" w:type="dxa"/>
          </w:tcPr>
          <w:p>
            <w:r>
              <w:t>Kerri Coleman-Gravely</w:t>
            </w:r>
          </w:p>
        </w:tc>
        <w:tc>
          <w:tcPr>
            <w:tcW w:w="2880" w:type="dxa"/>
          </w:tcPr>
          <w:p>
            <w:r>
              <w:t>Vice President</w:t>
            </w:r>
          </w:p>
        </w:tc>
        <w:tc>
          <w:tcPr>
            <w:tcW w:w="2880" w:type="dxa"/>
          </w:tcPr>
          <w:p>
            <w:r>
              <w:t>Vice Chair / Programs Liaison</w:t>
            </w:r>
          </w:p>
        </w:tc>
      </w:tr>
      <w:tr>
        <w:tblPrEx>
          <w:tblCellMar>
            <w:top w:w="0" w:type="dxa"/>
            <w:left w:w="108" w:type="dxa"/>
            <w:bottom w:w="0" w:type="dxa"/>
            <w:right w:w="108" w:type="dxa"/>
          </w:tblCellMar>
        </w:tblPrEx>
        <w:tc>
          <w:tcPr>
            <w:tcW w:w="2880" w:type="dxa"/>
          </w:tcPr>
          <w:p>
            <w:r>
              <w:t>Kate Miller</w:t>
            </w:r>
          </w:p>
        </w:tc>
        <w:tc>
          <w:tcPr>
            <w:tcW w:w="2880" w:type="dxa"/>
          </w:tcPr>
          <w:p>
            <w:r>
              <w:t>Secretary</w:t>
            </w:r>
          </w:p>
        </w:tc>
        <w:tc>
          <w:tcPr>
            <w:tcW w:w="2880" w:type="dxa"/>
          </w:tcPr>
          <w:p>
            <w:r>
              <w:t>Records Officer</w:t>
            </w:r>
          </w:p>
        </w:tc>
      </w:tr>
      <w:tr>
        <w:tblPrEx>
          <w:tblCellMar>
            <w:top w:w="0" w:type="dxa"/>
            <w:left w:w="108" w:type="dxa"/>
            <w:bottom w:w="0" w:type="dxa"/>
            <w:right w:w="108" w:type="dxa"/>
          </w:tblCellMar>
        </w:tblPrEx>
        <w:tc>
          <w:tcPr>
            <w:tcW w:w="2880" w:type="dxa"/>
          </w:tcPr>
          <w:p>
            <w:r>
              <w:t>Nikki Cahill</w:t>
            </w:r>
          </w:p>
        </w:tc>
        <w:tc>
          <w:tcPr>
            <w:tcW w:w="2880" w:type="dxa"/>
          </w:tcPr>
          <w:p>
            <w:r>
              <w:t>Education Advisor</w:t>
            </w:r>
          </w:p>
        </w:tc>
        <w:tc>
          <w:tcPr>
            <w:tcW w:w="2880" w:type="dxa"/>
          </w:tcPr>
          <w:p>
            <w:r>
              <w:t>Advisory Member (non-voting)</w:t>
            </w:r>
          </w:p>
        </w:tc>
      </w:tr>
    </w:tbl>
    <w:p>
      <w:r>
        <w:t>Section 4. Qualifications</w:t>
      </w:r>
      <w:r>
        <w:br w:type="textWrapping"/>
      </w:r>
      <w:r>
        <w:t>Directors must be residents of the United States and demonstrate a commitment to the Corporation’s mission. At least one Director must be an Indiana resident.</w:t>
      </w:r>
    </w:p>
    <w:p>
      <w:r>
        <w:t>Section 5. Term and Election</w:t>
      </w:r>
      <w:r>
        <w:br w:type="textWrapping"/>
      </w:r>
      <w:r>
        <w:t>Directors serve two-year terms and may be re-elected. Elections occur at the annual meeting.</w:t>
      </w:r>
    </w:p>
    <w:p>
      <w:r>
        <w:t>Section 6. Removal and Vacancies</w:t>
      </w:r>
      <w:r>
        <w:br w:type="textWrapping"/>
      </w:r>
      <w:r>
        <w:t>Any Director may be removed for cause by a two-thirds (2/3) vote of the remaining Board members. Vacancies shall be filled by a majority vote of the remaining Directors.</w:t>
      </w:r>
    </w:p>
    <w:p>
      <w:r>
        <w:t>Section 7. Meetings</w:t>
      </w:r>
      <w:r>
        <w:br w:type="textWrapping"/>
      </w:r>
      <w:r>
        <w:t>The Board meets at least quarterly. Special meetings may be called by the President or any two Directors with five (5) days’ notice. Meetings may be held electronically (Zoom, Teams, etc.) per IC 23-17-15-1.</w:t>
      </w:r>
    </w:p>
    <w:p>
      <w:r>
        <w:t>Section 8. Quorum and Voting</w:t>
      </w:r>
      <w:r>
        <w:br w:type="textWrapping"/>
      </w:r>
      <w:r>
        <w:t>A majority of current Directors constitutes a quorum. Each Director has one vote. Decisions are made by majority vote.</w:t>
      </w:r>
    </w:p>
    <w:p>
      <w:r>
        <w:t>Section 9. Compensation</w:t>
      </w:r>
      <w:r>
        <w:br w:type="textWrapping"/>
      </w:r>
      <w:r>
        <w:t>Directors serve without compensation but may be reimbursed for reasonable expenses incurred on behalf of the Corporation.</w:t>
      </w:r>
    </w:p>
    <w:p>
      <w:pPr>
        <w:pStyle w:val="2"/>
      </w:pPr>
      <w:r>
        <w:t>ARTICLE V – OFFICERS</w:t>
      </w:r>
    </w:p>
    <w:p>
      <w:r>
        <w:t>Section 1. Officers</w:t>
      </w:r>
      <w:r>
        <w:br w:type="textWrapping"/>
      </w:r>
      <w:r>
        <w:t>The Officers of the Corporation shall be: Megan Dabney – President &amp; Treasurer; Kerri Coleman-Gravely – Vice President; Kate Miller – Secretary.</w:t>
      </w:r>
    </w:p>
    <w:p>
      <w:r>
        <w:t>Section 2. Duties</w:t>
      </w:r>
      <w:r>
        <w:br w:type="textWrapping"/>
      </w:r>
      <w:r>
        <w:t>President: Leads meetings, represents the Corporation, and ensures Board actions align with the mission.</w:t>
      </w:r>
      <w:r>
        <w:br w:type="textWrapping"/>
      </w:r>
      <w:r>
        <w:t>Vice President: Assists the President and acts in their absence.</w:t>
      </w:r>
      <w:r>
        <w:br w:type="textWrapping"/>
      </w:r>
      <w:r>
        <w:t>Secretary: Records and maintains meeting minutes and official documents.</w:t>
      </w:r>
      <w:r>
        <w:br w:type="textWrapping"/>
      </w:r>
      <w:r>
        <w:t>Treasurer: Oversees finances, prepares budgets, and ensures compliance with IRS and state filings.</w:t>
      </w:r>
    </w:p>
    <w:p>
      <w:r>
        <w:t>Section 3. Education Advisor (Nikki Cahill)</w:t>
      </w:r>
      <w:r>
        <w:br w:type="textWrapping"/>
      </w:r>
      <w:r>
        <w:t>Provides expert guidance on educational and behavioral programming; serves in a non-voting advisory capacity.</w:t>
      </w:r>
    </w:p>
    <w:p>
      <w:r>
        <w:t>Section 4. Election and Term</w:t>
      </w:r>
      <w:r>
        <w:br w:type="textWrapping"/>
      </w:r>
      <w:r>
        <w:t>Officers are elected annually by the Board and may serve consecutive terms.</w:t>
      </w:r>
    </w:p>
    <w:p>
      <w:pPr>
        <w:pStyle w:val="2"/>
      </w:pPr>
      <w:r>
        <w:t>ARTICLE VI – COMMITTEES</w:t>
      </w:r>
    </w:p>
    <w:p>
      <w:r>
        <w:t>The Board may establish standing or ad hoc committees (e.g., Fundraising, Events, Governance). Each committee reports to the Board.</w:t>
      </w:r>
    </w:p>
    <w:p>
      <w:pPr>
        <w:pStyle w:val="2"/>
      </w:pPr>
      <w:r>
        <w:t>ARTICLE VII – FISCAL MANAGEMENT</w:t>
      </w:r>
    </w:p>
    <w:p>
      <w:r>
        <w:t>Fiscal Year: January 1 – December 31.</w:t>
      </w:r>
      <w:r>
        <w:br w:type="textWrapping"/>
      </w:r>
      <w:r>
        <w:t>Records: All corporate records and minutes shall be maintained as required by IC 23-17-27-1.</w:t>
      </w:r>
      <w:r>
        <w:br w:type="textWrapping"/>
      </w:r>
      <w:r>
        <w:t>Budget and Review: The Treasurer shall prepare an annual budget subject to Board approval.</w:t>
      </w:r>
      <w:r>
        <w:br w:type="textWrapping"/>
      </w:r>
      <w:r>
        <w:t>Use of Funds: No earnings shall inure to any private individual.</w:t>
      </w:r>
    </w:p>
    <w:p>
      <w:pPr>
        <w:pStyle w:val="2"/>
      </w:pPr>
      <w:r>
        <w:t>ARTICLE VIII – CONFLICT OF INTEREST</w:t>
      </w:r>
    </w:p>
    <w:p>
      <w:r>
        <w:t>All Directors, Officers, and Advisors must disclose potential conflicts of interest. Conflicted individuals shall abstain from discussion and voting. Annual Conflict-of-Interest Statements shall be signed and retained.</w:t>
      </w:r>
    </w:p>
    <w:p>
      <w:pPr>
        <w:pStyle w:val="2"/>
      </w:pPr>
      <w:r>
        <w:t>ARTICLE IX – WHISTLEBLOWER AND RECORD RETENTION</w:t>
      </w:r>
    </w:p>
    <w:p>
      <w:r>
        <w:t>Whistleblower Protection: No one who reports suspected misconduct in good faith shall face retaliation (IC 23-17-26-3).</w:t>
      </w:r>
      <w:r>
        <w:br w:type="textWrapping"/>
      </w:r>
      <w:r>
        <w:t>Record Retention: Organizational records shall be retained for a minimum of seven (7) years.</w:t>
      </w:r>
    </w:p>
    <w:p>
      <w:pPr>
        <w:pStyle w:val="2"/>
      </w:pPr>
      <w:r>
        <w:t>ARTICLE X – INDEMNIFICATION</w:t>
      </w:r>
    </w:p>
    <w:p>
      <w:r>
        <w:t>The Corporation shall indemnify any Director, Officer, employee, or agent acting in good faith to the fullest extent permitted by IC 23-17-16.</w:t>
      </w:r>
    </w:p>
    <w:p>
      <w:pPr>
        <w:pStyle w:val="2"/>
      </w:pPr>
      <w:r>
        <w:t>ARTICLE XI – AMENDMENTS</w:t>
      </w:r>
    </w:p>
    <w:p>
      <w:r>
        <w:t>These bylaws may be amended by a two-thirds (2/3) vote of the Board of Directors at any meeting where prior written notice has been provided.</w:t>
      </w:r>
    </w:p>
    <w:p>
      <w:pPr>
        <w:pStyle w:val="2"/>
      </w:pPr>
      <w:r>
        <w:t>ARTICLE XII – DISSOLUTION</w:t>
      </w:r>
    </w:p>
    <w:p>
      <w:r>
        <w:t>Upon dissolution, assets shall be distributed in accordance with IC 23-17-22-5 to another 501(c)(3) organization with a similar mission. No assets shall benefit any individual.</w:t>
      </w:r>
    </w:p>
    <w:p>
      <w:pPr>
        <w:pStyle w:val="2"/>
      </w:pPr>
      <w:r>
        <w:t>CERTIFICATION OF ADOPTION</w:t>
      </w:r>
    </w:p>
    <w:p>
      <w:r>
        <w:t>We, the undersigned, hereby adopt the foregoing bylaws as the official bylaws of COLAS Connect Co.</w:t>
      </w:r>
    </w:p>
    <w:tbl>
      <w:tblPr>
        <w:tblStyle w:val="12"/>
        <w:tblW w:w="0" w:type="auto"/>
        <w:tblInd w:w="0" w:type="dxa"/>
        <w:tblLayout w:type="autofit"/>
        <w:tblCellMar>
          <w:top w:w="0" w:type="dxa"/>
          <w:left w:w="108" w:type="dxa"/>
          <w:bottom w:w="0" w:type="dxa"/>
          <w:right w:w="108" w:type="dxa"/>
        </w:tblCellMar>
      </w:tblPr>
      <w:tblGrid>
        <w:gridCol w:w="2160"/>
        <w:gridCol w:w="2160"/>
        <w:gridCol w:w="2160"/>
        <w:gridCol w:w="2160"/>
      </w:tblGrid>
      <w:tr>
        <w:tblPrEx>
          <w:tblCellMar>
            <w:top w:w="0" w:type="dxa"/>
            <w:left w:w="108" w:type="dxa"/>
            <w:bottom w:w="0" w:type="dxa"/>
            <w:right w:w="108" w:type="dxa"/>
          </w:tblCellMar>
        </w:tblPrEx>
        <w:tc>
          <w:tcPr>
            <w:tcW w:w="2160" w:type="dxa"/>
          </w:tcPr>
          <w:p>
            <w:r>
              <w:t>Name</w:t>
            </w:r>
          </w:p>
        </w:tc>
        <w:tc>
          <w:tcPr>
            <w:tcW w:w="2160" w:type="dxa"/>
          </w:tcPr>
          <w:p>
            <w:r>
              <w:t>Title</w:t>
            </w:r>
          </w:p>
        </w:tc>
        <w:tc>
          <w:tcPr>
            <w:tcW w:w="2160" w:type="dxa"/>
          </w:tcPr>
          <w:p>
            <w:r>
              <w:t>Signature</w:t>
            </w:r>
          </w:p>
        </w:tc>
        <w:tc>
          <w:tcPr>
            <w:tcW w:w="2160" w:type="dxa"/>
          </w:tcPr>
          <w:p>
            <w:r>
              <w:t>Date</w:t>
            </w:r>
          </w:p>
        </w:tc>
      </w:tr>
      <w:tr>
        <w:tblPrEx>
          <w:tblCellMar>
            <w:top w:w="0" w:type="dxa"/>
            <w:left w:w="108" w:type="dxa"/>
            <w:bottom w:w="0" w:type="dxa"/>
            <w:right w:w="108" w:type="dxa"/>
          </w:tblCellMar>
        </w:tblPrEx>
        <w:tc>
          <w:tcPr>
            <w:tcW w:w="2160" w:type="dxa"/>
          </w:tcPr>
          <w:p>
            <w:r>
              <w:t>Megan Dabney</w:t>
            </w:r>
          </w:p>
        </w:tc>
        <w:tc>
          <w:tcPr>
            <w:tcW w:w="2160" w:type="dxa"/>
          </w:tcPr>
          <w:p>
            <w:r>
              <w:t>President &amp; Treasurer</w:t>
            </w:r>
          </w:p>
        </w:tc>
        <w:tc>
          <w:tcPr>
            <w:tcW w:w="2160" w:type="dxa"/>
          </w:tcPr>
          <w:p>
            <w:r>
              <w:t>__________________</w:t>
            </w:r>
          </w:p>
        </w:tc>
        <w:tc>
          <w:tcPr>
            <w:tcW w:w="2160" w:type="dxa"/>
          </w:tcPr>
          <w:p>
            <w:r>
              <w:t>__________</w:t>
            </w:r>
          </w:p>
        </w:tc>
      </w:tr>
      <w:tr>
        <w:tblPrEx>
          <w:tblCellMar>
            <w:top w:w="0" w:type="dxa"/>
            <w:left w:w="108" w:type="dxa"/>
            <w:bottom w:w="0" w:type="dxa"/>
            <w:right w:w="108" w:type="dxa"/>
          </w:tblCellMar>
        </w:tblPrEx>
        <w:tc>
          <w:tcPr>
            <w:tcW w:w="2160" w:type="dxa"/>
          </w:tcPr>
          <w:p>
            <w:r>
              <w:t>Kerri Coleman-Gravely</w:t>
            </w:r>
          </w:p>
        </w:tc>
        <w:tc>
          <w:tcPr>
            <w:tcW w:w="2160" w:type="dxa"/>
          </w:tcPr>
          <w:p>
            <w:r>
              <w:t>Vice President</w:t>
            </w:r>
          </w:p>
        </w:tc>
        <w:tc>
          <w:tcPr>
            <w:tcW w:w="2160" w:type="dxa"/>
          </w:tcPr>
          <w:p>
            <w:r>
              <w:t>__________________</w:t>
            </w:r>
          </w:p>
        </w:tc>
        <w:tc>
          <w:tcPr>
            <w:tcW w:w="2160" w:type="dxa"/>
          </w:tcPr>
          <w:p>
            <w:r>
              <w:t>__________</w:t>
            </w:r>
          </w:p>
        </w:tc>
      </w:tr>
      <w:tr>
        <w:tblPrEx>
          <w:tblCellMar>
            <w:top w:w="0" w:type="dxa"/>
            <w:left w:w="108" w:type="dxa"/>
            <w:bottom w:w="0" w:type="dxa"/>
            <w:right w:w="108" w:type="dxa"/>
          </w:tblCellMar>
        </w:tblPrEx>
        <w:tc>
          <w:tcPr>
            <w:tcW w:w="2160" w:type="dxa"/>
          </w:tcPr>
          <w:p>
            <w:r>
              <w:t>Kate Miller</w:t>
            </w:r>
          </w:p>
        </w:tc>
        <w:tc>
          <w:tcPr>
            <w:tcW w:w="2160" w:type="dxa"/>
          </w:tcPr>
          <w:p>
            <w:r>
              <w:t>Secretary</w:t>
            </w:r>
          </w:p>
        </w:tc>
        <w:tc>
          <w:tcPr>
            <w:tcW w:w="2160" w:type="dxa"/>
          </w:tcPr>
          <w:p>
            <w:r>
              <w:t>__________________</w:t>
            </w:r>
          </w:p>
        </w:tc>
        <w:tc>
          <w:tcPr>
            <w:tcW w:w="2160" w:type="dxa"/>
          </w:tcPr>
          <w:p>
            <w:r>
              <w:t>__________</w:t>
            </w:r>
          </w:p>
        </w:tc>
      </w:tr>
      <w:tr>
        <w:tblPrEx>
          <w:tblCellMar>
            <w:top w:w="0" w:type="dxa"/>
            <w:left w:w="108" w:type="dxa"/>
            <w:bottom w:w="0" w:type="dxa"/>
            <w:right w:w="108" w:type="dxa"/>
          </w:tblCellMar>
        </w:tblPrEx>
        <w:tc>
          <w:tcPr>
            <w:tcW w:w="2160" w:type="dxa"/>
          </w:tcPr>
          <w:p>
            <w:r>
              <w:t>Nikki Cahill</w:t>
            </w:r>
          </w:p>
        </w:tc>
        <w:tc>
          <w:tcPr>
            <w:tcW w:w="2160" w:type="dxa"/>
          </w:tcPr>
          <w:p>
            <w:r>
              <w:t>Education Advisor</w:t>
            </w:r>
          </w:p>
        </w:tc>
        <w:tc>
          <w:tcPr>
            <w:tcW w:w="2160" w:type="dxa"/>
          </w:tcPr>
          <w:p>
            <w:r>
              <w:t>__________________</w:t>
            </w:r>
          </w:p>
        </w:tc>
        <w:tc>
          <w:tcPr>
            <w:tcW w:w="2160" w:type="dxa"/>
          </w:tcPr>
          <w:p>
            <w:r>
              <w:t>__________</w:t>
            </w:r>
          </w:p>
        </w:tc>
      </w:tr>
    </w:tbl>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Yu Gothic">
    <w:panose1 w:val="020B0400000000000000"/>
    <w:charset w:val="80"/>
    <w:family w:val="auto"/>
    <w:pitch w:val="default"/>
    <w:sig w:usb0="E00002FF" w:usb1="2AC7FDFF" w:usb2="00000016" w:usb3="00000000" w:csb0="2002009F"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51EE1567"/>
    <w:rsid w:val="7F1916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uiPriority="99" w:semiHidden="0" w:name="List"/>
    <w:lsdException w:qFormat="1" w:uiPriority="99" w:semiHidden="0" w:name="List Bullet"/>
    <w:lsdException w:qFormat="1" w:uiPriority="99" w:semiHidden="0" w:name="List Number"/>
    <w:lsdException w:uiPriority="99" w:semiHidden="0" w:name="List 2"/>
    <w:lsdException w:uiPriority="99" w:semiHidden="0" w:name="List 3"/>
    <w:lsdException w:uiPriority="99" w:name="List 4"/>
    <w:lsdException w:uiPriority="99" w:name="List 5"/>
    <w:lsdException w:uiPriority="99" w:semiHidden="0" w:name="List Bullet 2"/>
    <w:lsdException w:qFormat="1" w:uiPriority="99" w:semiHidden="0" w:name="List Bullet 3"/>
    <w:lsdException w:uiPriority="99" w:name="List Bullet 4"/>
    <w:lsdException w:uiPriority="99" w:name="List Bullet 5"/>
    <w:lsdException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qFormat/>
    <w:uiPriority w:val="99"/>
    <w:pPr>
      <w:spacing w:after="120" w:line="480" w:lineRule="auto"/>
    </w:pPr>
  </w:style>
  <w:style w:type="paragraph" w:styleId="15">
    <w:name w:val="Body Text 3"/>
    <w:basedOn w:val="1"/>
    <w:link w:val="146"/>
    <w:unhideWhenUsed/>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uiPriority w:val="99"/>
    <w:pPr>
      <w:ind w:left="360" w:hanging="360"/>
      <w:contextualSpacing/>
    </w:pPr>
  </w:style>
  <w:style w:type="paragraph" w:styleId="21">
    <w:name w:val="List 2"/>
    <w:basedOn w:val="1"/>
    <w:unhideWhenUsed/>
    <w:uiPriority w:val="99"/>
    <w:pPr>
      <w:ind w:left="720" w:hanging="360"/>
      <w:contextualSpacing/>
    </w:pPr>
  </w:style>
  <w:style w:type="paragraph" w:styleId="22">
    <w:name w:val="List 3"/>
    <w:basedOn w:val="1"/>
    <w:unhideWhenUsed/>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qFormat/>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qFormat/>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qFormat/>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qFormat/>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qFormat/>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qFormat/>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qFormat/>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qFormat/>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qFormat/>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qFormat/>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qFormat/>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qFormat/>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qFormat/>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qFormat/>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qFormat/>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qFormat/>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qFormat/>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Office_11.2.0.11042_F1E327BC-269C-435d-A152-05C5408002CA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Megan Dabney</cp:lastModifiedBy>
  <dcterms:modified xsi:type="dcterms:W3CDTF">2025-11-06T19:53:04Z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47C09D82DA424991AC742BDA1571A619</vt:lpwstr>
  </property>
</Properties>
</file>