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66E5734D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>procedure 9.1</w:t>
      </w:r>
      <w:r w:rsidR="003675D1">
        <w:rPr>
          <w:rFonts w:ascii="Arial" w:hAnsi="Arial" w:cs="Arial"/>
          <w:sz w:val="22"/>
          <w:szCs w:val="22"/>
        </w:rPr>
        <w:t>3</w:t>
      </w:r>
      <w:r w:rsidR="00CE5B0B" w:rsidRPr="00CE5B0B">
        <w:rPr>
          <w:rFonts w:ascii="Arial" w:hAnsi="Arial" w:cs="Arial"/>
          <w:sz w:val="22"/>
          <w:szCs w:val="22"/>
        </w:rPr>
        <w:t xml:space="preserve">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0B8551C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18BCE271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9.1</w:t>
      </w:r>
      <w:r w:rsidR="003675D1">
        <w:rPr>
          <w:rFonts w:ascii="Arial" w:hAnsi="Arial" w:cs="Arial"/>
          <w:sz w:val="22"/>
          <w:szCs w:val="22"/>
        </w:rPr>
        <w:t>2</w:t>
      </w:r>
      <w:r w:rsidR="00931C5B" w:rsidRPr="00A608F0">
        <w:rPr>
          <w:rFonts w:ascii="Arial" w:hAnsi="Arial" w:cs="Arial"/>
          <w:sz w:val="22"/>
          <w:szCs w:val="22"/>
        </w:rPr>
        <w:t xml:space="preserve"> transition to </w:t>
      </w:r>
      <w:proofErr w:type="gramStart"/>
      <w:r w:rsidR="00931C5B" w:rsidRPr="00A608F0">
        <w:rPr>
          <w:rFonts w:ascii="Arial" w:hAnsi="Arial" w:cs="Arial"/>
          <w:sz w:val="22"/>
          <w:szCs w:val="22"/>
        </w:rPr>
        <w:t>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>and</w:t>
      </w:r>
      <w:proofErr w:type="gramEnd"/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>information as per procedure 7.</w:t>
      </w:r>
      <w:r w:rsidR="003675D1">
        <w:rPr>
          <w:rFonts w:ascii="Arial" w:hAnsi="Arial" w:cs="Arial"/>
          <w:sz w:val="22"/>
          <w:szCs w:val="22"/>
        </w:rPr>
        <w:t>4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02460FBD" w14:textId="77777777" w:rsidR="00A7505A" w:rsidRPr="00201952" w:rsidRDefault="00A7505A" w:rsidP="00201952"/>
    <w:p w14:paraId="4311A3F7" w14:textId="77777777" w:rsidR="00A7505A" w:rsidRPr="00201952" w:rsidRDefault="00A7505A" w:rsidP="00201952"/>
    <w:p w14:paraId="3093DBD0" w14:textId="77777777" w:rsidR="00A7505A" w:rsidRPr="00201952" w:rsidRDefault="00A7505A" w:rsidP="00201952"/>
    <w:p w14:paraId="3292DCA1" w14:textId="77777777" w:rsidR="00A7505A" w:rsidRPr="00201952" w:rsidRDefault="00A7505A" w:rsidP="00201952"/>
    <w:p w14:paraId="37B894B6" w14:textId="77777777" w:rsidR="00A7505A" w:rsidRPr="00201952" w:rsidRDefault="00A7505A" w:rsidP="00201952"/>
    <w:p w14:paraId="5AC36B63" w14:textId="77777777" w:rsidR="00A7505A" w:rsidRPr="00201952" w:rsidRDefault="00A7505A" w:rsidP="00201952"/>
    <w:p w14:paraId="705732D9" w14:textId="77777777" w:rsidR="00A7505A" w:rsidRPr="00201952" w:rsidRDefault="00A7505A" w:rsidP="00201952"/>
    <w:p w14:paraId="1CC19485" w14:textId="77777777" w:rsidR="00A7505A" w:rsidRPr="00201952" w:rsidRDefault="00A7505A" w:rsidP="00201952"/>
    <w:p w14:paraId="3D209563" w14:textId="77777777" w:rsidR="00A7505A" w:rsidRPr="00201952" w:rsidRDefault="00A7505A" w:rsidP="00201952"/>
    <w:p w14:paraId="4593F9FC" w14:textId="77777777" w:rsidR="00A7505A" w:rsidRPr="00201952" w:rsidRDefault="00A7505A" w:rsidP="00201952"/>
    <w:p w14:paraId="27AD87AE" w14:textId="77777777" w:rsidR="00A7505A" w:rsidRPr="00201952" w:rsidRDefault="00A7505A" w:rsidP="00201952"/>
    <w:p w14:paraId="3AAA0F26" w14:textId="77777777" w:rsidR="00A7505A" w:rsidRPr="00201952" w:rsidRDefault="00A7505A" w:rsidP="00201952"/>
    <w:p w14:paraId="7C9BCE73" w14:textId="77777777" w:rsidR="00A7505A" w:rsidRPr="00201952" w:rsidRDefault="00A7505A" w:rsidP="00201952"/>
    <w:p w14:paraId="01073FC3" w14:textId="77777777" w:rsidR="00A7505A" w:rsidRPr="00201952" w:rsidRDefault="00A7505A" w:rsidP="00201952"/>
    <w:p w14:paraId="587E79C7" w14:textId="77777777" w:rsidR="00A7505A" w:rsidRPr="00201952" w:rsidRDefault="00A7505A" w:rsidP="00201952"/>
    <w:p w14:paraId="701E4E22" w14:textId="77777777" w:rsidR="00A7505A" w:rsidRPr="00201952" w:rsidRDefault="00A7505A" w:rsidP="00201952"/>
    <w:p w14:paraId="390DB643" w14:textId="77777777" w:rsidR="00A7505A" w:rsidRPr="00201952" w:rsidRDefault="00A7505A" w:rsidP="00201952"/>
    <w:p w14:paraId="0DA08D69" w14:textId="77777777" w:rsidR="00A7505A" w:rsidRPr="00201952" w:rsidRDefault="00A7505A" w:rsidP="00201952"/>
    <w:p w14:paraId="1E146B2A" w14:textId="77777777" w:rsidR="00A7505A" w:rsidRPr="00201952" w:rsidRDefault="00A7505A" w:rsidP="00201952"/>
    <w:p w14:paraId="4BC9C470" w14:textId="77777777" w:rsidR="00A7505A" w:rsidRPr="00201952" w:rsidRDefault="00A7505A" w:rsidP="00201952"/>
    <w:p w14:paraId="0FD3166A" w14:textId="77777777" w:rsidR="00A7505A" w:rsidRPr="00201952" w:rsidRDefault="00A7505A" w:rsidP="00201952"/>
    <w:p w14:paraId="61621412" w14:textId="77777777" w:rsidR="00A7505A" w:rsidRPr="00201952" w:rsidRDefault="00A7505A" w:rsidP="00201952"/>
    <w:p w14:paraId="0A93BC4D" w14:textId="77777777" w:rsidR="00A7505A" w:rsidRPr="00201952" w:rsidRDefault="00A7505A" w:rsidP="00201952"/>
    <w:p w14:paraId="2EE77C69" w14:textId="77777777" w:rsidR="00A7505A" w:rsidRPr="00201952" w:rsidRDefault="00A7505A" w:rsidP="00201952"/>
    <w:p w14:paraId="6CBDA33B" w14:textId="77777777" w:rsidR="00A7505A" w:rsidRPr="00201952" w:rsidRDefault="00A7505A" w:rsidP="00201952"/>
    <w:p w14:paraId="2D829437" w14:textId="77777777" w:rsidR="00A7505A" w:rsidRPr="00201952" w:rsidRDefault="00A7505A" w:rsidP="00201952"/>
    <w:p w14:paraId="1E91A0ED" w14:textId="77777777" w:rsidR="00A7505A" w:rsidRPr="00201952" w:rsidRDefault="00A7505A" w:rsidP="00201952"/>
    <w:p w14:paraId="0852C80D" w14:textId="77777777" w:rsidR="00A7505A" w:rsidRPr="00201952" w:rsidRDefault="00A7505A" w:rsidP="00201952"/>
    <w:p w14:paraId="7AAEEC53" w14:textId="77777777" w:rsidR="00A7505A" w:rsidRPr="00201952" w:rsidRDefault="00A7505A" w:rsidP="00201952"/>
    <w:p w14:paraId="461B2A57" w14:textId="77777777" w:rsidR="00A7505A" w:rsidRPr="00201952" w:rsidRDefault="00A7505A" w:rsidP="00201952"/>
    <w:p w14:paraId="39654568" w14:textId="77777777" w:rsidR="00A7505A" w:rsidRPr="00201952" w:rsidRDefault="00A7505A" w:rsidP="00201952"/>
    <w:p w14:paraId="7CB4C1F0" w14:textId="77777777" w:rsidR="00A7505A" w:rsidRPr="00201952" w:rsidRDefault="00A7505A" w:rsidP="00201952"/>
    <w:p w14:paraId="1C7C4C21" w14:textId="77777777" w:rsidR="00A7505A" w:rsidRPr="00201952" w:rsidRDefault="00A7505A" w:rsidP="00201952"/>
    <w:p w14:paraId="660994C5" w14:textId="77777777" w:rsidR="00A7505A" w:rsidRPr="00201952" w:rsidRDefault="00A7505A" w:rsidP="00201952"/>
    <w:p w14:paraId="61CE22A5" w14:textId="77777777" w:rsidR="00A7505A" w:rsidRPr="00201952" w:rsidRDefault="00A7505A" w:rsidP="00201952"/>
    <w:p w14:paraId="68B78839" w14:textId="77777777" w:rsidR="00A7505A" w:rsidRPr="00201952" w:rsidRDefault="00A7505A" w:rsidP="00201952"/>
    <w:p w14:paraId="53684D2B" w14:textId="77777777" w:rsidR="00A7505A" w:rsidRPr="00201952" w:rsidRDefault="00A7505A" w:rsidP="00201952"/>
    <w:p w14:paraId="42EB6768" w14:textId="77777777" w:rsidR="00A7505A" w:rsidRPr="00201952" w:rsidRDefault="00A7505A" w:rsidP="00201952"/>
    <w:p w14:paraId="58EF18AB" w14:textId="77777777" w:rsidR="00A7505A" w:rsidRPr="00201952" w:rsidRDefault="00A7505A" w:rsidP="00201952"/>
    <w:p w14:paraId="72003498" w14:textId="77777777" w:rsidR="00A7505A" w:rsidRPr="00201952" w:rsidRDefault="00A7505A" w:rsidP="00201952"/>
    <w:p w14:paraId="36BDF366" w14:textId="77777777" w:rsidR="00A7505A" w:rsidRPr="00201952" w:rsidRDefault="00A7505A" w:rsidP="00201952"/>
    <w:p w14:paraId="25FB67FF" w14:textId="77777777" w:rsidR="00A7505A" w:rsidRPr="00201952" w:rsidRDefault="00A7505A" w:rsidP="00201952"/>
    <w:p w14:paraId="5247E4DF" w14:textId="77777777" w:rsidR="00A7505A" w:rsidRPr="00201952" w:rsidRDefault="00A7505A" w:rsidP="00201952"/>
    <w:p w14:paraId="2144E71B" w14:textId="77777777" w:rsidR="00A7505A" w:rsidRPr="00201952" w:rsidRDefault="00A7505A" w:rsidP="00201952"/>
    <w:p w14:paraId="43F1DB45" w14:textId="77777777" w:rsidR="00A7505A" w:rsidRPr="00201952" w:rsidRDefault="00A7505A" w:rsidP="00201952"/>
    <w:p w14:paraId="2DE314E4" w14:textId="77777777" w:rsidR="00A7505A" w:rsidRPr="00201952" w:rsidRDefault="00A7505A" w:rsidP="00201952"/>
    <w:p w14:paraId="0A3B8F56" w14:textId="77777777" w:rsidR="00A7505A" w:rsidRPr="00201952" w:rsidRDefault="00A7505A" w:rsidP="00201952"/>
    <w:p w14:paraId="74B48AFE" w14:textId="77777777" w:rsidR="00A7505A" w:rsidRPr="00201952" w:rsidRDefault="00A7505A" w:rsidP="00201952"/>
    <w:p w14:paraId="70979C1E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4358AC29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1B716FCB" w14:textId="69DA91B1" w:rsidR="00A7505A" w:rsidRPr="00A7505A" w:rsidRDefault="00A7505A" w:rsidP="00201952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531062" w14:textId="77777777" w:rsidR="00A7505A" w:rsidRPr="00201952" w:rsidRDefault="00A7505A" w:rsidP="00A7505A"/>
    <w:p w14:paraId="6CBD99B9" w14:textId="77777777" w:rsidR="00A7505A" w:rsidRPr="00201952" w:rsidRDefault="00A7505A" w:rsidP="00201952"/>
    <w:sectPr w:rsidR="00A7505A" w:rsidRPr="00201952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A78C" w14:textId="30658E0C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</w:t>
    </w:r>
    <w:r w:rsidR="0033261E">
      <w:rPr>
        <w:rFonts w:ascii="Arial" w:hAnsi="Arial" w:cs="Arial"/>
        <w:i/>
        <w:iCs/>
        <w:sz w:val="20"/>
        <w:szCs w:val="20"/>
      </w:rPr>
      <w:t xml:space="preserve">4 </w:t>
    </w:r>
    <w:r w:rsidRPr="00B30663">
      <w:rPr>
        <w:rFonts w:ascii="Arial" w:hAnsi="Arial" w:cs="Arial"/>
        <w:sz w:val="20"/>
        <w:szCs w:val="20"/>
      </w:rPr>
      <w:t>(Early Years Alliance 202</w:t>
    </w:r>
    <w:r w:rsidR="0033261E">
      <w:rPr>
        <w:rFonts w:ascii="Arial" w:hAnsi="Arial" w:cs="Arial"/>
        <w:sz w:val="20"/>
        <w:szCs w:val="20"/>
      </w:rPr>
      <w:t>4</w:t>
    </w:r>
    <w:r w:rsidRPr="00B3066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1D091C"/>
    <w:rsid w:val="00201952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261E"/>
    <w:rsid w:val="0033496A"/>
    <w:rsid w:val="003666EC"/>
    <w:rsid w:val="003675D1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62AE0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96B25-3EB7-4372-8D7E-930CD807B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Two Mile ash Pre-School</cp:lastModifiedBy>
  <cp:revision>2</cp:revision>
  <cp:lastPrinted>2011-08-21T11:18:00Z</cp:lastPrinted>
  <dcterms:created xsi:type="dcterms:W3CDTF">2024-10-02T10:31:00Z</dcterms:created>
  <dcterms:modified xsi:type="dcterms:W3CDTF">2024-10-02T10:31:00Z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