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ldx" ContentType="application/vnd.openxmlformats-officedocument.presentationml.slide"/>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48206" w14:textId="77777777" w:rsidR="009D4B69" w:rsidRDefault="00F539BC" w:rsidP="009D4B69">
      <w:pPr>
        <w:rPr>
          <w:b/>
          <w:sz w:val="28"/>
        </w:rPr>
      </w:pPr>
      <w:r>
        <w:rPr>
          <w:b/>
          <w:sz w:val="28"/>
        </w:rPr>
        <w:t>e</w:t>
      </w:r>
    </w:p>
    <w:p w14:paraId="4EDD0AE1" w14:textId="77777777" w:rsidR="001016D3" w:rsidRPr="00274D6B" w:rsidRDefault="001016D3" w:rsidP="009D4B69">
      <w:pPr>
        <w:jc w:val="center"/>
        <w:rPr>
          <w:b/>
          <w:sz w:val="28"/>
        </w:rPr>
      </w:pPr>
      <w:r w:rsidRPr="00274D6B">
        <w:rPr>
          <w:b/>
          <w:sz w:val="28"/>
        </w:rPr>
        <w:t>Hypersensitivity to intravenous iron: classification, terminology,</w:t>
      </w:r>
      <w:r>
        <w:rPr>
          <w:b/>
          <w:sz w:val="28"/>
        </w:rPr>
        <w:t xml:space="preserve"> </w:t>
      </w:r>
      <w:r w:rsidRPr="00274D6B">
        <w:rPr>
          <w:b/>
          <w:sz w:val="28"/>
        </w:rPr>
        <w:t>mechanisms and management</w:t>
      </w:r>
    </w:p>
    <w:p w14:paraId="10F72665" w14:textId="77777777" w:rsidR="001016D3" w:rsidRDefault="001016D3" w:rsidP="009D4B69"/>
    <w:p w14:paraId="74889D32" w14:textId="77777777" w:rsidR="009D4B69" w:rsidRDefault="009D4B69" w:rsidP="009D4B69">
      <w:r w:rsidRPr="009D4B69">
        <w:rPr>
          <w:b/>
        </w:rPr>
        <w:t>Abbreviated title</w:t>
      </w:r>
      <w:r>
        <w:t>: Hypersensitivity reactions to intravenous iron</w:t>
      </w:r>
    </w:p>
    <w:p w14:paraId="38038352" w14:textId="77777777" w:rsidR="009D4B69" w:rsidRDefault="009D4B69" w:rsidP="009D4B69">
      <w:pPr>
        <w:spacing w:after="0"/>
      </w:pPr>
    </w:p>
    <w:p w14:paraId="79D1B9E0" w14:textId="77777777" w:rsidR="001016D3" w:rsidRDefault="009D4B69" w:rsidP="009D4B69">
      <w:pPr>
        <w:spacing w:after="0"/>
        <w:rPr>
          <w:vertAlign w:val="superscript"/>
        </w:rPr>
      </w:pPr>
      <w:r>
        <w:t xml:space="preserve">J. </w:t>
      </w:r>
      <w:r w:rsidR="001016D3" w:rsidRPr="00274D6B">
        <w:t>Szebeni</w:t>
      </w:r>
      <w:r w:rsidR="001016D3" w:rsidRPr="00274D6B">
        <w:rPr>
          <w:vertAlign w:val="superscript"/>
        </w:rPr>
        <w:t>1</w:t>
      </w:r>
      <w:r>
        <w:t>, S.</w:t>
      </w:r>
      <w:r w:rsidR="001016D3" w:rsidRPr="00274D6B">
        <w:t xml:space="preserve"> Fishbane</w:t>
      </w:r>
      <w:r w:rsidR="001016D3" w:rsidRPr="00274D6B">
        <w:rPr>
          <w:vertAlign w:val="superscript"/>
        </w:rPr>
        <w:t>2</w:t>
      </w:r>
      <w:r>
        <w:t xml:space="preserve">, M. </w:t>
      </w:r>
      <w:r w:rsidR="001016D3" w:rsidRPr="00274D6B">
        <w:t>Hedenus</w:t>
      </w:r>
      <w:r w:rsidR="001016D3" w:rsidRPr="00274D6B">
        <w:rPr>
          <w:vertAlign w:val="superscript"/>
        </w:rPr>
        <w:t>3</w:t>
      </w:r>
      <w:r>
        <w:t>, S.</w:t>
      </w:r>
      <w:r w:rsidR="001016D3" w:rsidRPr="00274D6B">
        <w:t xml:space="preserve"> Howaldt</w:t>
      </w:r>
      <w:r w:rsidR="001016D3" w:rsidRPr="00274D6B">
        <w:rPr>
          <w:vertAlign w:val="superscript"/>
        </w:rPr>
        <w:t>4</w:t>
      </w:r>
      <w:r>
        <w:t>, F.</w:t>
      </w:r>
      <w:r w:rsidR="001016D3" w:rsidRPr="00274D6B">
        <w:t xml:space="preserve"> Locatelli</w:t>
      </w:r>
      <w:r w:rsidR="001016D3" w:rsidRPr="00274D6B">
        <w:rPr>
          <w:vertAlign w:val="superscript"/>
        </w:rPr>
        <w:t>5</w:t>
      </w:r>
      <w:r>
        <w:t>, S.</w:t>
      </w:r>
      <w:r w:rsidR="001016D3" w:rsidRPr="00274D6B">
        <w:t xml:space="preserve"> Patni</w:t>
      </w:r>
      <w:r w:rsidR="001016D3" w:rsidRPr="00274D6B">
        <w:rPr>
          <w:vertAlign w:val="superscript"/>
        </w:rPr>
        <w:t>6</w:t>
      </w:r>
      <w:r>
        <w:t>, D.</w:t>
      </w:r>
      <w:r w:rsidR="001016D3" w:rsidRPr="00274D6B">
        <w:t xml:space="preserve"> Rampton</w:t>
      </w:r>
      <w:r w:rsidR="001016D3" w:rsidRPr="00274D6B">
        <w:rPr>
          <w:vertAlign w:val="superscript"/>
        </w:rPr>
        <w:t>7</w:t>
      </w:r>
      <w:r>
        <w:t>, G.</w:t>
      </w:r>
      <w:r w:rsidR="001016D3" w:rsidRPr="00274D6B">
        <w:t xml:space="preserve"> Weiss</w:t>
      </w:r>
      <w:r w:rsidR="001016D3" w:rsidRPr="00274D6B">
        <w:rPr>
          <w:vertAlign w:val="superscript"/>
        </w:rPr>
        <w:t>8</w:t>
      </w:r>
      <w:r>
        <w:t>, J.</w:t>
      </w:r>
      <w:r w:rsidR="001016D3" w:rsidRPr="00274D6B">
        <w:t xml:space="preserve"> Folkersen</w:t>
      </w:r>
      <w:r w:rsidR="001016D3" w:rsidRPr="00274D6B">
        <w:rPr>
          <w:vertAlign w:val="superscript"/>
        </w:rPr>
        <w:t>9</w:t>
      </w:r>
    </w:p>
    <w:p w14:paraId="7DD4C573" w14:textId="77777777" w:rsidR="001016D3" w:rsidRDefault="001016D3" w:rsidP="00274D6B">
      <w:pPr>
        <w:spacing w:after="0"/>
        <w:rPr>
          <w:vertAlign w:val="superscript"/>
        </w:rPr>
      </w:pPr>
    </w:p>
    <w:p w14:paraId="66A7CF60" w14:textId="77777777" w:rsidR="001016D3" w:rsidRPr="00274D6B" w:rsidRDefault="001016D3" w:rsidP="00274D6B">
      <w:pPr>
        <w:spacing w:after="0"/>
      </w:pPr>
    </w:p>
    <w:p w14:paraId="4ECB86CB" w14:textId="77777777" w:rsidR="001016D3" w:rsidRPr="00274D6B" w:rsidRDefault="001016D3" w:rsidP="003A52CA">
      <w:pPr>
        <w:spacing w:after="0"/>
        <w:ind w:left="180" w:hanging="180"/>
      </w:pPr>
      <w:r w:rsidRPr="00274D6B">
        <w:rPr>
          <w:vertAlign w:val="superscript"/>
          <w:lang w:val="it-IT"/>
        </w:rPr>
        <w:t>1</w:t>
      </w:r>
      <w:r w:rsidRPr="00274D6B">
        <w:t xml:space="preserve">Nanomedicine Research and Education Center, Semmelweis University, Budapest, </w:t>
      </w:r>
      <w:r w:rsidR="003A52CA">
        <w:t xml:space="preserve">and  Dept. Nanobiotechnology and Regenerative Medicine, Miskolc University, </w:t>
      </w:r>
      <w:r w:rsidRPr="00274D6B">
        <w:t>Hungary</w:t>
      </w:r>
    </w:p>
    <w:p w14:paraId="70FEE951" w14:textId="77777777" w:rsidR="001016D3" w:rsidRPr="00274D6B" w:rsidRDefault="001016D3" w:rsidP="00274D6B">
      <w:pPr>
        <w:spacing w:after="0"/>
      </w:pPr>
      <w:r w:rsidRPr="00274D6B">
        <w:rPr>
          <w:vertAlign w:val="superscript"/>
          <w:lang w:val="it-IT"/>
        </w:rPr>
        <w:t>2</w:t>
      </w:r>
      <w:r w:rsidRPr="00274D6B">
        <w:t xml:space="preserve">Hofstra North Shore-LIJ School of Medicine, New York, USA </w:t>
      </w:r>
    </w:p>
    <w:p w14:paraId="7E49C4E1" w14:textId="77777777" w:rsidR="001016D3" w:rsidRPr="00274D6B" w:rsidRDefault="001016D3" w:rsidP="00274D6B">
      <w:pPr>
        <w:spacing w:after="0"/>
      </w:pPr>
      <w:r w:rsidRPr="00274D6B">
        <w:rPr>
          <w:vertAlign w:val="superscript"/>
        </w:rPr>
        <w:t>3</w:t>
      </w:r>
      <w:r w:rsidR="005548D7">
        <w:rPr>
          <w:lang w:val="it-IT"/>
        </w:rPr>
        <w:t>Department for Internal Medicine, S</w:t>
      </w:r>
      <w:r w:rsidRPr="00274D6B">
        <w:t>undsvalls Hospital, Sundsvall, Sweden</w:t>
      </w:r>
    </w:p>
    <w:p w14:paraId="6F12E0B3" w14:textId="77777777" w:rsidR="001016D3" w:rsidRPr="00274D6B" w:rsidRDefault="001016D3" w:rsidP="00274D6B">
      <w:pPr>
        <w:spacing w:after="0"/>
        <w:rPr>
          <w:lang w:val="it-IT"/>
        </w:rPr>
      </w:pPr>
      <w:r w:rsidRPr="00274D6B">
        <w:rPr>
          <w:vertAlign w:val="superscript"/>
          <w:lang w:val="it-IT"/>
        </w:rPr>
        <w:t>4</w:t>
      </w:r>
      <w:r w:rsidRPr="00274D6B">
        <w:rPr>
          <w:lang w:val="it-IT"/>
        </w:rPr>
        <w:t>Research Institute for IBD, HaFCED GmbH&amp;Co.KG, Hamburg, Germany</w:t>
      </w:r>
    </w:p>
    <w:p w14:paraId="424321B2" w14:textId="77777777" w:rsidR="001016D3" w:rsidRPr="00274D6B" w:rsidRDefault="001016D3" w:rsidP="00274D6B">
      <w:pPr>
        <w:spacing w:after="0"/>
        <w:rPr>
          <w:lang w:val="it-IT"/>
        </w:rPr>
      </w:pPr>
      <w:r w:rsidRPr="00274D6B">
        <w:rPr>
          <w:vertAlign w:val="superscript"/>
          <w:lang w:val="it-IT"/>
        </w:rPr>
        <w:t>5</w:t>
      </w:r>
      <w:r w:rsidRPr="00274D6B">
        <w:rPr>
          <w:lang w:val="it-IT"/>
        </w:rPr>
        <w:t xml:space="preserve">Alessandro Manzoni Hospital, </w:t>
      </w:r>
      <w:r w:rsidR="003C65AD">
        <w:rPr>
          <w:color w:val="000000" w:themeColor="text1"/>
        </w:rPr>
        <w:t xml:space="preserve">Department of Nephrology, </w:t>
      </w:r>
      <w:r w:rsidRPr="00274D6B">
        <w:rPr>
          <w:lang w:val="it-IT"/>
        </w:rPr>
        <w:t>Lecco, Italy</w:t>
      </w:r>
    </w:p>
    <w:p w14:paraId="24708E72" w14:textId="77777777" w:rsidR="001016D3" w:rsidRPr="00274D6B" w:rsidRDefault="001016D3" w:rsidP="00274D6B">
      <w:pPr>
        <w:spacing w:after="0"/>
      </w:pPr>
      <w:r w:rsidRPr="00274D6B">
        <w:rPr>
          <w:vertAlign w:val="superscript"/>
          <w:lang w:val="it-IT"/>
        </w:rPr>
        <w:t>6</w:t>
      </w:r>
      <w:r w:rsidRPr="00274D6B">
        <w:rPr>
          <w:lang w:val="it-IT"/>
        </w:rPr>
        <w:t xml:space="preserve">Birmingham Heartlands Hospital, Birmingham, UK. </w:t>
      </w:r>
    </w:p>
    <w:p w14:paraId="0D156AA8" w14:textId="77777777" w:rsidR="001016D3" w:rsidRPr="00274D6B" w:rsidRDefault="001016D3" w:rsidP="00274D6B">
      <w:pPr>
        <w:spacing w:after="0"/>
      </w:pPr>
      <w:r w:rsidRPr="00274D6B">
        <w:rPr>
          <w:vertAlign w:val="superscript"/>
        </w:rPr>
        <w:t>7</w:t>
      </w:r>
      <w:r w:rsidRPr="00274D6B">
        <w:t>Barts and the London School of Medicine and Dentistry, London, UK</w:t>
      </w:r>
    </w:p>
    <w:p w14:paraId="09A96E33" w14:textId="77777777" w:rsidR="001016D3" w:rsidRPr="00274D6B" w:rsidRDefault="001016D3" w:rsidP="00274D6B">
      <w:pPr>
        <w:spacing w:after="0"/>
        <w:rPr>
          <w:lang w:val="it-IT"/>
        </w:rPr>
      </w:pPr>
      <w:r w:rsidRPr="00274D6B">
        <w:rPr>
          <w:vertAlign w:val="superscript"/>
          <w:lang w:val="it-IT"/>
        </w:rPr>
        <w:t>8</w:t>
      </w:r>
      <w:r w:rsidRPr="00274D6B">
        <w:rPr>
          <w:lang w:val="it-IT"/>
        </w:rPr>
        <w:t>Department for Internal Medicine VI, Medical University of Innsbruck, Austria</w:t>
      </w:r>
    </w:p>
    <w:p w14:paraId="43F552B9" w14:textId="77777777" w:rsidR="001016D3" w:rsidRPr="00274D6B" w:rsidRDefault="001016D3" w:rsidP="00274D6B">
      <w:pPr>
        <w:spacing w:after="0"/>
        <w:rPr>
          <w:lang w:val="it-IT"/>
        </w:rPr>
      </w:pPr>
      <w:r w:rsidRPr="00274D6B">
        <w:rPr>
          <w:vertAlign w:val="superscript"/>
        </w:rPr>
        <w:t>9</w:t>
      </w:r>
      <w:r w:rsidRPr="00274D6B">
        <w:rPr>
          <w:lang w:val="it-IT"/>
        </w:rPr>
        <w:t xml:space="preserve">Medbusiness, Farum, Denmark </w:t>
      </w:r>
    </w:p>
    <w:p w14:paraId="357365E3" w14:textId="77777777" w:rsidR="001016D3" w:rsidRDefault="001016D3" w:rsidP="00EB6C28"/>
    <w:p w14:paraId="271897C6" w14:textId="77777777" w:rsidR="009D4B69" w:rsidRDefault="009D4B69" w:rsidP="00EB6C28"/>
    <w:p w14:paraId="75834664" w14:textId="77777777" w:rsidR="001016D3" w:rsidRPr="001E1B50" w:rsidRDefault="001016D3" w:rsidP="001E1B50">
      <w:pPr>
        <w:spacing w:after="0"/>
        <w:rPr>
          <w:i/>
        </w:rPr>
      </w:pPr>
      <w:r w:rsidRPr="001E1B50">
        <w:rPr>
          <w:i/>
        </w:rPr>
        <w:t xml:space="preserve">Corresponding author: </w:t>
      </w:r>
    </w:p>
    <w:p w14:paraId="483064C3" w14:textId="77777777" w:rsidR="001016D3" w:rsidRDefault="001016D3" w:rsidP="001E1B50">
      <w:pPr>
        <w:spacing w:after="0"/>
      </w:pPr>
    </w:p>
    <w:p w14:paraId="03965F31" w14:textId="77777777" w:rsidR="001016D3" w:rsidRDefault="001016D3" w:rsidP="001E1B50">
      <w:pPr>
        <w:spacing w:after="0"/>
      </w:pPr>
      <w:r w:rsidRPr="00274D6B">
        <w:t>Janos Szebeni</w:t>
      </w:r>
      <w:r>
        <w:t>, MD, PhD, D.Sc.</w:t>
      </w:r>
    </w:p>
    <w:p w14:paraId="3ACE7FD1" w14:textId="77777777" w:rsidR="001016D3" w:rsidRDefault="001016D3" w:rsidP="001E1B50">
      <w:pPr>
        <w:spacing w:after="0"/>
      </w:pPr>
      <w:r w:rsidRPr="00274D6B">
        <w:t>Nanomedicine Research and Education</w:t>
      </w:r>
      <w:r>
        <w:t xml:space="preserve"> Center, Semmelweis University</w:t>
      </w:r>
    </w:p>
    <w:p w14:paraId="1F0A446D" w14:textId="77777777" w:rsidR="001016D3" w:rsidRDefault="001016D3" w:rsidP="001E1B50">
      <w:pPr>
        <w:spacing w:after="0"/>
      </w:pPr>
      <w:r>
        <w:t xml:space="preserve">1085 Budapest, Nagyvárad tér 4, </w:t>
      </w:r>
      <w:r w:rsidRPr="00274D6B">
        <w:t>Hungary</w:t>
      </w:r>
    </w:p>
    <w:p w14:paraId="67EFD8B8" w14:textId="77777777" w:rsidR="001016D3" w:rsidRDefault="001016D3" w:rsidP="001E1B50">
      <w:pPr>
        <w:spacing w:after="0"/>
      </w:pPr>
      <w:r>
        <w:t>Phone: 36-30-415-0007</w:t>
      </w:r>
    </w:p>
    <w:p w14:paraId="775A03DA" w14:textId="77777777" w:rsidR="001016D3" w:rsidRPr="00274D6B" w:rsidRDefault="001016D3" w:rsidP="001E1B50">
      <w:pPr>
        <w:spacing w:after="0"/>
      </w:pPr>
      <w:r>
        <w:t>E-mail: jszebeni2@gmail.com</w:t>
      </w:r>
    </w:p>
    <w:p w14:paraId="5352A972" w14:textId="77777777" w:rsidR="001016D3" w:rsidRDefault="001016D3" w:rsidP="00274D6B">
      <w:pPr>
        <w:spacing w:after="0"/>
      </w:pPr>
    </w:p>
    <w:p w14:paraId="253B5FF2" w14:textId="77777777" w:rsidR="001016D3" w:rsidRDefault="001016D3">
      <w:pPr>
        <w:spacing w:after="0"/>
      </w:pPr>
      <w:r>
        <w:br w:type="page"/>
      </w:r>
    </w:p>
    <w:p w14:paraId="71DC7F1C" w14:textId="77777777" w:rsidR="001016D3" w:rsidRDefault="001016D3" w:rsidP="00274D6B">
      <w:pPr>
        <w:spacing w:after="0"/>
      </w:pPr>
    </w:p>
    <w:p w14:paraId="330537DB" w14:textId="77777777" w:rsidR="009D4B69" w:rsidRDefault="009D4B69" w:rsidP="00274D6B">
      <w:pPr>
        <w:spacing w:after="0"/>
      </w:pPr>
    </w:p>
    <w:p w14:paraId="6A3C8893" w14:textId="77777777" w:rsidR="009D4B69" w:rsidRPr="00274D6B" w:rsidRDefault="009D4B69" w:rsidP="00274D6B">
      <w:pPr>
        <w:spacing w:after="0"/>
      </w:pPr>
    </w:p>
    <w:p w14:paraId="2F505C33" w14:textId="77777777" w:rsidR="001016D3" w:rsidRDefault="001016D3" w:rsidP="009A66C0">
      <w:pPr>
        <w:pStyle w:val="Style1"/>
        <w:spacing w:after="0"/>
      </w:pPr>
      <w:r w:rsidRPr="001E1B50">
        <w:t>Abbreviations</w:t>
      </w:r>
    </w:p>
    <w:p w14:paraId="38EDE07A" w14:textId="77777777" w:rsidR="000E23EA" w:rsidRPr="001E1B50" w:rsidRDefault="000E23EA" w:rsidP="009A66C0">
      <w:pPr>
        <w:pStyle w:val="Style1"/>
        <w:spacing w:after="0"/>
      </w:pPr>
    </w:p>
    <w:p w14:paraId="18C97AE5" w14:textId="77777777" w:rsidR="009D4B69" w:rsidRPr="000E23EA" w:rsidRDefault="000E23EA" w:rsidP="009A66C0">
      <w:pPr>
        <w:ind w:left="360"/>
      </w:pPr>
      <w:r w:rsidRPr="000E23EA">
        <w:t>ACE (</w:t>
      </w:r>
      <w:r w:rsidR="009D4B69" w:rsidRPr="000E23EA">
        <w:t>Angiotensin Converting Enzyme</w:t>
      </w:r>
      <w:r w:rsidRPr="000E23EA">
        <w:t>)</w:t>
      </w:r>
    </w:p>
    <w:p w14:paraId="047C5D1D" w14:textId="77777777" w:rsidR="009D4B69" w:rsidRPr="000E23EA" w:rsidRDefault="000E23EA" w:rsidP="009A66C0">
      <w:pPr>
        <w:ind w:left="360"/>
      </w:pPr>
      <w:r w:rsidRPr="000E23EA">
        <w:t>ADRs</w:t>
      </w:r>
      <w:r w:rsidR="009D4B69" w:rsidRPr="000E23EA">
        <w:t xml:space="preserve"> </w:t>
      </w:r>
      <w:r w:rsidRPr="000E23EA">
        <w:t>(</w:t>
      </w:r>
      <w:r w:rsidR="009D4B69" w:rsidRPr="000E23EA">
        <w:t>Adverse drug reactions</w:t>
      </w:r>
      <w:r w:rsidRPr="000E23EA">
        <w:t>)</w:t>
      </w:r>
    </w:p>
    <w:p w14:paraId="320CE4AC" w14:textId="77777777" w:rsidR="009D4B69" w:rsidRPr="000E23EA" w:rsidRDefault="000E23EA" w:rsidP="009A66C0">
      <w:pPr>
        <w:ind w:left="360"/>
      </w:pPr>
      <w:r w:rsidRPr="000E23EA">
        <w:t>API</w:t>
      </w:r>
      <w:r w:rsidR="009D4B69" w:rsidRPr="000E23EA">
        <w:t xml:space="preserve"> </w:t>
      </w:r>
      <w:r w:rsidRPr="000E23EA">
        <w:t>(</w:t>
      </w:r>
      <w:r w:rsidR="009D4B69" w:rsidRPr="000E23EA">
        <w:t>active pharmaceutical ingredient</w:t>
      </w:r>
      <w:r w:rsidRPr="000E23EA">
        <w:t>)</w:t>
      </w:r>
      <w:r w:rsidR="009D4B69" w:rsidRPr="000E23EA">
        <w:t xml:space="preserve"> </w:t>
      </w:r>
    </w:p>
    <w:p w14:paraId="33AD6ABC" w14:textId="77777777" w:rsidR="009D4B69" w:rsidRPr="000E23EA" w:rsidRDefault="000E23EA" w:rsidP="009A66C0">
      <w:pPr>
        <w:ind w:left="360"/>
      </w:pPr>
      <w:r w:rsidRPr="000E23EA">
        <w:t>C</w:t>
      </w:r>
      <w:r w:rsidR="009D4B69" w:rsidRPr="000E23EA">
        <w:t xml:space="preserve"> </w:t>
      </w:r>
      <w:r w:rsidRPr="000E23EA">
        <w:t>(</w:t>
      </w:r>
      <w:r w:rsidR="009D4B69" w:rsidRPr="000E23EA">
        <w:t>Complement</w:t>
      </w:r>
      <w:r w:rsidRPr="000E23EA">
        <w:t>)</w:t>
      </w:r>
    </w:p>
    <w:p w14:paraId="1EE47661" w14:textId="77777777" w:rsidR="009D4B69" w:rsidRPr="000E23EA" w:rsidRDefault="000E23EA" w:rsidP="009A66C0">
      <w:pPr>
        <w:ind w:left="360"/>
      </w:pPr>
      <w:r w:rsidRPr="000E23EA">
        <w:t>CARPA</w:t>
      </w:r>
      <w:r w:rsidR="009D4B69" w:rsidRPr="000E23EA">
        <w:t xml:space="preserve"> </w:t>
      </w:r>
      <w:r w:rsidRPr="000E23EA">
        <w:t>(</w:t>
      </w:r>
      <w:r w:rsidR="009D4B69" w:rsidRPr="000E23EA">
        <w:t>Complement activation-related pseudoallergy</w:t>
      </w:r>
      <w:r w:rsidRPr="000E23EA">
        <w:t>)</w:t>
      </w:r>
    </w:p>
    <w:p w14:paraId="3D9E370A" w14:textId="77777777" w:rsidR="009D4B69" w:rsidRPr="000E23EA" w:rsidRDefault="000E23EA" w:rsidP="009A66C0">
      <w:pPr>
        <w:ind w:left="360"/>
      </w:pPr>
      <w:r w:rsidRPr="000E23EA">
        <w:t>CHMP</w:t>
      </w:r>
      <w:r w:rsidR="009D4B69" w:rsidRPr="000E23EA">
        <w:t xml:space="preserve"> </w:t>
      </w:r>
      <w:r w:rsidRPr="000E23EA">
        <w:t>(</w:t>
      </w:r>
      <w:r w:rsidR="009D4B69" w:rsidRPr="000E23EA">
        <w:rPr>
          <w:bCs/>
        </w:rPr>
        <w:t>Committee for Medicinal Products for Human Use</w:t>
      </w:r>
      <w:r w:rsidRPr="000E23EA">
        <w:t>)</w:t>
      </w:r>
    </w:p>
    <w:p w14:paraId="79B23F44" w14:textId="77777777" w:rsidR="009D4B69" w:rsidRPr="000E23EA" w:rsidRDefault="000E23EA" w:rsidP="009A66C0">
      <w:pPr>
        <w:ind w:left="360"/>
      </w:pPr>
      <w:r w:rsidRPr="000E23EA">
        <w:t>EMA</w:t>
      </w:r>
      <w:r w:rsidR="009D4B69" w:rsidRPr="000E23EA">
        <w:t xml:space="preserve"> </w:t>
      </w:r>
      <w:r w:rsidRPr="000E23EA">
        <w:t>(</w:t>
      </w:r>
      <w:r w:rsidR="009D4B69" w:rsidRPr="000E23EA">
        <w:t>European Medicinal Agency</w:t>
      </w:r>
      <w:r w:rsidRPr="000E23EA">
        <w:t>)</w:t>
      </w:r>
    </w:p>
    <w:p w14:paraId="4631FC3A" w14:textId="77777777" w:rsidR="009D4B69" w:rsidRPr="000E23EA" w:rsidRDefault="000E23EA" w:rsidP="009A66C0">
      <w:pPr>
        <w:ind w:left="360"/>
      </w:pPr>
      <w:r w:rsidRPr="000E23EA">
        <w:t>HMW-ID</w:t>
      </w:r>
      <w:r w:rsidR="009D4B69" w:rsidRPr="000E23EA">
        <w:t xml:space="preserve"> </w:t>
      </w:r>
      <w:r w:rsidRPr="000E23EA">
        <w:t>(</w:t>
      </w:r>
      <w:r w:rsidR="009D4B69" w:rsidRPr="000E23EA">
        <w:t>High molecular weight iron dextran</w:t>
      </w:r>
      <w:r w:rsidRPr="000E23EA">
        <w:t>)</w:t>
      </w:r>
    </w:p>
    <w:p w14:paraId="06A625E6" w14:textId="77777777" w:rsidR="009D4B69" w:rsidRPr="000E23EA" w:rsidRDefault="000E23EA" w:rsidP="009A66C0">
      <w:pPr>
        <w:ind w:left="360"/>
      </w:pPr>
      <w:r w:rsidRPr="000E23EA">
        <w:t>HSRs</w:t>
      </w:r>
      <w:r w:rsidR="009D4B69" w:rsidRPr="000E23EA">
        <w:t xml:space="preserve"> </w:t>
      </w:r>
      <w:r w:rsidRPr="000E23EA">
        <w:t>(</w:t>
      </w:r>
      <w:r w:rsidR="009D4B69" w:rsidRPr="000E23EA">
        <w:t>Hypersensitivity reactions</w:t>
      </w:r>
      <w:r w:rsidRPr="000E23EA">
        <w:t>)</w:t>
      </w:r>
    </w:p>
    <w:p w14:paraId="2F08A074" w14:textId="77777777" w:rsidR="009D4B69" w:rsidRPr="000E23EA" w:rsidRDefault="000E23EA" w:rsidP="009A66C0">
      <w:pPr>
        <w:ind w:left="360"/>
      </w:pPr>
      <w:r w:rsidRPr="000E23EA">
        <w:t>ID</w:t>
      </w:r>
      <w:r w:rsidR="009D4B69" w:rsidRPr="000E23EA">
        <w:t xml:space="preserve"> </w:t>
      </w:r>
      <w:r w:rsidRPr="000E23EA">
        <w:t>(</w:t>
      </w:r>
      <w:r w:rsidR="009D4B69" w:rsidRPr="000E23EA">
        <w:t>Intravenous dextran</w:t>
      </w:r>
      <w:r w:rsidRPr="000E23EA">
        <w:t>)</w:t>
      </w:r>
    </w:p>
    <w:p w14:paraId="790048F2" w14:textId="77777777" w:rsidR="009D4B69" w:rsidRPr="000E23EA" w:rsidRDefault="000E23EA" w:rsidP="009A66C0">
      <w:pPr>
        <w:ind w:left="360"/>
      </w:pPr>
      <w:r w:rsidRPr="000E23EA">
        <w:t>IV</w:t>
      </w:r>
      <w:r w:rsidR="009D4B69" w:rsidRPr="000E23EA">
        <w:t xml:space="preserve"> </w:t>
      </w:r>
      <w:r w:rsidRPr="000E23EA">
        <w:t>(</w:t>
      </w:r>
      <w:r w:rsidR="009D4B69" w:rsidRPr="000E23EA">
        <w:t>Intravenous</w:t>
      </w:r>
      <w:r w:rsidRPr="000E23EA">
        <w:t>)</w:t>
      </w:r>
    </w:p>
    <w:p w14:paraId="1AFB5EB5" w14:textId="77777777" w:rsidR="009D4B69" w:rsidRPr="000E23EA" w:rsidRDefault="000E23EA" w:rsidP="009A66C0">
      <w:pPr>
        <w:ind w:left="360"/>
      </w:pPr>
      <w:r w:rsidRPr="000E23EA">
        <w:t>IV-iron</w:t>
      </w:r>
      <w:r w:rsidR="009D4B69" w:rsidRPr="000E23EA">
        <w:t xml:space="preserve"> </w:t>
      </w:r>
      <w:r w:rsidRPr="000E23EA">
        <w:t>(</w:t>
      </w:r>
      <w:r w:rsidR="009D4B69" w:rsidRPr="000E23EA">
        <w:t>Intravenous iron</w:t>
      </w:r>
      <w:r w:rsidRPr="000E23EA">
        <w:t>)</w:t>
      </w:r>
    </w:p>
    <w:p w14:paraId="386D03B8" w14:textId="77777777" w:rsidR="009D4B69" w:rsidRPr="000E23EA" w:rsidRDefault="000E23EA" w:rsidP="009A66C0">
      <w:pPr>
        <w:ind w:left="360"/>
      </w:pPr>
      <w:r w:rsidRPr="000E23EA">
        <w:t>L-Dox</w:t>
      </w:r>
      <w:r w:rsidR="009D4B69" w:rsidRPr="000E23EA">
        <w:t xml:space="preserve"> </w:t>
      </w:r>
      <w:r w:rsidRPr="000E23EA">
        <w:t>(</w:t>
      </w:r>
      <w:r w:rsidR="009D4B69" w:rsidRPr="000E23EA">
        <w:t>Doxorubicin-HCl Liposome (Doxil = Caelyx)</w:t>
      </w:r>
    </w:p>
    <w:p w14:paraId="49348C00" w14:textId="77777777" w:rsidR="009D4B69" w:rsidRPr="000E23EA" w:rsidRDefault="000E23EA" w:rsidP="009A66C0">
      <w:pPr>
        <w:ind w:left="360"/>
      </w:pPr>
      <w:r w:rsidRPr="000E23EA">
        <w:t>LMW-ID</w:t>
      </w:r>
      <w:r w:rsidR="009D4B69" w:rsidRPr="000E23EA">
        <w:t xml:space="preserve"> </w:t>
      </w:r>
      <w:r w:rsidRPr="000E23EA">
        <w:t>(</w:t>
      </w:r>
      <w:r w:rsidR="009D4B69" w:rsidRPr="000E23EA">
        <w:t>Low molecular weight iron dextran</w:t>
      </w:r>
      <w:r w:rsidRPr="000E23EA">
        <w:t>)</w:t>
      </w:r>
    </w:p>
    <w:p w14:paraId="7FEBB3E3" w14:textId="77777777" w:rsidR="009D4B69" w:rsidRPr="000E23EA" w:rsidRDefault="000E23EA" w:rsidP="009A66C0">
      <w:pPr>
        <w:ind w:left="360"/>
      </w:pPr>
      <w:r w:rsidRPr="000E23EA">
        <w:t>LRP</w:t>
      </w:r>
      <w:r w:rsidR="009D4B69" w:rsidRPr="000E23EA">
        <w:t xml:space="preserve"> </w:t>
      </w:r>
      <w:r w:rsidRPr="000E23EA">
        <w:t>(</w:t>
      </w:r>
      <w:r w:rsidR="009D4B69" w:rsidRPr="000E23EA">
        <w:t>low-risk protocol</w:t>
      </w:r>
    </w:p>
    <w:p w14:paraId="10610E25" w14:textId="77777777" w:rsidR="009D4B69" w:rsidRPr="000E23EA" w:rsidRDefault="000E23EA" w:rsidP="009A66C0">
      <w:pPr>
        <w:ind w:left="360"/>
      </w:pPr>
      <w:r w:rsidRPr="000E23EA">
        <w:t>Mab</w:t>
      </w:r>
      <w:r w:rsidR="009D4B69" w:rsidRPr="000E23EA">
        <w:t xml:space="preserve"> </w:t>
      </w:r>
      <w:r w:rsidRPr="000E23EA">
        <w:t>(</w:t>
      </w:r>
      <w:r w:rsidR="009D4B69" w:rsidRPr="000E23EA">
        <w:t xml:space="preserve">Monoclonal antibody </w:t>
      </w:r>
    </w:p>
    <w:p w14:paraId="76684C86" w14:textId="77777777" w:rsidR="009D4B69" w:rsidRPr="000E23EA" w:rsidRDefault="000E23EA" w:rsidP="009A66C0">
      <w:pPr>
        <w:ind w:left="360"/>
      </w:pPr>
      <w:r w:rsidRPr="000E23EA">
        <w:t>WAO (</w:t>
      </w:r>
      <w:r w:rsidR="009D4B69" w:rsidRPr="000E23EA">
        <w:t>World Allergy Organisation</w:t>
      </w:r>
      <w:r w:rsidRPr="000E23EA">
        <w:t>)</w:t>
      </w:r>
    </w:p>
    <w:p w14:paraId="1A4C9B88" w14:textId="77777777" w:rsidR="009D4B69" w:rsidRDefault="009D4B69">
      <w:pPr>
        <w:spacing w:after="0"/>
        <w:rPr>
          <w:i/>
        </w:rPr>
      </w:pPr>
      <w:r>
        <w:br w:type="page"/>
      </w:r>
    </w:p>
    <w:p w14:paraId="07F764C9" w14:textId="77777777" w:rsidR="001016D3" w:rsidRDefault="001016D3" w:rsidP="00EB6C28">
      <w:pPr>
        <w:pStyle w:val="Style1"/>
      </w:pPr>
    </w:p>
    <w:p w14:paraId="38E22539" w14:textId="77777777" w:rsidR="001016D3" w:rsidRPr="001E1B50" w:rsidRDefault="001016D3" w:rsidP="00EB6C28">
      <w:pPr>
        <w:pStyle w:val="Style1"/>
      </w:pPr>
      <w:r w:rsidRPr="001E1B50">
        <w:t>Abstract</w:t>
      </w:r>
    </w:p>
    <w:p w14:paraId="56BACA02" w14:textId="77777777" w:rsidR="001016D3" w:rsidRDefault="001016D3" w:rsidP="00EB6C28">
      <w:r w:rsidRPr="008770C7">
        <w:t xml:space="preserve">Intravenous (IV) iron therapy is widely used in iron deficiency anemias when oral iron is not tolerated or </w:t>
      </w:r>
      <w:r>
        <w:t>in</w:t>
      </w:r>
      <w:r w:rsidRPr="008770C7">
        <w:t xml:space="preserve">effective. </w:t>
      </w:r>
      <w:r w:rsidR="00B05C9A" w:rsidRPr="00F539BC">
        <w:rPr>
          <w:color w:val="FF0000"/>
          <w:szCs w:val="24"/>
          <w:shd w:val="clear" w:color="auto" w:fill="auto"/>
          <w:lang w:val="en-GB" w:eastAsia="en-GB"/>
        </w:rPr>
        <w:t>Administration of IV</w:t>
      </w:r>
      <w:r w:rsidR="00964757" w:rsidRPr="00F539BC">
        <w:rPr>
          <w:color w:val="FF0000"/>
          <w:szCs w:val="24"/>
          <w:shd w:val="clear" w:color="auto" w:fill="auto"/>
          <w:lang w:val="en-GB" w:eastAsia="en-GB"/>
        </w:rPr>
        <w:t xml:space="preserve"> </w:t>
      </w:r>
      <w:r w:rsidR="00B05C9A" w:rsidRPr="00F539BC">
        <w:rPr>
          <w:color w:val="FF0000"/>
          <w:szCs w:val="24"/>
          <w:shd w:val="clear" w:color="auto" w:fill="auto"/>
          <w:lang w:val="en-GB" w:eastAsia="en-GB"/>
        </w:rPr>
        <w:t>iron</w:t>
      </w:r>
      <w:r w:rsidR="00B05C9A" w:rsidRPr="00964757">
        <w:rPr>
          <w:szCs w:val="24"/>
          <w:shd w:val="clear" w:color="auto" w:fill="auto"/>
          <w:lang w:val="en-GB" w:eastAsia="en-GB"/>
        </w:rPr>
        <w:t xml:space="preserve"> is considered a </w:t>
      </w:r>
      <w:r w:rsidRPr="008770C7">
        <w:t xml:space="preserve">safe procedure, but severe hypersensitivity reactions (HSRs) can occur at a very low frequency.  Recently, new guidelines have been published by </w:t>
      </w:r>
      <w:r>
        <w:t>the European Medicines Agency (</w:t>
      </w:r>
      <w:r w:rsidRPr="008770C7">
        <w:t>EMA</w:t>
      </w:r>
      <w:r>
        <w:t>)</w:t>
      </w:r>
      <w:r w:rsidRPr="008770C7">
        <w:t xml:space="preserve"> with the intention of making IV-iron therapy safer; however, </w:t>
      </w:r>
      <w:r w:rsidR="00A47E6E">
        <w:t>the</w:t>
      </w:r>
      <w:r w:rsidRPr="008770C7">
        <w:t xml:space="preserve"> current </w:t>
      </w:r>
      <w:r w:rsidR="00A47E6E">
        <w:t xml:space="preserve">protocols </w:t>
      </w:r>
      <w:r w:rsidRPr="008770C7">
        <w:t>are still non</w:t>
      </w:r>
      <w:r>
        <w:t>-</w:t>
      </w:r>
      <w:r w:rsidRPr="008770C7">
        <w:t xml:space="preserve">specific, non-evidence-based empiric measures which neglect the fact that the majority of IV-iron reactions are </w:t>
      </w:r>
      <w:r w:rsidR="00A47E6E">
        <w:t xml:space="preserve">not Ig-E-mediated </w:t>
      </w:r>
      <w:r w:rsidR="00763A09">
        <w:t>anaphylactic reactions.  T</w:t>
      </w:r>
      <w:r w:rsidRPr="008770C7">
        <w:t xml:space="preserve">he field would benefit from new specific and effective methods for the prevention and treatment of these </w:t>
      </w:r>
      <w:r w:rsidR="00763A09">
        <w:t xml:space="preserve">HSRs, and the main goal of this review was to highlight a possible new approach based on the assumption that IV-iron reactions represent complement (C) activation-related </w:t>
      </w:r>
      <w:r w:rsidR="00964757">
        <w:t xml:space="preserve">pseudo allergy </w:t>
      </w:r>
      <w:r w:rsidR="00763A09">
        <w:t xml:space="preserve">(CARPA), at least in part. </w:t>
      </w:r>
      <w:r w:rsidRPr="008770C7" w:rsidDel="0069657A">
        <w:t xml:space="preserve"> </w:t>
      </w:r>
      <w:r w:rsidRPr="008770C7">
        <w:t xml:space="preserve">The </w:t>
      </w:r>
      <w:r w:rsidR="00763A09">
        <w:t xml:space="preserve">review </w:t>
      </w:r>
      <w:r w:rsidRPr="008770C7">
        <w:t>compare</w:t>
      </w:r>
      <w:r w:rsidR="00763A09">
        <w:t>s</w:t>
      </w:r>
      <w:r w:rsidRPr="008770C7">
        <w:t xml:space="preserve"> the features of IV-iron reactions to those of immune and non-immune HSRs caused by a variety of other infused drugs and thus make indirect inferences on IV-iron</w:t>
      </w:r>
      <w:r w:rsidR="00763A09">
        <w:t xml:space="preserve"> reactions</w:t>
      </w:r>
      <w:r w:rsidRPr="008770C7">
        <w:t xml:space="preserve">.  The process of comparison highlights many unresolved issues in allergy research, such as the unsettled terminology, multiple redundant classifications and a lack of </w:t>
      </w:r>
      <w:r w:rsidR="00681304">
        <w:t xml:space="preserve">validated </w:t>
      </w:r>
      <w:r w:rsidRPr="008770C7">
        <w:t xml:space="preserve">animal models and </w:t>
      </w:r>
      <w:r w:rsidRPr="008770C7">
        <w:rPr>
          <w:i/>
        </w:rPr>
        <w:t>lege artis</w:t>
      </w:r>
      <w:r w:rsidRPr="008770C7">
        <w:t xml:space="preserve"> clinical studies.  </w:t>
      </w:r>
      <w:r w:rsidR="00763A09">
        <w:t xml:space="preserve">Facts and arguments are listed in support of the involvement of CARPA in IV-iron reactions, and the review </w:t>
      </w:r>
      <w:r w:rsidR="002B141D">
        <w:t>addresses</w:t>
      </w:r>
      <w:r w:rsidR="006D21D2">
        <w:t xml:space="preserve"> the </w:t>
      </w:r>
      <w:r w:rsidR="002B141D">
        <w:t xml:space="preserve">mechanism of </w:t>
      </w:r>
      <w:r w:rsidR="006D21D2">
        <w:t>low reactogenic administration protocols (LRPs) based on slow</w:t>
      </w:r>
      <w:r w:rsidRPr="008770C7">
        <w:t xml:space="preserve"> </w:t>
      </w:r>
      <w:r w:rsidR="006D21D2">
        <w:t>infusion.  It</w:t>
      </w:r>
      <w:r>
        <w:t xml:space="preserve"> </w:t>
      </w:r>
      <w:r w:rsidR="002B141D">
        <w:t xml:space="preserve">is </w:t>
      </w:r>
      <w:r>
        <w:t>suggeste</w:t>
      </w:r>
      <w:r w:rsidR="006D21D2">
        <w:t xml:space="preserve">d that consideration of </w:t>
      </w:r>
      <w:r w:rsidR="002B141D">
        <w:t>CARPA</w:t>
      </w:r>
      <w:r w:rsidR="006D21D2">
        <w:t xml:space="preserve"> and the use of </w:t>
      </w:r>
      <w:r w:rsidRPr="008770C7">
        <w:t xml:space="preserve">LRPs might </w:t>
      </w:r>
      <w:r w:rsidR="002B141D">
        <w:t>lead to</w:t>
      </w:r>
      <w:r>
        <w:t xml:space="preserve"> </w:t>
      </w:r>
      <w:r w:rsidRPr="008770C7">
        <w:t xml:space="preserve">useful </w:t>
      </w:r>
      <w:r w:rsidR="002B141D">
        <w:t xml:space="preserve">new </w:t>
      </w:r>
      <w:r>
        <w:t>addition</w:t>
      </w:r>
      <w:r w:rsidR="002B141D">
        <w:t>s</w:t>
      </w:r>
      <w:r>
        <w:t xml:space="preserve"> to</w:t>
      </w:r>
      <w:r w:rsidRPr="008770C7">
        <w:t xml:space="preserve"> the management of high-risk IV-iron patients. </w:t>
      </w:r>
      <w:r>
        <w:t xml:space="preserve"> </w:t>
      </w:r>
    </w:p>
    <w:p w14:paraId="56E48172" w14:textId="77777777" w:rsidR="001016D3" w:rsidRDefault="001016D3" w:rsidP="00EB6C28"/>
    <w:p w14:paraId="1746E0A3" w14:textId="77777777" w:rsidR="009D4B69" w:rsidRPr="00274D6B" w:rsidRDefault="009D4B69" w:rsidP="009D4B69"/>
    <w:p w14:paraId="1524881D" w14:textId="77777777" w:rsidR="009D4B69" w:rsidRPr="00274D6B" w:rsidRDefault="009D4B69" w:rsidP="009D4B69">
      <w:pPr>
        <w:pStyle w:val="Style1"/>
        <w:spacing w:after="0"/>
      </w:pPr>
      <w:r w:rsidRPr="00274D6B">
        <w:t>Keywords:</w:t>
      </w:r>
    </w:p>
    <w:p w14:paraId="35866B2C" w14:textId="77777777" w:rsidR="009D4B69" w:rsidRPr="00274D6B" w:rsidRDefault="009D4B69" w:rsidP="009D4B69">
      <w:pPr>
        <w:pStyle w:val="ListParagraph"/>
        <w:numPr>
          <w:ilvl w:val="0"/>
          <w:numId w:val="1"/>
        </w:numPr>
        <w:rPr>
          <w:rFonts w:ascii="Times New Roman" w:hAnsi="Times New Roman"/>
          <w:color w:val="000000"/>
        </w:rPr>
      </w:pPr>
      <w:r w:rsidRPr="00274D6B">
        <w:rPr>
          <w:rFonts w:ascii="Times New Roman" w:hAnsi="Times New Roman"/>
          <w:color w:val="000000"/>
        </w:rPr>
        <w:t>iron deficiency</w:t>
      </w:r>
    </w:p>
    <w:p w14:paraId="00CA3807" w14:textId="77777777" w:rsidR="009D4B69" w:rsidRPr="00274D6B" w:rsidRDefault="009D4B69" w:rsidP="009D4B69">
      <w:pPr>
        <w:pStyle w:val="ListParagraph"/>
        <w:numPr>
          <w:ilvl w:val="0"/>
          <w:numId w:val="1"/>
        </w:numPr>
        <w:rPr>
          <w:rFonts w:ascii="Times New Roman" w:hAnsi="Times New Roman"/>
          <w:color w:val="000000"/>
        </w:rPr>
      </w:pPr>
      <w:r w:rsidRPr="00274D6B">
        <w:rPr>
          <w:rFonts w:ascii="Times New Roman" w:hAnsi="Times New Roman"/>
          <w:color w:val="000000"/>
        </w:rPr>
        <w:t>drug allergy</w:t>
      </w:r>
    </w:p>
    <w:p w14:paraId="68D40B21" w14:textId="77777777" w:rsidR="009D4B69" w:rsidRPr="00274D6B" w:rsidRDefault="009D4B69" w:rsidP="009D4B69">
      <w:pPr>
        <w:pStyle w:val="ListParagraph"/>
        <w:numPr>
          <w:ilvl w:val="0"/>
          <w:numId w:val="1"/>
        </w:numPr>
        <w:rPr>
          <w:rFonts w:ascii="Times New Roman" w:hAnsi="Times New Roman"/>
          <w:color w:val="000000"/>
        </w:rPr>
      </w:pPr>
      <w:r w:rsidRPr="00274D6B">
        <w:rPr>
          <w:rFonts w:ascii="Times New Roman" w:hAnsi="Times New Roman"/>
          <w:color w:val="000000"/>
        </w:rPr>
        <w:t>pseudoallergy</w:t>
      </w:r>
    </w:p>
    <w:p w14:paraId="29BBDFBC" w14:textId="77777777" w:rsidR="009D4B69" w:rsidRPr="00274D6B" w:rsidRDefault="009D4B69" w:rsidP="009D4B69">
      <w:pPr>
        <w:pStyle w:val="ListParagraph"/>
        <w:numPr>
          <w:ilvl w:val="0"/>
          <w:numId w:val="1"/>
        </w:numPr>
        <w:rPr>
          <w:rFonts w:ascii="Times New Roman" w:hAnsi="Times New Roman"/>
          <w:color w:val="000000"/>
        </w:rPr>
      </w:pPr>
      <w:r w:rsidRPr="00274D6B">
        <w:rPr>
          <w:rFonts w:ascii="Times New Roman" w:hAnsi="Times New Roman"/>
          <w:color w:val="000000"/>
        </w:rPr>
        <w:t>anaphylaxis</w:t>
      </w:r>
    </w:p>
    <w:p w14:paraId="27830012" w14:textId="77777777" w:rsidR="009D4B69" w:rsidRPr="00274D6B" w:rsidRDefault="009D4B69" w:rsidP="009D4B69">
      <w:pPr>
        <w:pStyle w:val="ListParagraph"/>
        <w:numPr>
          <w:ilvl w:val="0"/>
          <w:numId w:val="1"/>
        </w:numPr>
        <w:rPr>
          <w:rFonts w:ascii="Times New Roman" w:hAnsi="Times New Roman"/>
          <w:color w:val="000000"/>
        </w:rPr>
      </w:pPr>
      <w:r w:rsidRPr="00274D6B">
        <w:rPr>
          <w:rFonts w:ascii="Times New Roman" w:hAnsi="Times New Roman"/>
          <w:color w:val="000000"/>
        </w:rPr>
        <w:t>complement</w:t>
      </w:r>
    </w:p>
    <w:p w14:paraId="67A68508" w14:textId="77777777" w:rsidR="009D4B69" w:rsidRPr="00274D6B" w:rsidRDefault="009D4B69" w:rsidP="009D4B69">
      <w:pPr>
        <w:pStyle w:val="ListParagraph"/>
        <w:numPr>
          <w:ilvl w:val="0"/>
          <w:numId w:val="1"/>
        </w:numPr>
        <w:rPr>
          <w:rFonts w:ascii="Times New Roman" w:hAnsi="Times New Roman"/>
          <w:color w:val="000000"/>
        </w:rPr>
      </w:pPr>
      <w:r w:rsidRPr="00274D6B">
        <w:rPr>
          <w:rFonts w:ascii="Times New Roman" w:hAnsi="Times New Roman"/>
          <w:color w:val="000000"/>
        </w:rPr>
        <w:t>anaphylatoxin</w:t>
      </w:r>
    </w:p>
    <w:p w14:paraId="7A4A8395" w14:textId="77777777" w:rsidR="009D4B69" w:rsidRPr="00274D6B" w:rsidRDefault="009D4B69" w:rsidP="009D4B69">
      <w:pPr>
        <w:pStyle w:val="ListParagraph"/>
        <w:numPr>
          <w:ilvl w:val="0"/>
          <w:numId w:val="1"/>
        </w:numPr>
        <w:rPr>
          <w:rFonts w:ascii="Times New Roman" w:hAnsi="Times New Roman"/>
          <w:color w:val="000000"/>
        </w:rPr>
      </w:pPr>
      <w:r w:rsidRPr="00274D6B">
        <w:rPr>
          <w:rFonts w:ascii="Times New Roman" w:hAnsi="Times New Roman"/>
          <w:color w:val="000000"/>
        </w:rPr>
        <w:t>CARPA</w:t>
      </w:r>
    </w:p>
    <w:p w14:paraId="17A6D8C0" w14:textId="77777777" w:rsidR="009D4B69" w:rsidRDefault="009D4B69" w:rsidP="009D4B69">
      <w:pPr>
        <w:pStyle w:val="ListParagraph"/>
        <w:numPr>
          <w:ilvl w:val="0"/>
          <w:numId w:val="1"/>
        </w:numPr>
        <w:rPr>
          <w:rFonts w:ascii="Times New Roman" w:hAnsi="Times New Roman"/>
          <w:color w:val="000000"/>
        </w:rPr>
      </w:pPr>
      <w:r>
        <w:rPr>
          <w:rFonts w:ascii="Times New Roman" w:hAnsi="Times New Roman"/>
          <w:color w:val="000000"/>
        </w:rPr>
        <w:t>a</w:t>
      </w:r>
      <w:r w:rsidRPr="00274D6B">
        <w:rPr>
          <w:rFonts w:ascii="Times New Roman" w:hAnsi="Times New Roman"/>
          <w:color w:val="000000"/>
        </w:rPr>
        <w:t>nemia</w:t>
      </w:r>
    </w:p>
    <w:p w14:paraId="76D60DB2" w14:textId="77777777" w:rsidR="009D4B69" w:rsidRDefault="009D4B69" w:rsidP="009D4B69">
      <w:pPr>
        <w:pStyle w:val="ListParagraph"/>
        <w:numPr>
          <w:ilvl w:val="0"/>
          <w:numId w:val="1"/>
        </w:numPr>
        <w:rPr>
          <w:rFonts w:ascii="Times New Roman" w:hAnsi="Times New Roman"/>
          <w:color w:val="000000"/>
        </w:rPr>
      </w:pPr>
      <w:r>
        <w:rPr>
          <w:rFonts w:ascii="Times New Roman" w:hAnsi="Times New Roman"/>
          <w:color w:val="000000"/>
        </w:rPr>
        <w:t>chronic kidney disease</w:t>
      </w:r>
    </w:p>
    <w:p w14:paraId="0CD85E9A" w14:textId="77777777" w:rsidR="009D4B69" w:rsidRPr="00274D6B" w:rsidRDefault="009D4B69" w:rsidP="009D4B69">
      <w:pPr>
        <w:pStyle w:val="ListParagraph"/>
        <w:numPr>
          <w:ilvl w:val="0"/>
          <w:numId w:val="1"/>
        </w:numPr>
        <w:rPr>
          <w:rFonts w:ascii="Times New Roman" w:hAnsi="Times New Roman"/>
          <w:color w:val="000000"/>
        </w:rPr>
      </w:pPr>
      <w:r>
        <w:rPr>
          <w:rFonts w:ascii="Times New Roman" w:hAnsi="Times New Roman"/>
          <w:color w:val="000000"/>
        </w:rPr>
        <w:t>dialysis</w:t>
      </w:r>
    </w:p>
    <w:p w14:paraId="63B1F403" w14:textId="77777777" w:rsidR="001016D3" w:rsidRPr="008770C7" w:rsidRDefault="009A66C0" w:rsidP="009A66C0">
      <w:pPr>
        <w:spacing w:after="0"/>
      </w:pPr>
      <w:r>
        <w:br w:type="page"/>
      </w:r>
    </w:p>
    <w:p w14:paraId="3CEB0E87" w14:textId="77777777" w:rsidR="001016D3" w:rsidRPr="009C3A2E" w:rsidRDefault="001016D3" w:rsidP="00EB6C28">
      <w:pPr>
        <w:pStyle w:val="Style1"/>
        <w:rPr>
          <w:sz w:val="28"/>
        </w:rPr>
      </w:pPr>
      <w:r w:rsidRPr="009C3A2E">
        <w:rPr>
          <w:sz w:val="28"/>
        </w:rPr>
        <w:lastRenderedPageBreak/>
        <w:t>Introduction</w:t>
      </w:r>
    </w:p>
    <w:p w14:paraId="2099190D" w14:textId="77777777" w:rsidR="001016D3" w:rsidRPr="008770C7" w:rsidRDefault="001016D3" w:rsidP="007F4A90">
      <w:r w:rsidRPr="008770C7">
        <w:t>It has been reported that roughly 25 % of all adverse drug reactions (ADRs) are hypersensitivity reactions (HSRs), affecting up to some half-million patients in the USA every year (Lazarou</w:t>
      </w:r>
      <w:r w:rsidRPr="008770C7">
        <w:rPr>
          <w:i/>
        </w:rPr>
        <w:t xml:space="preserve"> </w:t>
      </w:r>
      <w:r w:rsidR="00EC06FF" w:rsidRPr="00EC06FF">
        <w:rPr>
          <w:i/>
        </w:rPr>
        <w:t>et al</w:t>
      </w:r>
      <w:r w:rsidRPr="008770C7">
        <w:rPr>
          <w:i/>
        </w:rPr>
        <w:t>.</w:t>
      </w:r>
      <w:r w:rsidRPr="008770C7">
        <w:t xml:space="preserve">, 1998).  Such reactions can be caused by almost all types of drugs, </w:t>
      </w:r>
      <w:r w:rsidR="00B05C9A" w:rsidRPr="00F539BC">
        <w:rPr>
          <w:color w:val="FF0000"/>
          <w:szCs w:val="24"/>
          <w:shd w:val="clear" w:color="auto" w:fill="auto"/>
          <w:lang w:val="en-GB" w:eastAsia="en-GB"/>
        </w:rPr>
        <w:t>irrespective</w:t>
      </w:r>
      <w:r w:rsidRPr="008770C7">
        <w:t xml:space="preserve"> of their </w:t>
      </w:r>
      <w:r>
        <w:t>ch</w:t>
      </w:r>
      <w:r w:rsidRPr="008770C7">
        <w:t xml:space="preserve">emical composition, complexity or route of administration.  Because of recent public concern about the HSRs caused by one of such reactogenic </w:t>
      </w:r>
      <w:r w:rsidR="005548D7">
        <w:t>drugs, namely intravenous iron (IV-iron) compounds</w:t>
      </w:r>
      <w:r w:rsidR="005548D7">
        <w:rPr>
          <w:szCs w:val="24"/>
        </w:rPr>
        <w:t xml:space="preserve"> (EMA-CHMP, 2013)</w:t>
      </w:r>
      <w:r w:rsidR="005548D7">
        <w:t xml:space="preserve">, </w:t>
      </w:r>
      <w:r w:rsidRPr="008770C7">
        <w:t xml:space="preserve">this review focuses on the HSRs caused by </w:t>
      </w:r>
      <w:r>
        <w:t>these preparations</w:t>
      </w:r>
      <w:r w:rsidRPr="008770C7">
        <w:t xml:space="preserve">. </w:t>
      </w:r>
    </w:p>
    <w:p w14:paraId="2C62D08E" w14:textId="77777777" w:rsidR="001016D3" w:rsidRDefault="001016D3" w:rsidP="001543CE">
      <w:pPr>
        <w:rPr>
          <w:szCs w:val="24"/>
        </w:rPr>
      </w:pPr>
      <w:r w:rsidRPr="008770C7">
        <w:t xml:space="preserve">Parenteral iron (IV-iron) has become an important treatment for iron deficiency anemia in </w:t>
      </w:r>
      <w:r>
        <w:t xml:space="preserve">a wide range of </w:t>
      </w:r>
      <w:r w:rsidRPr="008770C7">
        <w:t>therapeutic areas, when oral iron is inappropriate</w:t>
      </w:r>
      <w:r>
        <w:t>, ineffective or not tolerated. A re</w:t>
      </w:r>
      <w:r w:rsidRPr="008770C7">
        <w:rPr>
          <w:szCs w:val="24"/>
        </w:rPr>
        <w:t xml:space="preserve">cent safety review performed by the </w:t>
      </w:r>
      <w:r w:rsidRPr="001E1B50">
        <w:rPr>
          <w:bCs/>
        </w:rPr>
        <w:t>Committee for Medicin</w:t>
      </w:r>
      <w:r>
        <w:rPr>
          <w:bCs/>
        </w:rPr>
        <w:t>al Products for Human Use</w:t>
      </w:r>
      <w:r w:rsidRPr="008770C7">
        <w:rPr>
          <w:szCs w:val="24"/>
        </w:rPr>
        <w:t xml:space="preserve"> </w:t>
      </w:r>
      <w:r>
        <w:rPr>
          <w:szCs w:val="24"/>
        </w:rPr>
        <w:t xml:space="preserve">of the </w:t>
      </w:r>
      <w:r w:rsidRPr="008770C7">
        <w:rPr>
          <w:szCs w:val="24"/>
        </w:rPr>
        <w:t>European Medicines Agency (EMA</w:t>
      </w:r>
      <w:r>
        <w:rPr>
          <w:szCs w:val="24"/>
        </w:rPr>
        <w:t>-CHMP</w:t>
      </w:r>
      <w:r w:rsidRPr="008770C7">
        <w:rPr>
          <w:szCs w:val="24"/>
        </w:rPr>
        <w:t>) concluded that all available IV-iron preparations on the European market ha</w:t>
      </w:r>
      <w:r>
        <w:rPr>
          <w:szCs w:val="24"/>
        </w:rPr>
        <w:t>ve</w:t>
      </w:r>
      <w:r w:rsidRPr="008770C7">
        <w:rPr>
          <w:szCs w:val="24"/>
        </w:rPr>
        <w:t xml:space="preserve"> a po</w:t>
      </w:r>
      <w:r w:rsidR="005548D7">
        <w:rPr>
          <w:szCs w:val="24"/>
        </w:rPr>
        <w:t xml:space="preserve">sitive risk-benefit ratio and </w:t>
      </w:r>
      <w:r w:rsidRPr="008770C7">
        <w:rPr>
          <w:szCs w:val="24"/>
        </w:rPr>
        <w:t>low risk of causing HSRs</w:t>
      </w:r>
      <w:r>
        <w:rPr>
          <w:szCs w:val="24"/>
        </w:rPr>
        <w:t xml:space="preserve">.  In </w:t>
      </w:r>
      <w:r w:rsidRPr="008770C7">
        <w:rPr>
          <w:szCs w:val="24"/>
        </w:rPr>
        <w:t xml:space="preserve">order to minimize the risk of life threatening reactions </w:t>
      </w:r>
      <w:r>
        <w:rPr>
          <w:szCs w:val="24"/>
        </w:rPr>
        <w:t xml:space="preserve">new recommendations were </w:t>
      </w:r>
      <w:r w:rsidRPr="008770C7">
        <w:rPr>
          <w:szCs w:val="24"/>
        </w:rPr>
        <w:t>introduced for all health care professionals who provide treatment with IV-iron.  The document (EMA</w:t>
      </w:r>
      <w:r>
        <w:rPr>
          <w:szCs w:val="24"/>
        </w:rPr>
        <w:t>-CHMP</w:t>
      </w:r>
      <w:r w:rsidRPr="008770C7">
        <w:rPr>
          <w:szCs w:val="24"/>
        </w:rPr>
        <w:t xml:space="preserve">, 2013) calls for changes in the practice of IV-iron infusions (Table 1) and for uniform </w:t>
      </w:r>
      <w:r w:rsidR="00877B41">
        <w:rPr>
          <w:szCs w:val="24"/>
        </w:rPr>
        <w:t>r</w:t>
      </w:r>
      <w:r w:rsidRPr="008770C7">
        <w:rPr>
          <w:szCs w:val="24"/>
        </w:rPr>
        <w:t xml:space="preserve">eporting of HSRs (Ring and Mesmer, 1977; Ring </w:t>
      </w:r>
      <w:r w:rsidR="00EC06FF" w:rsidRPr="00EC06FF">
        <w:rPr>
          <w:i/>
          <w:szCs w:val="24"/>
        </w:rPr>
        <w:t>et al</w:t>
      </w:r>
      <w:r w:rsidRPr="008770C7">
        <w:rPr>
          <w:i/>
          <w:szCs w:val="24"/>
        </w:rPr>
        <w:t>,</w:t>
      </w:r>
      <w:r w:rsidRPr="008770C7">
        <w:rPr>
          <w:szCs w:val="24"/>
        </w:rPr>
        <w:t xml:space="preserve"> 2010)</w:t>
      </w:r>
      <w:r>
        <w:rPr>
          <w:szCs w:val="24"/>
        </w:rPr>
        <w:t xml:space="preserve">.  </w:t>
      </w:r>
    </w:p>
    <w:p w14:paraId="65E7A057" w14:textId="77777777" w:rsidR="001016D3" w:rsidRPr="00E23F53" w:rsidRDefault="00C605F4" w:rsidP="00E23F53">
      <w:pPr>
        <w:rPr>
          <w:sz w:val="22"/>
        </w:rPr>
      </w:pPr>
      <w:r>
        <w:rPr>
          <w:noProof/>
          <w:shd w:val="clear" w:color="auto" w:fill="auto"/>
          <w:lang w:val="en-GB" w:eastAsia="en-GB"/>
        </w:rPr>
        <w:drawing>
          <wp:anchor distT="0" distB="0" distL="114300" distR="114300" simplePos="0" relativeHeight="251658240" behindDoc="1" locked="0" layoutInCell="1" allowOverlap="1" wp14:anchorId="08DBF917" wp14:editId="79EF8FE3">
            <wp:simplePos x="0" y="0"/>
            <wp:positionH relativeFrom="column">
              <wp:posOffset>1270</wp:posOffset>
            </wp:positionH>
            <wp:positionV relativeFrom="paragraph">
              <wp:posOffset>7620</wp:posOffset>
            </wp:positionV>
            <wp:extent cx="4564380" cy="2290445"/>
            <wp:effectExtent l="19050" t="19050" r="26670" b="14605"/>
            <wp:wrapTight wrapText="bothSides">
              <wp:wrapPolygon edited="0">
                <wp:start x="-90" y="-180"/>
                <wp:lineTo x="-90" y="21558"/>
                <wp:lineTo x="21636" y="21558"/>
                <wp:lineTo x="21636" y="-180"/>
                <wp:lineTo x="-90" y="-18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64380" cy="2290445"/>
                    </a:xfrm>
                    <a:prstGeom prst="rect">
                      <a:avLst/>
                    </a:prstGeom>
                    <a:noFill/>
                    <a:ln w="9525">
                      <a:solidFill>
                        <a:srgbClr val="000000"/>
                      </a:solidFill>
                      <a:miter lim="800000"/>
                      <a:headEnd/>
                      <a:tailEnd/>
                    </a:ln>
                  </pic:spPr>
                </pic:pic>
              </a:graphicData>
            </a:graphic>
          </wp:anchor>
        </w:drawing>
      </w:r>
      <w:r w:rsidR="001016D3" w:rsidRPr="00E23F53">
        <w:rPr>
          <w:sz w:val="22"/>
          <w:szCs w:val="24"/>
        </w:rPr>
        <w:t>Table 1.</w:t>
      </w:r>
      <w:r w:rsidR="001016D3" w:rsidRPr="00E23F53">
        <w:rPr>
          <w:sz w:val="22"/>
        </w:rPr>
        <w:t xml:space="preserve"> New recommendations by the EMA’s Committee for Medicinal Products for Human Use (CHMP) to manage risk of allergic reactions with IV-iron (EMA-CHMP, 2013).</w:t>
      </w:r>
    </w:p>
    <w:p w14:paraId="01FF11C3" w14:textId="77777777" w:rsidR="001016D3" w:rsidRDefault="001016D3" w:rsidP="001543CE">
      <w:pPr>
        <w:rPr>
          <w:szCs w:val="24"/>
        </w:rPr>
      </w:pPr>
    </w:p>
    <w:p w14:paraId="31590563" w14:textId="77777777" w:rsidR="001016D3" w:rsidRDefault="001016D3" w:rsidP="001543CE">
      <w:pPr>
        <w:rPr>
          <w:szCs w:val="24"/>
        </w:rPr>
      </w:pPr>
    </w:p>
    <w:p w14:paraId="3F306C80" w14:textId="77777777" w:rsidR="001016D3" w:rsidRDefault="001016D3" w:rsidP="001543CE">
      <w:pPr>
        <w:rPr>
          <w:szCs w:val="24"/>
        </w:rPr>
      </w:pPr>
    </w:p>
    <w:p w14:paraId="3FBF4A8F" w14:textId="77777777" w:rsidR="001016D3" w:rsidRDefault="001016D3" w:rsidP="001543CE">
      <w:r>
        <w:rPr>
          <w:szCs w:val="24"/>
        </w:rPr>
        <w:t>H</w:t>
      </w:r>
      <w:r w:rsidRPr="008770C7">
        <w:rPr>
          <w:szCs w:val="24"/>
        </w:rPr>
        <w:t>owever, the field would also benefit from scientific evidence-based introduction of more specific and effective me</w:t>
      </w:r>
      <w:r>
        <w:rPr>
          <w:szCs w:val="24"/>
        </w:rPr>
        <w:t>asures</w:t>
      </w:r>
      <w:r w:rsidRPr="008770C7">
        <w:rPr>
          <w:szCs w:val="24"/>
        </w:rPr>
        <w:t xml:space="preserve"> than the currently applied common empiric </w:t>
      </w:r>
      <w:r>
        <w:rPr>
          <w:szCs w:val="24"/>
        </w:rPr>
        <w:t>on</w:t>
      </w:r>
      <w:r w:rsidRPr="008770C7">
        <w:rPr>
          <w:szCs w:val="24"/>
        </w:rPr>
        <w:t>es.  To achieve this, the mechanism</w:t>
      </w:r>
      <w:r>
        <w:rPr>
          <w:szCs w:val="24"/>
        </w:rPr>
        <w:t>s</w:t>
      </w:r>
      <w:r w:rsidRPr="008770C7">
        <w:rPr>
          <w:szCs w:val="24"/>
        </w:rPr>
        <w:t xml:space="preserve"> of IV-iron reactions should be better understood, </w:t>
      </w:r>
      <w:r>
        <w:rPr>
          <w:szCs w:val="24"/>
        </w:rPr>
        <w:t xml:space="preserve">and this challenge </w:t>
      </w:r>
      <w:r w:rsidRPr="008770C7">
        <w:rPr>
          <w:szCs w:val="24"/>
        </w:rPr>
        <w:t xml:space="preserve">represents the </w:t>
      </w:r>
      <w:r>
        <w:rPr>
          <w:szCs w:val="24"/>
        </w:rPr>
        <w:t>main</w:t>
      </w:r>
      <w:r w:rsidRPr="008770C7">
        <w:rPr>
          <w:szCs w:val="24"/>
        </w:rPr>
        <w:t xml:space="preserve"> thrust of the present review.  Our approach</w:t>
      </w:r>
      <w:r w:rsidRPr="008770C7">
        <w:t xml:space="preserve"> is to highlight the similarities and differences among iron- and other IV drug-induced HSRs that might give clues regarding the mechanism</w:t>
      </w:r>
      <w:r>
        <w:t>s</w:t>
      </w:r>
      <w:r w:rsidRPr="008770C7">
        <w:t>, and, hence</w:t>
      </w:r>
      <w:r>
        <w:t xml:space="preserve"> make</w:t>
      </w:r>
      <w:r w:rsidR="00EF3BD4">
        <w:t xml:space="preserve"> </w:t>
      </w:r>
      <w:r w:rsidRPr="008770C7">
        <w:t xml:space="preserve">possible new </w:t>
      </w:r>
      <w:r>
        <w:t xml:space="preserve">methods of </w:t>
      </w:r>
      <w:r w:rsidRPr="008770C7">
        <w:t>prevention and treatment of IV-iron reactions.  The comparison focuses on the symptoms of reactions categorized by their various properties.  The process of c</w:t>
      </w:r>
      <w:r w:rsidR="001B384A">
        <w:t xml:space="preserve">omparison entails addressing </w:t>
      </w:r>
      <w:r w:rsidRPr="008770C7">
        <w:t xml:space="preserve">some critical unsolved issues </w:t>
      </w:r>
      <w:r>
        <w:t>in</w:t>
      </w:r>
      <w:r w:rsidRPr="008770C7">
        <w:t xml:space="preserve"> the field, such as the incoherent terminology and lack of credible clinical data.  A summary of current premedication and treatment options </w:t>
      </w:r>
      <w:r w:rsidR="00CD5988" w:rsidRPr="00F539BC">
        <w:rPr>
          <w:color w:val="FF0000"/>
        </w:rPr>
        <w:t>alludes to the inappropriateness of using antihistamines, since they mimic some of the features of HSRs,</w:t>
      </w:r>
      <w:r w:rsidR="00CD5988">
        <w:t xml:space="preserve"> and </w:t>
      </w:r>
      <w:r w:rsidRPr="008770C7">
        <w:t xml:space="preserve">provides rationale for the testing of low reactogenic administration protocols (LRPs), such as low-dose slow priming followed by slow dose escalation.  One particular new perspective outlined for the first time in </w:t>
      </w:r>
      <w:r w:rsidRPr="008770C7">
        <w:lastRenderedPageBreak/>
        <w:t xml:space="preserve">this review is the possible causal role of complement (C) activation in IV-iron reactions, </w:t>
      </w:r>
      <w:r>
        <w:t>a</w:t>
      </w:r>
      <w:r w:rsidRPr="008770C7">
        <w:t xml:space="preserve"> proposal </w:t>
      </w:r>
      <w:r>
        <w:t xml:space="preserve">which </w:t>
      </w:r>
      <w:r w:rsidRPr="008770C7">
        <w:t xml:space="preserve">has both conceptual and therapeutic implications.  </w:t>
      </w:r>
    </w:p>
    <w:p w14:paraId="289C248C" w14:textId="77777777" w:rsidR="00F6264C" w:rsidRPr="008770C7" w:rsidRDefault="00F6264C" w:rsidP="001543CE"/>
    <w:p w14:paraId="0932C51C" w14:textId="77777777" w:rsidR="001016D3" w:rsidRPr="009C3A2E" w:rsidRDefault="001016D3" w:rsidP="00C17A22">
      <w:pPr>
        <w:pStyle w:val="Style1"/>
        <w:rPr>
          <w:sz w:val="28"/>
        </w:rPr>
      </w:pPr>
      <w:r>
        <w:rPr>
          <w:sz w:val="28"/>
        </w:rPr>
        <w:t>F</w:t>
      </w:r>
      <w:r w:rsidRPr="009C3A2E">
        <w:rPr>
          <w:sz w:val="28"/>
        </w:rPr>
        <w:t>eatures of HSRs</w:t>
      </w:r>
      <w:r>
        <w:rPr>
          <w:sz w:val="28"/>
        </w:rPr>
        <w:t xml:space="preserve"> to IV-iron versus those to other IV drugs</w:t>
      </w:r>
    </w:p>
    <w:p w14:paraId="7BC08A20" w14:textId="77777777" w:rsidR="001016D3" w:rsidRDefault="00F539BC" w:rsidP="004A4FFF">
      <w:r>
        <w:t>Fig 1</w:t>
      </w:r>
      <w:r w:rsidR="001016D3" w:rsidRPr="008770C7">
        <w:t xml:space="preserve"> lis</w:t>
      </w:r>
      <w:r w:rsidR="001016D3">
        <w:t xml:space="preserve">ts the symptoms and various features of HSRs caused by IV drugs, including IV-iron, by which the symptoms </w:t>
      </w:r>
      <w:r w:rsidR="001016D3" w:rsidRPr="008770C7">
        <w:t xml:space="preserve">have been </w:t>
      </w:r>
      <w:r w:rsidR="001016D3">
        <w:t xml:space="preserve">categorized: </w:t>
      </w:r>
      <w:r w:rsidR="001016D3" w:rsidRPr="008770C7">
        <w:t xml:space="preserve">organ systems </w:t>
      </w:r>
      <w:r w:rsidR="00E71007" w:rsidRPr="008770C7">
        <w:t>aff</w:t>
      </w:r>
      <w:r w:rsidR="00E71007">
        <w:t>e</w:t>
      </w:r>
      <w:r w:rsidR="00E71007" w:rsidRPr="008770C7">
        <w:t>cted</w:t>
      </w:r>
      <w:r w:rsidR="00E71007">
        <w:t>,</w:t>
      </w:r>
      <w:r w:rsidR="001016D3" w:rsidRPr="008770C7">
        <w:t xml:space="preserve"> severity, kinetics, prevalence, durati</w:t>
      </w:r>
      <w:r w:rsidR="001016D3">
        <w:t>on, mechanism and tolerance induction.  Changes of the variables in these categories depend</w:t>
      </w:r>
      <w:r w:rsidR="001016D3" w:rsidRPr="008770C7">
        <w:t xml:space="preserve"> on the reactogenicity of </w:t>
      </w:r>
      <w:r w:rsidR="001016D3">
        <w:t>the</w:t>
      </w:r>
      <w:r w:rsidR="001016D3" w:rsidRPr="008770C7">
        <w:t xml:space="preserve"> </w:t>
      </w:r>
      <w:r w:rsidR="001016D3">
        <w:t xml:space="preserve">implicated </w:t>
      </w:r>
      <w:r w:rsidR="001016D3" w:rsidRPr="008770C7">
        <w:t>drug</w:t>
      </w:r>
      <w:r w:rsidR="001016D3">
        <w:t>s</w:t>
      </w:r>
      <w:r w:rsidR="001016D3" w:rsidRPr="008770C7">
        <w:t xml:space="preserve">, </w:t>
      </w:r>
      <w:r w:rsidR="001016D3">
        <w:t xml:space="preserve">the </w:t>
      </w:r>
      <w:r w:rsidR="001016D3" w:rsidRPr="008770C7">
        <w:t xml:space="preserve">method of their administration and </w:t>
      </w:r>
      <w:r w:rsidR="001016D3">
        <w:t>the patient’s sensitivity.</w:t>
      </w:r>
      <w:r w:rsidR="001016D3" w:rsidRPr="008770C7">
        <w:t xml:space="preserve"> </w:t>
      </w:r>
      <w:r w:rsidR="001016D3">
        <w:t xml:space="preserve"> A closer analysis of these variables </w:t>
      </w:r>
      <w:r w:rsidR="001016D3" w:rsidRPr="008770C7">
        <w:t xml:space="preserve">reveals both similarities and major differences between the symptoms of reactions </w:t>
      </w:r>
      <w:r w:rsidR="001016D3">
        <w:t xml:space="preserve">to </w:t>
      </w:r>
      <w:r w:rsidR="001016D3" w:rsidRPr="008770C7">
        <w:t xml:space="preserve">IV-iron and </w:t>
      </w:r>
      <w:r w:rsidR="001016D3">
        <w:t xml:space="preserve">to </w:t>
      </w:r>
      <w:r w:rsidR="001016D3" w:rsidRPr="008770C7">
        <w:t>other IV drug</w:t>
      </w:r>
      <w:r w:rsidR="001016D3">
        <w:t>s</w:t>
      </w:r>
      <w:r w:rsidR="001016D3" w:rsidRPr="008770C7">
        <w:t xml:space="preserve">, as detailed below. </w:t>
      </w:r>
    </w:p>
    <w:p w14:paraId="247FEE5B" w14:textId="77777777" w:rsidR="00F539BC" w:rsidRDefault="00376CC5" w:rsidP="00E23F53">
      <w:pPr>
        <w:pStyle w:val="Style1"/>
        <w:rPr>
          <w:i w:val="0"/>
        </w:rPr>
      </w:pPr>
      <w:r w:rsidRPr="00376CC5">
        <w:rPr>
          <w:i w:val="0"/>
          <w:lang w:val="en-GB"/>
        </w:rPr>
        <w:object w:dxaOrig="7209" w:dyaOrig="5401" w14:anchorId="767001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75pt;height:312.75pt" o:ole="">
            <v:imagedata r:id="rId9" o:title=""/>
          </v:shape>
          <o:OLEObject Type="Embed" ProgID="PowerPoint.Slide.12" ShapeID="_x0000_i1025" DrawAspect="Content" ObjectID="_1693035940" r:id="rId10"/>
        </w:object>
      </w:r>
    </w:p>
    <w:p w14:paraId="5AE7CEEE" w14:textId="77777777" w:rsidR="00756F9D" w:rsidRPr="00376CC5" w:rsidRDefault="00F539BC" w:rsidP="00E23F53">
      <w:pPr>
        <w:pStyle w:val="Style1"/>
        <w:rPr>
          <w:i w:val="0"/>
          <w:color w:val="FF0000"/>
        </w:rPr>
      </w:pPr>
      <w:r>
        <w:rPr>
          <w:i w:val="0"/>
        </w:rPr>
        <w:t>Fig 1</w:t>
      </w:r>
      <w:r w:rsidR="009626A2">
        <w:rPr>
          <w:i w:val="0"/>
        </w:rPr>
        <w:t>.</w:t>
      </w:r>
      <w:r w:rsidR="009626A2" w:rsidRPr="009626A2">
        <w:rPr>
          <w:i w:val="0"/>
        </w:rPr>
        <w:t xml:space="preserve"> </w:t>
      </w:r>
      <w:r w:rsidR="009626A2" w:rsidRPr="00660554">
        <w:rPr>
          <w:i w:val="0"/>
        </w:rPr>
        <w:t>Hypersensitivity reaction</w:t>
      </w:r>
      <w:r w:rsidR="007C7E6B">
        <w:rPr>
          <w:i w:val="0"/>
        </w:rPr>
        <w:t>s</w:t>
      </w:r>
      <w:r w:rsidR="009626A2" w:rsidRPr="00660554">
        <w:rPr>
          <w:i w:val="0"/>
        </w:rPr>
        <w:t xml:space="preserve"> and their different classifications</w:t>
      </w:r>
      <w:r w:rsidR="009626A2">
        <w:rPr>
          <w:i w:val="0"/>
        </w:rPr>
        <w:t xml:space="preserve">: </w:t>
      </w:r>
      <w:r w:rsidR="009626A2" w:rsidRPr="00376CC5">
        <w:rPr>
          <w:i w:val="0"/>
          <w:color w:val="FF0000"/>
        </w:rPr>
        <w:t xml:space="preserve">these relate to administration of any </w:t>
      </w:r>
      <w:r w:rsidR="00964757" w:rsidRPr="00376CC5">
        <w:rPr>
          <w:i w:val="0"/>
          <w:color w:val="FF0000"/>
        </w:rPr>
        <w:t>IV</w:t>
      </w:r>
      <w:r w:rsidR="009626A2" w:rsidRPr="00376CC5">
        <w:rPr>
          <w:i w:val="0"/>
          <w:color w:val="FF0000"/>
        </w:rPr>
        <w:t xml:space="preserve"> agent and are not specific to </w:t>
      </w:r>
      <w:r w:rsidR="00964757" w:rsidRPr="00376CC5">
        <w:rPr>
          <w:i w:val="0"/>
          <w:color w:val="FF0000"/>
        </w:rPr>
        <w:t>IV</w:t>
      </w:r>
      <w:r w:rsidR="009626A2" w:rsidRPr="00376CC5">
        <w:rPr>
          <w:i w:val="0"/>
          <w:color w:val="FF0000"/>
        </w:rPr>
        <w:t xml:space="preserve"> iron</w:t>
      </w:r>
      <w:r w:rsidR="00964757" w:rsidRPr="00376CC5">
        <w:rPr>
          <w:i w:val="0"/>
          <w:color w:val="FF0000"/>
        </w:rPr>
        <w:t>.</w:t>
      </w:r>
      <w:r w:rsidR="009626A2" w:rsidRPr="00376CC5">
        <w:rPr>
          <w:i w:val="0"/>
          <w:color w:val="FF0000"/>
        </w:rPr>
        <w:t xml:space="preserve">  </w:t>
      </w:r>
    </w:p>
    <w:p w14:paraId="09FA714E" w14:textId="77777777" w:rsidR="001016D3" w:rsidRPr="00964757" w:rsidRDefault="001016D3" w:rsidP="00964757">
      <w:pPr>
        <w:pStyle w:val="Style1"/>
        <w:rPr>
          <w:i w:val="0"/>
        </w:rPr>
      </w:pPr>
    </w:p>
    <w:p w14:paraId="67D985F0" w14:textId="77777777" w:rsidR="00F86752" w:rsidRDefault="001016D3" w:rsidP="00F86752">
      <w:r w:rsidRPr="008770C7">
        <w:t xml:space="preserve">The </w:t>
      </w:r>
      <w:r w:rsidRPr="004A4FFF">
        <w:rPr>
          <w:i/>
        </w:rPr>
        <w:t>symptoms and their organ expression</w:t>
      </w:r>
      <w:r w:rsidRPr="008770C7">
        <w:t xml:space="preserve"> do not seem to be different </w:t>
      </w:r>
      <w:r>
        <w:t>between IV-iron and other drugs</w:t>
      </w:r>
      <w:r w:rsidRPr="008770C7">
        <w:t xml:space="preserve">, at least on the basis that almost all listed symptoms </w:t>
      </w:r>
      <w:r>
        <w:t xml:space="preserve">and all mentioned organ systems </w:t>
      </w:r>
      <w:r w:rsidRPr="008770C7">
        <w:t>have been cited for HSRs</w:t>
      </w:r>
      <w:r>
        <w:t xml:space="preserve"> to both</w:t>
      </w:r>
      <w:r w:rsidRPr="008770C7">
        <w:t xml:space="preserve"> </w:t>
      </w:r>
      <w:r>
        <w:t>IV-</w:t>
      </w:r>
      <w:r w:rsidRPr="008770C7">
        <w:t>iron and non-iron</w:t>
      </w:r>
      <w:r>
        <w:t xml:space="preserve"> drugs</w:t>
      </w:r>
      <w:r w:rsidRPr="008770C7">
        <w:t xml:space="preserve">.  </w:t>
      </w:r>
      <w:r>
        <w:t>N</w:t>
      </w:r>
      <w:r w:rsidRPr="008770C7">
        <w:t>evertheless</w:t>
      </w:r>
      <w:r>
        <w:t xml:space="preserve">, because the active pharmaceutical ingredients (API) usually have an impact on the physicochemical features of the drug, and, hence, on its immune reactivity, </w:t>
      </w:r>
      <w:r w:rsidRPr="008770C7">
        <w:t xml:space="preserve">it is not </w:t>
      </w:r>
      <w:r>
        <w:t xml:space="preserve">impossible </w:t>
      </w:r>
      <w:r w:rsidRPr="008770C7">
        <w:t xml:space="preserve">that a head-to-head comparison </w:t>
      </w:r>
      <w:r w:rsidRPr="008770C7">
        <w:lastRenderedPageBreak/>
        <w:t xml:space="preserve">would reveal specific effects </w:t>
      </w:r>
      <w:r>
        <w:t>of iron on HSR symptoms.  At this time,</w:t>
      </w:r>
      <w:r w:rsidRPr="008770C7">
        <w:t xml:space="preserve"> however, </w:t>
      </w:r>
      <w:r>
        <w:t xml:space="preserve">we are </w:t>
      </w:r>
      <w:r w:rsidRPr="008770C7">
        <w:t xml:space="preserve">not aware of such </w:t>
      </w:r>
      <w:r>
        <w:t>quantitative data</w:t>
      </w:r>
      <w:r w:rsidRPr="008770C7">
        <w:t xml:space="preserve"> in the literature</w:t>
      </w:r>
      <w:r w:rsidR="00964757">
        <w:t>.</w:t>
      </w:r>
    </w:p>
    <w:p w14:paraId="1EF448C4" w14:textId="77777777" w:rsidR="007F3481" w:rsidRDefault="007F3481" w:rsidP="007F3481">
      <w:r>
        <w:t xml:space="preserve">For the description of the </w:t>
      </w:r>
      <w:r>
        <w:rPr>
          <w:i/>
        </w:rPr>
        <w:t>severity of symptoms</w:t>
      </w:r>
      <w:r>
        <w:t xml:space="preserve">, the best known classification of HSRs was described by Ring and Messmer </w:t>
      </w:r>
      <w:r>
        <w:rPr>
          <w:szCs w:val="24"/>
        </w:rPr>
        <w:t xml:space="preserve">(Ring </w:t>
      </w:r>
      <w:r>
        <w:t xml:space="preserve">&amp; </w:t>
      </w:r>
      <w:r>
        <w:rPr>
          <w:szCs w:val="24"/>
        </w:rPr>
        <w:t xml:space="preserve">Mesmer, 1977; Ring </w:t>
      </w:r>
      <w:r w:rsidR="00EC06FF" w:rsidRPr="00EC06FF">
        <w:rPr>
          <w:i/>
          <w:szCs w:val="24"/>
        </w:rPr>
        <w:t>et al</w:t>
      </w:r>
      <w:r>
        <w:rPr>
          <w:i/>
          <w:szCs w:val="24"/>
        </w:rPr>
        <w:t>,</w:t>
      </w:r>
      <w:r>
        <w:rPr>
          <w:szCs w:val="24"/>
        </w:rPr>
        <w:t xml:space="preserve"> 2010), </w:t>
      </w:r>
      <w:r>
        <w:t xml:space="preserve">who graded the symptoms to categories I-IV.  This classification, which should not be confused with Gell and Coombs’ Type I-IV HSRs, which was recommended by the EMA (EMA, 2012) for ADR reporting, despite the existence of a simpler (Brown, 2004) and a more recent symptom-based grading systems (Mayer &amp; Young, 2006).  </w:t>
      </w:r>
      <w:r w:rsidR="00B05C9A" w:rsidRPr="001B384A">
        <w:rPr>
          <w:color w:val="FF0000"/>
          <w:szCs w:val="24"/>
          <w:shd w:val="clear" w:color="auto" w:fill="auto"/>
          <w:lang w:val="en-GB" w:eastAsia="en-GB"/>
        </w:rPr>
        <w:t xml:space="preserve">Irrespective </w:t>
      </w:r>
      <w:r>
        <w:t xml:space="preserve"> of how HSRs are quantified, from mild to severe, life-threatening reactions can occur with either IV-iron formulation or other IV drugs. Severity does not differentiate between iron and non-iron reactions.  Likewise, iron and non-iron HSRs can be acute, short, delayed and extended.  Thus the </w:t>
      </w:r>
      <w:r>
        <w:rPr>
          <w:i/>
        </w:rPr>
        <w:t>kinetics</w:t>
      </w:r>
      <w:r>
        <w:t xml:space="preserve"> and </w:t>
      </w:r>
      <w:r>
        <w:rPr>
          <w:i/>
        </w:rPr>
        <w:t>duration of symptoms</w:t>
      </w:r>
      <w:r>
        <w:t xml:space="preserve"> are no distinguishing features.  </w:t>
      </w:r>
    </w:p>
    <w:p w14:paraId="1C98555B" w14:textId="77777777" w:rsidR="001016D3" w:rsidRDefault="001016D3" w:rsidP="00E23F53">
      <w:r w:rsidRPr="00BC6EA6">
        <w:rPr>
          <w:i/>
        </w:rPr>
        <w:t>P</w:t>
      </w:r>
      <w:r>
        <w:rPr>
          <w:i/>
        </w:rPr>
        <w:t>revalence</w:t>
      </w:r>
      <w:r w:rsidRPr="008770C7">
        <w:t xml:space="preserve"> </w:t>
      </w:r>
      <w:r>
        <w:t xml:space="preserve">is the feature of HSRs that does </w:t>
      </w:r>
      <w:r w:rsidRPr="008770C7">
        <w:t>radically differ</w:t>
      </w:r>
      <w:r>
        <w:t xml:space="preserve"> between reactogenic drugs.  </w:t>
      </w:r>
      <w:r w:rsidRPr="008770C7">
        <w:t xml:space="preserve">When expressed as </w:t>
      </w:r>
      <w:r>
        <w:t xml:space="preserve">the percentage </w:t>
      </w:r>
      <w:r w:rsidRPr="008770C7">
        <w:t>of patients displaying HSR</w:t>
      </w:r>
      <w:r>
        <w:t>s</w:t>
      </w:r>
      <w:r w:rsidRPr="008770C7">
        <w:t xml:space="preserve"> among all</w:t>
      </w:r>
      <w:r>
        <w:t xml:space="preserve"> those</w:t>
      </w:r>
      <w:r w:rsidRPr="008770C7">
        <w:t xml:space="preserve"> treated, the range spans 5 orders of magnitude (0.001-70%).  To enable the comparison of prevalence statistics within such </w:t>
      </w:r>
      <w:r>
        <w:t xml:space="preserve">wide </w:t>
      </w:r>
      <w:r w:rsidRPr="008770C7">
        <w:t xml:space="preserve">limits, </w:t>
      </w:r>
      <w:r>
        <w:t xml:space="preserve">we propose </w:t>
      </w:r>
      <w:r w:rsidRPr="008770C7">
        <w:t>cluster</w:t>
      </w:r>
      <w:r>
        <w:t xml:space="preserve">ing the % values </w:t>
      </w:r>
      <w:r w:rsidRPr="008770C7">
        <w:t>into five groups (very high, high, moderate, low and very low) with numeric ranges coinciding with the orders of magnitude in the 10</w:t>
      </w:r>
      <w:r w:rsidRPr="008770C7">
        <w:rPr>
          <w:vertAlign w:val="superscript"/>
        </w:rPr>
        <w:t>-3</w:t>
      </w:r>
      <w:r w:rsidRPr="008770C7">
        <w:t>-10</w:t>
      </w:r>
      <w:r w:rsidRPr="008770C7">
        <w:rPr>
          <w:vertAlign w:val="superscript"/>
        </w:rPr>
        <w:t>2</w:t>
      </w:r>
      <w:r w:rsidRPr="008770C7">
        <w:t xml:space="preserve"> range (</w:t>
      </w:r>
      <w:r>
        <w:t>3</w:t>
      </w:r>
      <w:r w:rsidRPr="00833FC8">
        <w:rPr>
          <w:vertAlign w:val="superscript"/>
        </w:rPr>
        <w:t>rd</w:t>
      </w:r>
      <w:r>
        <w:t xml:space="preserve"> column in Fig. 1).  </w:t>
      </w:r>
    </w:p>
    <w:p w14:paraId="1B0F48D8" w14:textId="77777777" w:rsidR="007F3481" w:rsidRDefault="007F3481" w:rsidP="007F3481">
      <w:r>
        <w:t xml:space="preserve">Table </w:t>
      </w:r>
      <w:r w:rsidR="00376CC5">
        <w:t>2</w:t>
      </w:r>
      <w:r>
        <w:t xml:space="preserve"> categorizes the main drug types according to HSR prevalence.  It turns out from the compilation that the highest rate of HSRs occur with certain monoclonal antibodies (mAbs), liposomal drugs and anticancer agents (taxanes) which are delivered in micellar solvents, such as Cremophor EL.  The frequency of HSRs to </w:t>
      </w:r>
      <w:r>
        <w:rPr>
          <w:szCs w:val="24"/>
        </w:rPr>
        <w:t xml:space="preserve">penicillin, the textbook example of drug-induced allergic reactions, falls at the moderate/high borderline (1%).  On the other hand </w:t>
      </w:r>
      <w:r>
        <w:t>the prevalence of HSRs to different IV-iron preparations is very low</w:t>
      </w:r>
      <w:r w:rsidR="001B384A">
        <w:t>, a</w:t>
      </w:r>
      <w:r>
        <w:t xml:space="preserve"> feature shared only with the safest radiocontrast agents (Table </w:t>
      </w:r>
      <w:r w:rsidR="00376CC5">
        <w:t>2</w:t>
      </w:r>
      <w:r>
        <w:t>).  In fact, the vast majority of IV-iron administrations in clinical practice occur with no or minor adverse events</w:t>
      </w:r>
      <w:r w:rsidR="00DF59CC">
        <w:t>.  T</w:t>
      </w:r>
      <w:r>
        <w:t>he heightened public and regulatory concern ab</w:t>
      </w:r>
      <w:r w:rsidR="00DF59CC">
        <w:t>out these reactions may therefore be considered as paradoxical</w:t>
      </w:r>
      <w:r>
        <w:t>.</w:t>
      </w:r>
    </w:p>
    <w:p w14:paraId="346A5691" w14:textId="77777777" w:rsidR="001016D3" w:rsidRPr="008770C7" w:rsidRDefault="007F3481" w:rsidP="00E23F53">
      <w:r>
        <w:rPr>
          <w:szCs w:val="24"/>
        </w:rPr>
        <w:t xml:space="preserve">Despite the very low </w:t>
      </w:r>
      <w:r>
        <w:t>prevalence</w:t>
      </w:r>
      <w:r>
        <w:rPr>
          <w:i/>
        </w:rPr>
        <w:t xml:space="preserve"> </w:t>
      </w:r>
      <w:r>
        <w:rPr>
          <w:szCs w:val="24"/>
        </w:rPr>
        <w:t>of IV-iron reactions,</w:t>
      </w:r>
      <w:r>
        <w:t xml:space="preserve"> minor but significant differences between the risk rates might have major clinical implications  </w:t>
      </w:r>
      <w:r>
        <w:rPr>
          <w:szCs w:val="24"/>
        </w:rPr>
        <w:t>A</w:t>
      </w:r>
      <w:r>
        <w:t>nalyses of commercial and public databases (e.g., post-marketing surveillance data, voluntary submission of ADR-reports) have led some authors to claim differences in the safety profiles of currently available IV-iron products (Chertow</w:t>
      </w:r>
      <w:r>
        <w:rPr>
          <w:i/>
        </w:rPr>
        <w:t xml:space="preserve"> </w:t>
      </w:r>
      <w:r w:rsidR="00EC06FF" w:rsidRPr="00EC06FF">
        <w:rPr>
          <w:i/>
        </w:rPr>
        <w:t>et al</w:t>
      </w:r>
      <w:r>
        <w:rPr>
          <w:i/>
        </w:rPr>
        <w:t>.</w:t>
      </w:r>
      <w:r>
        <w:t>, 2004; Bailie</w:t>
      </w:r>
      <w:r>
        <w:rPr>
          <w:i/>
        </w:rPr>
        <w:t xml:space="preserve"> </w:t>
      </w:r>
      <w:r w:rsidR="00EC06FF" w:rsidRPr="00EC06FF">
        <w:rPr>
          <w:i/>
        </w:rPr>
        <w:t>et al</w:t>
      </w:r>
      <w:r>
        <w:rPr>
          <w:i/>
        </w:rPr>
        <w:t>.</w:t>
      </w:r>
      <w:r>
        <w:t>, 2005; Chertow</w:t>
      </w:r>
      <w:r>
        <w:rPr>
          <w:i/>
        </w:rPr>
        <w:t xml:space="preserve"> </w:t>
      </w:r>
      <w:r w:rsidR="00EC06FF" w:rsidRPr="00EC06FF">
        <w:rPr>
          <w:i/>
        </w:rPr>
        <w:t>et al</w:t>
      </w:r>
      <w:r>
        <w:rPr>
          <w:i/>
        </w:rPr>
        <w:t>.</w:t>
      </w:r>
      <w:r>
        <w:t>, 2006; Bailie</w:t>
      </w:r>
      <w:r>
        <w:rPr>
          <w:i/>
        </w:rPr>
        <w:t xml:space="preserve"> </w:t>
      </w:r>
      <w:r w:rsidR="00EC06FF" w:rsidRPr="00EC06FF">
        <w:rPr>
          <w:i/>
        </w:rPr>
        <w:t>et al</w:t>
      </w:r>
      <w:r>
        <w:rPr>
          <w:i/>
        </w:rPr>
        <w:t>.</w:t>
      </w:r>
      <w:r>
        <w:t>, 2011; Bailie, 2012; Bailie</w:t>
      </w:r>
      <w:r>
        <w:rPr>
          <w:i/>
        </w:rPr>
        <w:t xml:space="preserve"> </w:t>
      </w:r>
      <w:r w:rsidR="00EC06FF" w:rsidRPr="00EC06FF">
        <w:rPr>
          <w:i/>
        </w:rPr>
        <w:t>et al</w:t>
      </w:r>
      <w:r>
        <w:rPr>
          <w:i/>
        </w:rPr>
        <w:t>.</w:t>
      </w:r>
      <w:r>
        <w:t xml:space="preserve">, 2012).  These reports were recently challenged by </w:t>
      </w:r>
      <w:r w:rsidR="00FB1544">
        <w:t>the mentioned</w:t>
      </w:r>
      <w:r>
        <w:t xml:space="preserve"> EMA document </w:t>
      </w:r>
      <w:r w:rsidR="00FB1544">
        <w:t xml:space="preserve">  </w:t>
      </w:r>
      <w:r w:rsidR="00FB1544" w:rsidRPr="008770C7">
        <w:rPr>
          <w:szCs w:val="24"/>
        </w:rPr>
        <w:t>(EMA</w:t>
      </w:r>
      <w:r w:rsidR="00FB1544">
        <w:rPr>
          <w:szCs w:val="24"/>
        </w:rPr>
        <w:t>-CHMP</w:t>
      </w:r>
      <w:r w:rsidR="00FB1544" w:rsidRPr="008770C7">
        <w:rPr>
          <w:szCs w:val="24"/>
        </w:rPr>
        <w:t xml:space="preserve">, 2013) </w:t>
      </w:r>
      <w:r>
        <w:t>and a recent review by Bircher and Auerbach (Bircher</w:t>
      </w:r>
      <w:r>
        <w:rPr>
          <w:i/>
        </w:rPr>
        <w:t xml:space="preserve"> </w:t>
      </w:r>
      <w:r w:rsidR="00EC06FF" w:rsidRPr="00EC06FF">
        <w:rPr>
          <w:i/>
        </w:rPr>
        <w:t>et al</w:t>
      </w:r>
      <w:r>
        <w:rPr>
          <w:i/>
        </w:rPr>
        <w:t>.</w:t>
      </w:r>
      <w:r>
        <w:t>, 2014) that concluded that insufficient reliable data are available to support this conclusion.  There are many reasons for this uncertainty, such as the confusing terminology and classification of HSRs, under-reporting or differential reporting of IV-iron reactions, absence of brand names and a lack of accurate or uniform denominator information (i.e., whether the HSR-rate is given per infusion, per patient, per time or per all ADRs) (Wysowski</w:t>
      </w:r>
      <w:r>
        <w:rPr>
          <w:i/>
        </w:rPr>
        <w:t xml:space="preserve"> </w:t>
      </w:r>
      <w:r w:rsidR="00EC06FF" w:rsidRPr="00EC06FF">
        <w:rPr>
          <w:i/>
        </w:rPr>
        <w:t>et al</w:t>
      </w:r>
      <w:r>
        <w:rPr>
          <w:i/>
        </w:rPr>
        <w:t>.</w:t>
      </w:r>
      <w:r>
        <w:t xml:space="preserve"> 2010).  Moreover randomized clinical trials are not powered to compare very rare </w:t>
      </w:r>
      <w:r w:rsidR="00FB1544">
        <w:t xml:space="preserve">clinical events (Black, 1996).  </w:t>
      </w:r>
      <w:r w:rsidR="00FB1544" w:rsidRPr="00FB1544">
        <w:t>Critchly</w:t>
      </w:r>
      <w:r w:rsidR="00FB1544">
        <w:t xml:space="preserve"> </w:t>
      </w:r>
      <w:r w:rsidR="00EC06FF" w:rsidRPr="00EC06FF">
        <w:rPr>
          <w:i/>
        </w:rPr>
        <w:t>et al</w:t>
      </w:r>
      <w:r>
        <w:rPr>
          <w:i/>
        </w:rPr>
        <w:t>.</w:t>
      </w:r>
      <w:r w:rsidR="00FB1544">
        <w:t xml:space="preserve"> (</w:t>
      </w:r>
      <w:r>
        <w:t xml:space="preserve">2007) concluded that a study to compare the event rate for two IV-iron compounds would need about 6600 patients to achieve the necessary statistical power.  Nonetheless, </w:t>
      </w:r>
      <w:r>
        <w:rPr>
          <w:szCs w:val="24"/>
        </w:rPr>
        <w:t>a</w:t>
      </w:r>
      <w:r>
        <w:t xml:space="preserve"> relatively higher rate and</w:t>
      </w:r>
      <w:r>
        <w:rPr>
          <w:szCs w:val="24"/>
        </w:rPr>
        <w:t xml:space="preserve"> generally more severe</w:t>
      </w:r>
      <w:r w:rsidR="00FB1544">
        <w:t xml:space="preserve"> </w:t>
      </w:r>
      <w:r>
        <w:t xml:space="preserve">HSRs </w:t>
      </w:r>
      <w:r w:rsidR="00CD5988">
        <w:t xml:space="preserve">were </w:t>
      </w:r>
      <w:r>
        <w:t>observed with high molecular weight (HMW) iron-dextran compar</w:t>
      </w:r>
      <w:r w:rsidR="00FB1544">
        <w:t>ed to the low (LMW) formulation</w:t>
      </w:r>
      <w:r w:rsidR="00AE20D3">
        <w:t xml:space="preserve"> </w:t>
      </w:r>
      <w:r w:rsidR="00AE20D3">
        <w:rPr>
          <w:szCs w:val="24"/>
        </w:rPr>
        <w:t>(Fletes</w:t>
      </w:r>
      <w:r w:rsidR="00AE20D3">
        <w:rPr>
          <w:i/>
          <w:szCs w:val="24"/>
        </w:rPr>
        <w:t xml:space="preserve"> </w:t>
      </w:r>
      <w:r w:rsidR="00AE20D3" w:rsidRPr="00EC06FF">
        <w:rPr>
          <w:i/>
          <w:szCs w:val="24"/>
        </w:rPr>
        <w:t>et al</w:t>
      </w:r>
      <w:r w:rsidR="00AE20D3">
        <w:rPr>
          <w:i/>
          <w:szCs w:val="24"/>
        </w:rPr>
        <w:t>.</w:t>
      </w:r>
      <w:r w:rsidR="00AE20D3">
        <w:rPr>
          <w:szCs w:val="24"/>
        </w:rPr>
        <w:t xml:space="preserve">, 2001, Chertow </w:t>
      </w:r>
      <w:r w:rsidR="00AE20D3" w:rsidRPr="00EC06FF">
        <w:rPr>
          <w:i/>
          <w:szCs w:val="24"/>
        </w:rPr>
        <w:t>et al</w:t>
      </w:r>
      <w:r w:rsidR="00AE20D3">
        <w:rPr>
          <w:szCs w:val="24"/>
        </w:rPr>
        <w:t>., 2004)</w:t>
      </w:r>
      <w:r w:rsidR="00FB1544">
        <w:t xml:space="preserve">. </w:t>
      </w:r>
      <w:r>
        <w:rPr>
          <w:szCs w:val="24"/>
        </w:rPr>
        <w:t xml:space="preserve"> </w:t>
      </w:r>
      <w:r w:rsidR="00CD5988" w:rsidRPr="00376CC5">
        <w:rPr>
          <w:color w:val="FF0000"/>
          <w:szCs w:val="24"/>
        </w:rPr>
        <w:t xml:space="preserve">Since that </w:t>
      </w:r>
      <w:r w:rsidR="00CD5988" w:rsidRPr="00376CC5">
        <w:rPr>
          <w:color w:val="FF0000"/>
          <w:szCs w:val="24"/>
        </w:rPr>
        <w:lastRenderedPageBreak/>
        <w:t xml:space="preserve">time, </w:t>
      </w:r>
      <w:r w:rsidR="00AE20D3" w:rsidRPr="00376CC5">
        <w:rPr>
          <w:color w:val="FF0000"/>
          <w:szCs w:val="24"/>
        </w:rPr>
        <w:t xml:space="preserve"> </w:t>
      </w:r>
      <w:r w:rsidR="00AE20D3" w:rsidRPr="00376CC5">
        <w:rPr>
          <w:color w:val="FF0000"/>
          <w:szCs w:val="24"/>
          <w:shd w:val="clear" w:color="auto" w:fill="auto"/>
          <w:lang w:val="en-GB" w:eastAsia="en-GB"/>
        </w:rPr>
        <w:t>both</w:t>
      </w:r>
      <w:r w:rsidR="00B05C9A" w:rsidRPr="00376CC5">
        <w:rPr>
          <w:color w:val="FF0000"/>
          <w:szCs w:val="24"/>
          <w:shd w:val="clear" w:color="auto" w:fill="auto"/>
          <w:lang w:val="en-GB" w:eastAsia="en-GB"/>
        </w:rPr>
        <w:t xml:space="preserve"> HMW</w:t>
      </w:r>
      <w:r w:rsidR="00AE20D3" w:rsidRPr="00376CC5">
        <w:rPr>
          <w:color w:val="FF0000"/>
          <w:szCs w:val="24"/>
          <w:shd w:val="clear" w:color="auto" w:fill="auto"/>
          <w:lang w:val="en-GB" w:eastAsia="en-GB"/>
        </w:rPr>
        <w:t>-dextrans</w:t>
      </w:r>
      <w:r w:rsidR="00B05C9A" w:rsidRPr="00376CC5">
        <w:rPr>
          <w:color w:val="FF0000"/>
          <w:szCs w:val="24"/>
          <w:shd w:val="clear" w:color="auto" w:fill="auto"/>
          <w:lang w:val="en-GB" w:eastAsia="en-GB"/>
        </w:rPr>
        <w:t xml:space="preserve"> (Imferon®</w:t>
      </w:r>
      <w:r w:rsidR="00AE20D3" w:rsidRPr="00376CC5">
        <w:rPr>
          <w:color w:val="FF0000"/>
          <w:szCs w:val="24"/>
          <w:shd w:val="clear" w:color="auto" w:fill="auto"/>
          <w:lang w:val="en-GB" w:eastAsia="en-GB"/>
        </w:rPr>
        <w:t>, Dexferrum®</w:t>
      </w:r>
      <w:r w:rsidR="00B05C9A" w:rsidRPr="00376CC5">
        <w:rPr>
          <w:color w:val="FF0000"/>
          <w:szCs w:val="24"/>
          <w:shd w:val="clear" w:color="auto" w:fill="auto"/>
          <w:lang w:val="en-GB" w:eastAsia="en-GB"/>
        </w:rPr>
        <w:t xml:space="preserve">) </w:t>
      </w:r>
      <w:r w:rsidR="00AE20D3" w:rsidRPr="00376CC5">
        <w:rPr>
          <w:color w:val="FF0000"/>
          <w:szCs w:val="24"/>
          <w:shd w:val="clear" w:color="auto" w:fill="auto"/>
          <w:lang w:val="en-GB" w:eastAsia="en-GB"/>
        </w:rPr>
        <w:t>ha</w:t>
      </w:r>
      <w:r w:rsidR="00CD5988" w:rsidRPr="00376CC5">
        <w:rPr>
          <w:color w:val="FF0000"/>
          <w:szCs w:val="24"/>
          <w:shd w:val="clear" w:color="auto" w:fill="auto"/>
          <w:lang w:val="en-GB" w:eastAsia="en-GB"/>
        </w:rPr>
        <w:t>ve</w:t>
      </w:r>
      <w:r w:rsidR="00B05C9A" w:rsidRPr="00376CC5">
        <w:rPr>
          <w:color w:val="FF0000"/>
          <w:szCs w:val="24"/>
          <w:shd w:val="clear" w:color="auto" w:fill="auto"/>
          <w:lang w:val="en-GB" w:eastAsia="en-GB"/>
        </w:rPr>
        <w:t xml:space="preserve"> </w:t>
      </w:r>
      <w:r w:rsidR="00AE20D3" w:rsidRPr="00376CC5">
        <w:rPr>
          <w:color w:val="FF0000"/>
          <w:szCs w:val="24"/>
          <w:shd w:val="clear" w:color="auto" w:fill="auto"/>
          <w:lang w:val="en-GB" w:eastAsia="en-GB"/>
        </w:rPr>
        <w:t>been removed</w:t>
      </w:r>
      <w:r w:rsidR="00B05C9A" w:rsidRPr="00376CC5">
        <w:rPr>
          <w:color w:val="FF0000"/>
          <w:szCs w:val="24"/>
          <w:shd w:val="clear" w:color="auto" w:fill="auto"/>
          <w:lang w:val="en-GB" w:eastAsia="en-GB"/>
        </w:rPr>
        <w:t xml:space="preserve"> from the market by the marketing authorisation holder</w:t>
      </w:r>
      <w:r w:rsidR="004A161F" w:rsidRPr="00376CC5">
        <w:rPr>
          <w:color w:val="FF0000"/>
          <w:szCs w:val="24"/>
          <w:shd w:val="clear" w:color="auto" w:fill="auto"/>
          <w:lang w:val="en-GB" w:eastAsia="en-GB"/>
        </w:rPr>
        <w:t>s in USA.</w:t>
      </w:r>
      <w:r w:rsidR="004A161F">
        <w:rPr>
          <w:szCs w:val="24"/>
          <w:shd w:val="clear" w:color="auto" w:fill="auto"/>
          <w:lang w:val="en-GB" w:eastAsia="en-GB"/>
        </w:rPr>
        <w:t xml:space="preserve"> </w:t>
      </w:r>
      <w:r>
        <w:t xml:space="preserve"> The problems with the terminology and classification of HSRs will be </w:t>
      </w:r>
      <w:r w:rsidR="009A66C0">
        <w:t>discussed in more detail below.</w:t>
      </w:r>
    </w:p>
    <w:p w14:paraId="6E87D92E" w14:textId="77777777" w:rsidR="001016D3" w:rsidRDefault="001016D3" w:rsidP="00013051">
      <w:r w:rsidRPr="008770C7">
        <w:t xml:space="preserve">Table </w:t>
      </w:r>
      <w:r w:rsidR="00376CC5">
        <w:t>2</w:t>
      </w:r>
      <w:r w:rsidRPr="008770C7">
        <w:t xml:space="preserve">.  Frequency of HSRs* in patients treated </w:t>
      </w:r>
      <w:r w:rsidR="00FB1544">
        <w:t>IV</w:t>
      </w:r>
      <w:r w:rsidRPr="008770C7">
        <w:t xml:space="preserve"> w</w:t>
      </w:r>
      <w:r>
        <w:t>ith different reactogenic drugs</w:t>
      </w:r>
      <w:r w:rsidRPr="008770C7">
        <w:t xml:space="preserve">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5"/>
        <w:gridCol w:w="4680"/>
        <w:gridCol w:w="2970"/>
      </w:tblGrid>
      <w:tr w:rsidR="001016D3" w:rsidRPr="00EA6977" w14:paraId="268AC620" w14:textId="77777777" w:rsidTr="00EA6977">
        <w:tc>
          <w:tcPr>
            <w:tcW w:w="1525" w:type="dxa"/>
            <w:vAlign w:val="center"/>
          </w:tcPr>
          <w:p w14:paraId="6CA3B81D" w14:textId="77777777" w:rsidR="001016D3" w:rsidRPr="00EA6977" w:rsidRDefault="001016D3" w:rsidP="00EA6977">
            <w:pPr>
              <w:spacing w:after="0"/>
              <w:jc w:val="center"/>
              <w:rPr>
                <w:b/>
                <w:sz w:val="20"/>
                <w:lang w:val="hu-HU"/>
              </w:rPr>
            </w:pPr>
            <w:r w:rsidRPr="00EA6977">
              <w:rPr>
                <w:b/>
                <w:sz w:val="20"/>
                <w:lang w:val="hu-HU"/>
              </w:rPr>
              <w:t>Reaction</w:t>
            </w:r>
          </w:p>
          <w:p w14:paraId="5FDB1ADB" w14:textId="77777777" w:rsidR="001016D3" w:rsidRPr="00EA6977" w:rsidRDefault="001016D3" w:rsidP="00EA6977">
            <w:pPr>
              <w:spacing w:after="0"/>
              <w:jc w:val="center"/>
              <w:rPr>
                <w:b/>
                <w:sz w:val="20"/>
                <w:lang w:val="hu-HU"/>
              </w:rPr>
            </w:pPr>
            <w:r w:rsidRPr="00EA6977">
              <w:rPr>
                <w:b/>
                <w:sz w:val="20"/>
                <w:lang w:val="hu-HU"/>
              </w:rPr>
              <w:t>rate</w:t>
            </w:r>
          </w:p>
        </w:tc>
        <w:tc>
          <w:tcPr>
            <w:tcW w:w="4680" w:type="dxa"/>
            <w:vAlign w:val="center"/>
          </w:tcPr>
          <w:p w14:paraId="73A23A2B" w14:textId="77777777" w:rsidR="001016D3" w:rsidRPr="00EA6977" w:rsidRDefault="001016D3" w:rsidP="00EA6977">
            <w:pPr>
              <w:spacing w:after="0"/>
              <w:jc w:val="center"/>
              <w:rPr>
                <w:b/>
                <w:i/>
                <w:sz w:val="20"/>
                <w:lang w:val="hu-HU"/>
              </w:rPr>
            </w:pPr>
            <w:r w:rsidRPr="00EA6977">
              <w:rPr>
                <w:b/>
                <w:sz w:val="20"/>
                <w:lang w:val="hu-HU"/>
              </w:rPr>
              <w:t>Drugs</w:t>
            </w:r>
          </w:p>
        </w:tc>
        <w:tc>
          <w:tcPr>
            <w:tcW w:w="2970" w:type="dxa"/>
            <w:vAlign w:val="center"/>
          </w:tcPr>
          <w:p w14:paraId="319E7211" w14:textId="77777777" w:rsidR="001016D3" w:rsidRPr="00EA6977" w:rsidRDefault="001016D3" w:rsidP="00EA6977">
            <w:pPr>
              <w:spacing w:after="0"/>
              <w:jc w:val="center"/>
              <w:rPr>
                <w:b/>
                <w:i/>
                <w:sz w:val="20"/>
                <w:lang w:val="hu-HU"/>
              </w:rPr>
            </w:pPr>
            <w:r w:rsidRPr="00EA6977">
              <w:rPr>
                <w:b/>
                <w:sz w:val="20"/>
                <w:lang w:val="hu-HU"/>
              </w:rPr>
              <w:t>Drug Type</w:t>
            </w:r>
          </w:p>
        </w:tc>
      </w:tr>
      <w:tr w:rsidR="001016D3" w:rsidRPr="00EA6977" w14:paraId="0E9EF923" w14:textId="77777777" w:rsidTr="00EA6977">
        <w:tc>
          <w:tcPr>
            <w:tcW w:w="1525" w:type="dxa"/>
            <w:vMerge w:val="restart"/>
            <w:vAlign w:val="center"/>
          </w:tcPr>
          <w:p w14:paraId="34DF8C32" w14:textId="77777777" w:rsidR="001016D3" w:rsidRPr="00EA6977" w:rsidRDefault="001016D3" w:rsidP="00EA6977">
            <w:pPr>
              <w:spacing w:after="0"/>
              <w:jc w:val="center"/>
              <w:rPr>
                <w:sz w:val="20"/>
                <w:lang w:val="hu-HU"/>
              </w:rPr>
            </w:pPr>
            <w:r w:rsidRPr="00EA6977">
              <w:rPr>
                <w:sz w:val="20"/>
                <w:lang w:val="hu-HU"/>
              </w:rPr>
              <w:t>Very high</w:t>
            </w:r>
          </w:p>
          <w:p w14:paraId="7F123A72" w14:textId="77777777" w:rsidR="001016D3" w:rsidRPr="00EA6977" w:rsidRDefault="001016D3" w:rsidP="00EA6977">
            <w:pPr>
              <w:spacing w:after="0"/>
              <w:jc w:val="center"/>
              <w:rPr>
                <w:sz w:val="20"/>
                <w:lang w:val="hu-HU"/>
              </w:rPr>
            </w:pPr>
            <w:r w:rsidRPr="00EA6977">
              <w:rPr>
                <w:sz w:val="20"/>
                <w:lang w:val="hu-HU"/>
              </w:rPr>
              <w:t>P &gt; 10 %</w:t>
            </w:r>
          </w:p>
        </w:tc>
        <w:tc>
          <w:tcPr>
            <w:tcW w:w="4680" w:type="dxa"/>
            <w:vAlign w:val="center"/>
          </w:tcPr>
          <w:p w14:paraId="795910E9" w14:textId="77777777" w:rsidR="001016D3" w:rsidRPr="00EA6977" w:rsidRDefault="001016D3" w:rsidP="00C92676">
            <w:pPr>
              <w:spacing w:after="0"/>
              <w:rPr>
                <w:sz w:val="20"/>
                <w:lang w:val="hu-HU"/>
              </w:rPr>
            </w:pPr>
            <w:r w:rsidRPr="00EA6977">
              <w:rPr>
                <w:sz w:val="20"/>
                <w:lang w:val="hu-HU"/>
              </w:rPr>
              <w:t>Rituximab, Infliximab</w:t>
            </w:r>
          </w:p>
        </w:tc>
        <w:tc>
          <w:tcPr>
            <w:tcW w:w="2970" w:type="dxa"/>
            <w:vAlign w:val="center"/>
          </w:tcPr>
          <w:p w14:paraId="68EAB141" w14:textId="77777777" w:rsidR="001016D3" w:rsidRPr="00EA6977" w:rsidRDefault="001016D3" w:rsidP="00C92676">
            <w:pPr>
              <w:spacing w:after="0"/>
              <w:rPr>
                <w:sz w:val="20"/>
                <w:lang w:val="hu-HU"/>
              </w:rPr>
            </w:pPr>
            <w:r w:rsidRPr="00EA6977">
              <w:rPr>
                <w:sz w:val="20"/>
                <w:lang w:val="hu-HU"/>
              </w:rPr>
              <w:t>mAb</w:t>
            </w:r>
          </w:p>
        </w:tc>
      </w:tr>
      <w:tr w:rsidR="001016D3" w:rsidRPr="00EA6977" w14:paraId="4BDFAF3E" w14:textId="77777777" w:rsidTr="00EA6977">
        <w:tc>
          <w:tcPr>
            <w:tcW w:w="1525" w:type="dxa"/>
            <w:vMerge/>
            <w:vAlign w:val="center"/>
          </w:tcPr>
          <w:p w14:paraId="03C8641F" w14:textId="77777777" w:rsidR="001016D3" w:rsidRPr="00EA6977" w:rsidRDefault="001016D3" w:rsidP="00EA6977">
            <w:pPr>
              <w:spacing w:after="0"/>
              <w:jc w:val="center"/>
              <w:rPr>
                <w:sz w:val="20"/>
                <w:lang w:val="hu-HU"/>
              </w:rPr>
            </w:pPr>
          </w:p>
        </w:tc>
        <w:tc>
          <w:tcPr>
            <w:tcW w:w="4680" w:type="dxa"/>
            <w:vAlign w:val="center"/>
          </w:tcPr>
          <w:p w14:paraId="39B5B9C7" w14:textId="77777777" w:rsidR="001016D3" w:rsidRPr="00EA6977" w:rsidRDefault="001016D3" w:rsidP="00C92676">
            <w:pPr>
              <w:spacing w:after="0"/>
              <w:rPr>
                <w:sz w:val="20"/>
                <w:lang w:val="hu-HU"/>
              </w:rPr>
            </w:pPr>
            <w:r w:rsidRPr="00EA6977">
              <w:rPr>
                <w:sz w:val="20"/>
                <w:lang w:val="hu-HU"/>
              </w:rPr>
              <w:t>L-Dox (Caelyx), Ambisome</w:t>
            </w:r>
          </w:p>
        </w:tc>
        <w:tc>
          <w:tcPr>
            <w:tcW w:w="2970" w:type="dxa"/>
            <w:vAlign w:val="center"/>
          </w:tcPr>
          <w:p w14:paraId="0BA4C9D5" w14:textId="77777777" w:rsidR="001016D3" w:rsidRPr="00EA6977" w:rsidRDefault="001016D3" w:rsidP="00C92676">
            <w:pPr>
              <w:spacing w:after="0"/>
              <w:rPr>
                <w:sz w:val="20"/>
                <w:lang w:val="hu-HU"/>
              </w:rPr>
            </w:pPr>
            <w:r w:rsidRPr="00EA6977">
              <w:rPr>
                <w:sz w:val="20"/>
                <w:lang w:val="hu-HU"/>
              </w:rPr>
              <w:t>Liposome-encapsulated</w:t>
            </w:r>
          </w:p>
        </w:tc>
      </w:tr>
      <w:tr w:rsidR="001016D3" w:rsidRPr="00EA6977" w14:paraId="6D361193" w14:textId="77777777" w:rsidTr="00EA6977">
        <w:tc>
          <w:tcPr>
            <w:tcW w:w="1525" w:type="dxa"/>
            <w:vMerge/>
            <w:vAlign w:val="center"/>
          </w:tcPr>
          <w:p w14:paraId="5F52C692" w14:textId="77777777" w:rsidR="001016D3" w:rsidRPr="00EA6977" w:rsidRDefault="001016D3" w:rsidP="00EA6977">
            <w:pPr>
              <w:spacing w:after="0"/>
              <w:jc w:val="center"/>
              <w:rPr>
                <w:sz w:val="20"/>
                <w:lang w:val="hu-HU"/>
              </w:rPr>
            </w:pPr>
          </w:p>
        </w:tc>
        <w:tc>
          <w:tcPr>
            <w:tcW w:w="4680" w:type="dxa"/>
            <w:vAlign w:val="center"/>
          </w:tcPr>
          <w:p w14:paraId="0598C235" w14:textId="77777777" w:rsidR="001016D3" w:rsidRPr="00EA6977" w:rsidRDefault="001016D3" w:rsidP="00C92676">
            <w:pPr>
              <w:spacing w:after="0"/>
              <w:rPr>
                <w:sz w:val="20"/>
                <w:lang w:val="hu-HU"/>
              </w:rPr>
            </w:pPr>
            <w:r>
              <w:rPr>
                <w:sz w:val="20"/>
                <w:lang w:val="hu-HU"/>
              </w:rPr>
              <w:t>T</w:t>
            </w:r>
            <w:r w:rsidRPr="00EA6977">
              <w:rPr>
                <w:sz w:val="20"/>
                <w:lang w:val="hu-HU"/>
              </w:rPr>
              <w:t>axanes (paclitaxel, docetaxel), platinum</w:t>
            </w:r>
          </w:p>
        </w:tc>
        <w:tc>
          <w:tcPr>
            <w:tcW w:w="2970" w:type="dxa"/>
            <w:vAlign w:val="center"/>
          </w:tcPr>
          <w:p w14:paraId="505F25B3" w14:textId="77777777" w:rsidR="001016D3" w:rsidRPr="00EA6977" w:rsidRDefault="001016D3" w:rsidP="00C92676">
            <w:pPr>
              <w:spacing w:after="0"/>
              <w:rPr>
                <w:sz w:val="20"/>
                <w:lang w:val="hu-HU"/>
              </w:rPr>
            </w:pPr>
            <w:r w:rsidRPr="00EA6977">
              <w:rPr>
                <w:sz w:val="20"/>
                <w:lang w:val="hu-HU"/>
              </w:rPr>
              <w:t>micellarized anticancer</w:t>
            </w:r>
          </w:p>
        </w:tc>
      </w:tr>
      <w:tr w:rsidR="001016D3" w:rsidRPr="00EA6977" w14:paraId="065E7E49" w14:textId="77777777" w:rsidTr="00EA6977">
        <w:tc>
          <w:tcPr>
            <w:tcW w:w="1525" w:type="dxa"/>
            <w:vMerge w:val="restart"/>
            <w:vAlign w:val="center"/>
          </w:tcPr>
          <w:p w14:paraId="4E4D3487" w14:textId="77777777" w:rsidR="001016D3" w:rsidRPr="00EA6977" w:rsidRDefault="001016D3" w:rsidP="00EA6977">
            <w:pPr>
              <w:spacing w:after="0"/>
              <w:jc w:val="center"/>
              <w:rPr>
                <w:sz w:val="20"/>
                <w:lang w:val="hu-HU"/>
              </w:rPr>
            </w:pPr>
            <w:r w:rsidRPr="00EA6977">
              <w:rPr>
                <w:sz w:val="20"/>
                <w:lang w:val="hu-HU"/>
              </w:rPr>
              <w:t>High</w:t>
            </w:r>
          </w:p>
          <w:p w14:paraId="02E51043" w14:textId="77777777" w:rsidR="001016D3" w:rsidRPr="00EA6977" w:rsidRDefault="001016D3" w:rsidP="00EA6977">
            <w:pPr>
              <w:spacing w:after="0"/>
              <w:jc w:val="center"/>
              <w:rPr>
                <w:sz w:val="20"/>
                <w:lang w:val="hu-HU"/>
              </w:rPr>
            </w:pPr>
            <w:r w:rsidRPr="00EA6977">
              <w:rPr>
                <w:sz w:val="20"/>
                <w:lang w:val="hu-HU"/>
              </w:rPr>
              <w:t>1% &lt; P  &lt;10 %</w:t>
            </w:r>
          </w:p>
        </w:tc>
        <w:tc>
          <w:tcPr>
            <w:tcW w:w="4680" w:type="dxa"/>
            <w:vAlign w:val="center"/>
          </w:tcPr>
          <w:p w14:paraId="28AD9F6D" w14:textId="77777777" w:rsidR="001016D3" w:rsidRPr="00EA6977" w:rsidRDefault="001016D3" w:rsidP="00C92676">
            <w:pPr>
              <w:spacing w:after="0"/>
              <w:rPr>
                <w:sz w:val="20"/>
                <w:lang w:val="hu-HU"/>
              </w:rPr>
            </w:pPr>
            <w:r w:rsidRPr="00EA6977">
              <w:rPr>
                <w:sz w:val="20"/>
                <w:lang w:val="hu-HU"/>
              </w:rPr>
              <w:t>Natalizumab,  Cetuximab, Trastuzumab, Panitumumab, Gentuzumab</w:t>
            </w:r>
          </w:p>
        </w:tc>
        <w:tc>
          <w:tcPr>
            <w:tcW w:w="2970" w:type="dxa"/>
            <w:vAlign w:val="center"/>
          </w:tcPr>
          <w:p w14:paraId="27C9DE36" w14:textId="77777777" w:rsidR="001016D3" w:rsidRPr="00EA6977" w:rsidRDefault="001016D3" w:rsidP="00C92676">
            <w:pPr>
              <w:spacing w:after="0"/>
              <w:rPr>
                <w:sz w:val="20"/>
                <w:lang w:val="hu-HU"/>
              </w:rPr>
            </w:pPr>
            <w:r w:rsidRPr="00EA6977">
              <w:rPr>
                <w:sz w:val="20"/>
                <w:lang w:val="hu-HU"/>
              </w:rPr>
              <w:t>mAb</w:t>
            </w:r>
          </w:p>
        </w:tc>
      </w:tr>
      <w:tr w:rsidR="001016D3" w:rsidRPr="00EA6977" w14:paraId="50863C1B" w14:textId="77777777" w:rsidTr="00EA6977">
        <w:tc>
          <w:tcPr>
            <w:tcW w:w="1525" w:type="dxa"/>
            <w:vMerge/>
            <w:vAlign w:val="center"/>
          </w:tcPr>
          <w:p w14:paraId="721F60A0" w14:textId="77777777" w:rsidR="001016D3" w:rsidRPr="00EA6977" w:rsidRDefault="001016D3" w:rsidP="00EA6977">
            <w:pPr>
              <w:spacing w:after="0"/>
              <w:jc w:val="center"/>
              <w:rPr>
                <w:sz w:val="20"/>
                <w:lang w:val="hu-HU"/>
              </w:rPr>
            </w:pPr>
          </w:p>
        </w:tc>
        <w:tc>
          <w:tcPr>
            <w:tcW w:w="4680" w:type="dxa"/>
            <w:vAlign w:val="center"/>
          </w:tcPr>
          <w:p w14:paraId="38CADD7A" w14:textId="77777777" w:rsidR="001016D3" w:rsidRPr="00EA6977" w:rsidRDefault="001016D3" w:rsidP="00C92676">
            <w:pPr>
              <w:spacing w:after="0"/>
              <w:rPr>
                <w:sz w:val="20"/>
                <w:lang w:val="hu-HU"/>
              </w:rPr>
            </w:pPr>
            <w:r w:rsidRPr="00EA6977">
              <w:rPr>
                <w:sz w:val="20"/>
                <w:lang w:val="hu-HU"/>
              </w:rPr>
              <w:t>Amphotec, Myocet, Amphocyl, DaunoXome, Abelcet,  Visudyne</w:t>
            </w:r>
          </w:p>
        </w:tc>
        <w:tc>
          <w:tcPr>
            <w:tcW w:w="2970" w:type="dxa"/>
            <w:vAlign w:val="center"/>
          </w:tcPr>
          <w:p w14:paraId="599F54D4" w14:textId="77777777" w:rsidR="001016D3" w:rsidRPr="00EA6977" w:rsidRDefault="001016D3" w:rsidP="00C92676">
            <w:pPr>
              <w:spacing w:after="0"/>
              <w:rPr>
                <w:sz w:val="20"/>
                <w:lang w:val="hu-HU"/>
              </w:rPr>
            </w:pPr>
            <w:r w:rsidRPr="00EA6977">
              <w:rPr>
                <w:sz w:val="20"/>
                <w:lang w:val="hu-HU"/>
              </w:rPr>
              <w:t>Liposome</w:t>
            </w:r>
          </w:p>
        </w:tc>
      </w:tr>
      <w:tr w:rsidR="001016D3" w:rsidRPr="00EA6977" w14:paraId="607863D7" w14:textId="77777777" w:rsidTr="00EA6977">
        <w:tc>
          <w:tcPr>
            <w:tcW w:w="1525" w:type="dxa"/>
            <w:vMerge/>
            <w:vAlign w:val="center"/>
          </w:tcPr>
          <w:p w14:paraId="48BCB1A6" w14:textId="77777777" w:rsidR="001016D3" w:rsidRPr="00EA6977" w:rsidRDefault="001016D3" w:rsidP="00EA6977">
            <w:pPr>
              <w:spacing w:after="0"/>
              <w:jc w:val="center"/>
              <w:rPr>
                <w:sz w:val="20"/>
                <w:lang w:val="hu-HU"/>
              </w:rPr>
            </w:pPr>
          </w:p>
        </w:tc>
        <w:tc>
          <w:tcPr>
            <w:tcW w:w="4680" w:type="dxa"/>
            <w:vAlign w:val="center"/>
          </w:tcPr>
          <w:p w14:paraId="09F7FEFB" w14:textId="77777777" w:rsidR="001016D3" w:rsidRPr="00EA6977" w:rsidRDefault="001016D3" w:rsidP="00C92676">
            <w:pPr>
              <w:spacing w:after="0"/>
              <w:rPr>
                <w:sz w:val="20"/>
                <w:lang w:val="hu-HU"/>
              </w:rPr>
            </w:pPr>
            <w:r w:rsidRPr="00EA6977">
              <w:rPr>
                <w:sz w:val="20"/>
                <w:lang w:val="hu-HU"/>
              </w:rPr>
              <w:t>Penicillin</w:t>
            </w:r>
          </w:p>
        </w:tc>
        <w:tc>
          <w:tcPr>
            <w:tcW w:w="2970" w:type="dxa"/>
            <w:vAlign w:val="center"/>
          </w:tcPr>
          <w:p w14:paraId="09FD9637" w14:textId="77777777" w:rsidR="001016D3" w:rsidRPr="00EA6977" w:rsidRDefault="001016D3" w:rsidP="00C92676">
            <w:pPr>
              <w:spacing w:after="0"/>
              <w:rPr>
                <w:sz w:val="20"/>
                <w:lang w:val="hu-HU"/>
              </w:rPr>
            </w:pPr>
            <w:r w:rsidRPr="00EA6977">
              <w:rPr>
                <w:sz w:val="20"/>
                <w:lang w:val="hu-HU"/>
              </w:rPr>
              <w:t>Antibiotic</w:t>
            </w:r>
          </w:p>
        </w:tc>
      </w:tr>
      <w:tr w:rsidR="001016D3" w:rsidRPr="00EA6977" w14:paraId="753CFA05" w14:textId="77777777" w:rsidTr="00EA6977">
        <w:tc>
          <w:tcPr>
            <w:tcW w:w="1525" w:type="dxa"/>
            <w:vMerge/>
            <w:vAlign w:val="center"/>
          </w:tcPr>
          <w:p w14:paraId="059B213A" w14:textId="77777777" w:rsidR="001016D3" w:rsidRPr="00EA6977" w:rsidRDefault="001016D3" w:rsidP="00EA6977">
            <w:pPr>
              <w:spacing w:after="0"/>
              <w:jc w:val="center"/>
              <w:rPr>
                <w:sz w:val="20"/>
                <w:lang w:val="hu-HU"/>
              </w:rPr>
            </w:pPr>
          </w:p>
        </w:tc>
        <w:tc>
          <w:tcPr>
            <w:tcW w:w="4680" w:type="dxa"/>
            <w:vAlign w:val="center"/>
          </w:tcPr>
          <w:p w14:paraId="2B5653B0" w14:textId="77777777" w:rsidR="001016D3" w:rsidRPr="00EA6977" w:rsidRDefault="001016D3" w:rsidP="00C92676">
            <w:pPr>
              <w:spacing w:after="0"/>
              <w:rPr>
                <w:sz w:val="20"/>
                <w:lang w:val="hu-HU"/>
              </w:rPr>
            </w:pPr>
            <w:r>
              <w:rPr>
                <w:sz w:val="20"/>
                <w:lang w:val="hu-HU"/>
              </w:rPr>
              <w:t>Platinum compounds (Cisplatin, C</w:t>
            </w:r>
            <w:r w:rsidRPr="00EA6977">
              <w:rPr>
                <w:sz w:val="20"/>
                <w:lang w:val="hu-HU"/>
              </w:rPr>
              <w:t>arboplatin),</w:t>
            </w:r>
          </w:p>
        </w:tc>
        <w:tc>
          <w:tcPr>
            <w:tcW w:w="2970" w:type="dxa"/>
            <w:vAlign w:val="center"/>
          </w:tcPr>
          <w:p w14:paraId="29D54175" w14:textId="77777777" w:rsidR="001016D3" w:rsidRPr="00EA6977" w:rsidRDefault="001016D3" w:rsidP="00C92676">
            <w:pPr>
              <w:spacing w:after="0"/>
              <w:rPr>
                <w:sz w:val="20"/>
                <w:lang w:val="hu-HU"/>
              </w:rPr>
            </w:pPr>
            <w:r w:rsidRPr="00EA6977">
              <w:rPr>
                <w:sz w:val="20"/>
                <w:lang w:val="hu-HU"/>
              </w:rPr>
              <w:t>Anticancer drugs</w:t>
            </w:r>
          </w:p>
        </w:tc>
      </w:tr>
      <w:tr w:rsidR="001016D3" w:rsidRPr="00EA6977" w14:paraId="7410FEE1" w14:textId="77777777" w:rsidTr="00EA6977">
        <w:tc>
          <w:tcPr>
            <w:tcW w:w="1525" w:type="dxa"/>
            <w:vMerge w:val="restart"/>
            <w:vAlign w:val="center"/>
          </w:tcPr>
          <w:p w14:paraId="3F508DD3" w14:textId="77777777" w:rsidR="001016D3" w:rsidRPr="00EA6977" w:rsidRDefault="001016D3" w:rsidP="00EA6977">
            <w:pPr>
              <w:spacing w:after="0"/>
              <w:jc w:val="center"/>
              <w:rPr>
                <w:sz w:val="20"/>
                <w:lang w:val="hu-HU"/>
              </w:rPr>
            </w:pPr>
            <w:r w:rsidRPr="00EA6977">
              <w:rPr>
                <w:sz w:val="20"/>
                <w:lang w:val="hu-HU"/>
              </w:rPr>
              <w:t>Moderate</w:t>
            </w:r>
          </w:p>
          <w:p w14:paraId="105DA2CF" w14:textId="77777777" w:rsidR="001016D3" w:rsidRPr="00EA6977" w:rsidRDefault="001016D3" w:rsidP="00EA6977">
            <w:pPr>
              <w:spacing w:after="0"/>
              <w:jc w:val="center"/>
              <w:rPr>
                <w:sz w:val="20"/>
                <w:lang w:val="hu-HU"/>
              </w:rPr>
            </w:pPr>
            <w:r w:rsidRPr="00EA6977">
              <w:rPr>
                <w:sz w:val="20"/>
                <w:lang w:val="hu-HU"/>
              </w:rPr>
              <w:t>0.1 &lt; P % &lt;1</w:t>
            </w:r>
          </w:p>
        </w:tc>
        <w:tc>
          <w:tcPr>
            <w:tcW w:w="4680" w:type="dxa"/>
            <w:vAlign w:val="center"/>
          </w:tcPr>
          <w:p w14:paraId="733B99CA" w14:textId="77777777" w:rsidR="001016D3" w:rsidRPr="00EA6977" w:rsidRDefault="001016D3" w:rsidP="00C92676">
            <w:pPr>
              <w:spacing w:after="0"/>
              <w:rPr>
                <w:sz w:val="20"/>
                <w:lang w:val="hu-HU"/>
              </w:rPr>
            </w:pPr>
            <w:r w:rsidRPr="00EA6977">
              <w:rPr>
                <w:sz w:val="20"/>
                <w:lang w:val="hu-HU"/>
              </w:rPr>
              <w:t>Omalizumab</w:t>
            </w:r>
          </w:p>
          <w:p w14:paraId="5087DC3C" w14:textId="77777777" w:rsidR="001016D3" w:rsidRPr="00EA6977" w:rsidRDefault="001016D3" w:rsidP="00C92676">
            <w:pPr>
              <w:spacing w:after="0"/>
              <w:rPr>
                <w:sz w:val="20"/>
                <w:lang w:val="hu-HU"/>
              </w:rPr>
            </w:pPr>
            <w:r w:rsidRPr="00EA6977">
              <w:rPr>
                <w:sz w:val="20"/>
                <w:lang w:val="hu-HU"/>
              </w:rPr>
              <w:t>Alemtuzumab</w:t>
            </w:r>
          </w:p>
          <w:p w14:paraId="0718BB66" w14:textId="77777777" w:rsidR="001016D3" w:rsidRPr="00EA6977" w:rsidRDefault="001016D3" w:rsidP="00C92676">
            <w:pPr>
              <w:spacing w:after="0"/>
              <w:rPr>
                <w:sz w:val="20"/>
                <w:lang w:val="hu-HU"/>
              </w:rPr>
            </w:pPr>
            <w:r w:rsidRPr="00EA6977">
              <w:rPr>
                <w:sz w:val="20"/>
                <w:lang w:val="hu-HU"/>
              </w:rPr>
              <w:t>Trastuzumab</w:t>
            </w:r>
          </w:p>
        </w:tc>
        <w:tc>
          <w:tcPr>
            <w:tcW w:w="2970" w:type="dxa"/>
            <w:vAlign w:val="center"/>
          </w:tcPr>
          <w:p w14:paraId="5AD9E41C" w14:textId="77777777" w:rsidR="001016D3" w:rsidRPr="00EA6977" w:rsidRDefault="001016D3" w:rsidP="00C92676">
            <w:pPr>
              <w:spacing w:after="0"/>
              <w:rPr>
                <w:sz w:val="20"/>
                <w:lang w:val="hu-HU"/>
              </w:rPr>
            </w:pPr>
            <w:r w:rsidRPr="00EA6977">
              <w:rPr>
                <w:sz w:val="20"/>
                <w:lang w:val="hu-HU"/>
              </w:rPr>
              <w:t>Monoclonal antibodies (mAbs)</w:t>
            </w:r>
          </w:p>
        </w:tc>
      </w:tr>
      <w:tr w:rsidR="001016D3" w:rsidRPr="00EA6977" w14:paraId="7D83D5F3" w14:textId="77777777" w:rsidTr="00EA6977">
        <w:tc>
          <w:tcPr>
            <w:tcW w:w="1525" w:type="dxa"/>
            <w:vMerge/>
            <w:vAlign w:val="center"/>
          </w:tcPr>
          <w:p w14:paraId="4B0EEF7B" w14:textId="77777777" w:rsidR="001016D3" w:rsidRPr="00EA6977" w:rsidRDefault="001016D3" w:rsidP="00EA6977">
            <w:pPr>
              <w:spacing w:after="0"/>
              <w:jc w:val="center"/>
              <w:rPr>
                <w:sz w:val="20"/>
                <w:lang w:val="hu-HU"/>
              </w:rPr>
            </w:pPr>
          </w:p>
        </w:tc>
        <w:tc>
          <w:tcPr>
            <w:tcW w:w="4680" w:type="dxa"/>
            <w:vAlign w:val="center"/>
          </w:tcPr>
          <w:p w14:paraId="17061156" w14:textId="77777777" w:rsidR="001016D3" w:rsidRPr="00EA6977" w:rsidRDefault="001016D3" w:rsidP="00C92676">
            <w:pPr>
              <w:spacing w:after="0"/>
              <w:rPr>
                <w:sz w:val="20"/>
                <w:lang w:val="hu-HU"/>
              </w:rPr>
            </w:pPr>
            <w:r>
              <w:rPr>
                <w:sz w:val="20"/>
                <w:lang w:val="hu-HU"/>
              </w:rPr>
              <w:t>C</w:t>
            </w:r>
            <w:r w:rsidRPr="00EA6977">
              <w:rPr>
                <w:sz w:val="20"/>
                <w:lang w:val="hu-HU"/>
              </w:rPr>
              <w:t>ephalosporins/carbapenems</w:t>
            </w:r>
            <w:r w:rsidRPr="00EA6977">
              <w:rPr>
                <w:rStyle w:val="apple-converted-space"/>
                <w:bCs/>
                <w:sz w:val="20"/>
                <w:lang w:val="hu-HU"/>
              </w:rPr>
              <w:t xml:space="preserve">, </w:t>
            </w:r>
            <w:r w:rsidRPr="00EA6977">
              <w:rPr>
                <w:sz w:val="20"/>
                <w:lang w:val="hu-HU"/>
              </w:rPr>
              <w:t xml:space="preserve">aztreonam, </w:t>
            </w:r>
            <w:r w:rsidRPr="00EA6977">
              <w:rPr>
                <w:rStyle w:val="apple-converted-space"/>
                <w:bCs/>
                <w:sz w:val="20"/>
                <w:lang w:val="hu-HU"/>
              </w:rPr>
              <w:t>imipenem</w:t>
            </w:r>
          </w:p>
        </w:tc>
        <w:tc>
          <w:tcPr>
            <w:tcW w:w="2970" w:type="dxa"/>
            <w:vAlign w:val="center"/>
          </w:tcPr>
          <w:p w14:paraId="5ED3C6F0" w14:textId="77777777" w:rsidR="001016D3" w:rsidRPr="00EA6977" w:rsidRDefault="001016D3" w:rsidP="00C92676">
            <w:pPr>
              <w:spacing w:after="0"/>
              <w:rPr>
                <w:sz w:val="20"/>
                <w:lang w:val="hu-HU"/>
              </w:rPr>
            </w:pPr>
            <w:r w:rsidRPr="00EA6977">
              <w:rPr>
                <w:sz w:val="20"/>
                <w:lang w:val="hu-HU"/>
              </w:rPr>
              <w:t>antibiotics</w:t>
            </w:r>
          </w:p>
        </w:tc>
      </w:tr>
      <w:tr w:rsidR="001016D3" w:rsidRPr="00EA6977" w14:paraId="13608354" w14:textId="77777777" w:rsidTr="00EA6977">
        <w:tc>
          <w:tcPr>
            <w:tcW w:w="1525" w:type="dxa"/>
            <w:vMerge/>
            <w:vAlign w:val="center"/>
          </w:tcPr>
          <w:p w14:paraId="45B3D9A4" w14:textId="77777777" w:rsidR="001016D3" w:rsidRPr="00EA6977" w:rsidRDefault="001016D3" w:rsidP="00EA6977">
            <w:pPr>
              <w:spacing w:after="0"/>
              <w:jc w:val="center"/>
              <w:rPr>
                <w:sz w:val="20"/>
                <w:lang w:val="hu-HU"/>
              </w:rPr>
            </w:pPr>
          </w:p>
        </w:tc>
        <w:tc>
          <w:tcPr>
            <w:tcW w:w="4680" w:type="dxa"/>
            <w:vAlign w:val="center"/>
          </w:tcPr>
          <w:p w14:paraId="1FB146EA" w14:textId="77777777" w:rsidR="001016D3" w:rsidRPr="00EA6977" w:rsidRDefault="001016D3" w:rsidP="0061217F">
            <w:pPr>
              <w:spacing w:after="0"/>
              <w:rPr>
                <w:sz w:val="20"/>
                <w:lang w:val="hu-HU"/>
              </w:rPr>
            </w:pPr>
            <w:r w:rsidRPr="00EA6977">
              <w:rPr>
                <w:sz w:val="20"/>
                <w:lang w:val="hu-HU"/>
              </w:rPr>
              <w:t>Iodinate</w:t>
            </w:r>
            <w:r>
              <w:rPr>
                <w:sz w:val="20"/>
                <w:lang w:val="hu-HU"/>
              </w:rPr>
              <w:t>d contrast agents (Ioxaglate, Iohexol, I</w:t>
            </w:r>
            <w:r w:rsidRPr="00EA6977">
              <w:rPr>
                <w:sz w:val="20"/>
                <w:lang w:val="hu-HU"/>
              </w:rPr>
              <w:t>opamidol</w:t>
            </w:r>
            <w:r>
              <w:rPr>
                <w:sz w:val="20"/>
                <w:lang w:val="hu-HU"/>
              </w:rPr>
              <w:t>, Ioversol, Iopromide, Ioxilan)</w:t>
            </w:r>
          </w:p>
        </w:tc>
        <w:tc>
          <w:tcPr>
            <w:tcW w:w="2970" w:type="dxa"/>
            <w:vAlign w:val="center"/>
          </w:tcPr>
          <w:p w14:paraId="6EFA4CC8" w14:textId="77777777" w:rsidR="001016D3" w:rsidRPr="00EA6977" w:rsidRDefault="001016D3" w:rsidP="00C92676">
            <w:pPr>
              <w:spacing w:after="0"/>
              <w:rPr>
                <w:sz w:val="20"/>
                <w:lang w:val="hu-HU"/>
              </w:rPr>
            </w:pPr>
            <w:r w:rsidRPr="00EA6977">
              <w:rPr>
                <w:sz w:val="20"/>
                <w:lang w:val="hu-HU"/>
              </w:rPr>
              <w:t>radiocontrast agents</w:t>
            </w:r>
          </w:p>
        </w:tc>
      </w:tr>
      <w:tr w:rsidR="001016D3" w:rsidRPr="00EA6977" w14:paraId="1DC703F1" w14:textId="77777777" w:rsidTr="00EA6977">
        <w:tc>
          <w:tcPr>
            <w:tcW w:w="1525" w:type="dxa"/>
            <w:vMerge w:val="restart"/>
            <w:vAlign w:val="center"/>
          </w:tcPr>
          <w:p w14:paraId="789AEBEE" w14:textId="77777777" w:rsidR="001016D3" w:rsidRPr="00EA6977" w:rsidRDefault="001016D3" w:rsidP="00EA6977">
            <w:pPr>
              <w:spacing w:after="0"/>
              <w:jc w:val="center"/>
              <w:rPr>
                <w:sz w:val="20"/>
                <w:lang w:val="hu-HU"/>
              </w:rPr>
            </w:pPr>
            <w:r>
              <w:rPr>
                <w:sz w:val="20"/>
                <w:lang w:val="hu-HU"/>
              </w:rPr>
              <w:t>low</w:t>
            </w:r>
          </w:p>
          <w:p w14:paraId="6A59EF10" w14:textId="77777777" w:rsidR="001016D3" w:rsidRPr="00EA6977" w:rsidRDefault="001016D3" w:rsidP="00EA6977">
            <w:pPr>
              <w:spacing w:after="0"/>
              <w:jc w:val="center"/>
              <w:rPr>
                <w:sz w:val="20"/>
                <w:lang w:val="hu-HU"/>
              </w:rPr>
            </w:pPr>
            <w:r>
              <w:rPr>
                <w:sz w:val="20"/>
                <w:lang w:val="hu-HU"/>
              </w:rPr>
              <w:t xml:space="preserve">0.01 &lt; P % </w:t>
            </w:r>
            <w:r w:rsidRPr="00EA6977">
              <w:rPr>
                <w:sz w:val="20"/>
                <w:lang w:val="hu-HU"/>
              </w:rPr>
              <w:t>&lt;0.1</w:t>
            </w:r>
          </w:p>
        </w:tc>
        <w:tc>
          <w:tcPr>
            <w:tcW w:w="4680" w:type="dxa"/>
            <w:vAlign w:val="center"/>
          </w:tcPr>
          <w:p w14:paraId="17351E58" w14:textId="77777777" w:rsidR="001016D3" w:rsidRPr="00EA6977" w:rsidRDefault="001016D3" w:rsidP="00C92676">
            <w:pPr>
              <w:spacing w:after="0"/>
              <w:rPr>
                <w:sz w:val="20"/>
                <w:lang w:val="hu-HU"/>
              </w:rPr>
            </w:pPr>
            <w:r w:rsidRPr="00EA6977">
              <w:rPr>
                <w:sz w:val="20"/>
                <w:lang w:val="hu-HU"/>
              </w:rPr>
              <w:t>Bevacizumab</w:t>
            </w:r>
          </w:p>
        </w:tc>
        <w:tc>
          <w:tcPr>
            <w:tcW w:w="2970" w:type="dxa"/>
            <w:vAlign w:val="center"/>
          </w:tcPr>
          <w:p w14:paraId="6BD9CE2A" w14:textId="77777777" w:rsidR="001016D3" w:rsidRPr="00EA6977" w:rsidRDefault="001016D3" w:rsidP="00C92676">
            <w:pPr>
              <w:spacing w:after="0"/>
              <w:rPr>
                <w:sz w:val="20"/>
                <w:lang w:val="hu-HU"/>
              </w:rPr>
            </w:pPr>
            <w:r w:rsidRPr="00EA6977">
              <w:rPr>
                <w:sz w:val="20"/>
                <w:lang w:val="hu-HU"/>
              </w:rPr>
              <w:t>mAb</w:t>
            </w:r>
          </w:p>
        </w:tc>
      </w:tr>
      <w:tr w:rsidR="001016D3" w:rsidRPr="00EA6977" w14:paraId="57DDF2DA" w14:textId="77777777" w:rsidTr="00EA6977">
        <w:tc>
          <w:tcPr>
            <w:tcW w:w="1525" w:type="dxa"/>
            <w:vMerge/>
            <w:vAlign w:val="center"/>
          </w:tcPr>
          <w:p w14:paraId="76EEF091" w14:textId="77777777" w:rsidR="001016D3" w:rsidRPr="00EA6977" w:rsidRDefault="001016D3" w:rsidP="00EA6977">
            <w:pPr>
              <w:spacing w:after="0"/>
              <w:jc w:val="center"/>
              <w:rPr>
                <w:sz w:val="20"/>
                <w:lang w:val="hu-HU"/>
              </w:rPr>
            </w:pPr>
          </w:p>
        </w:tc>
        <w:tc>
          <w:tcPr>
            <w:tcW w:w="4680" w:type="dxa"/>
            <w:vAlign w:val="center"/>
          </w:tcPr>
          <w:p w14:paraId="478FD779" w14:textId="77777777" w:rsidR="001016D3" w:rsidRPr="00EA6977" w:rsidRDefault="001016D3" w:rsidP="00C92676">
            <w:pPr>
              <w:spacing w:after="0"/>
              <w:rPr>
                <w:sz w:val="20"/>
                <w:lang w:val="hu-HU"/>
              </w:rPr>
            </w:pPr>
            <w:r>
              <w:rPr>
                <w:sz w:val="20"/>
                <w:lang w:val="hu-HU"/>
              </w:rPr>
              <w:t>E</w:t>
            </w:r>
            <w:r w:rsidRPr="00EA6977">
              <w:rPr>
                <w:sz w:val="20"/>
                <w:lang w:val="hu-HU"/>
              </w:rPr>
              <w:t>pipodophyllot</w:t>
            </w:r>
            <w:r>
              <w:rPr>
                <w:sz w:val="20"/>
                <w:lang w:val="hu-HU"/>
              </w:rPr>
              <w:t>oxins (teniposide, etoposide), Asparaginase, P</w:t>
            </w:r>
            <w:r w:rsidRPr="00EA6977">
              <w:rPr>
                <w:sz w:val="20"/>
                <w:lang w:val="hu-HU"/>
              </w:rPr>
              <w:t>rocarbazine, Doxorubicin, 6-mercaptopurine</w:t>
            </w:r>
          </w:p>
        </w:tc>
        <w:tc>
          <w:tcPr>
            <w:tcW w:w="2970" w:type="dxa"/>
            <w:vAlign w:val="center"/>
          </w:tcPr>
          <w:p w14:paraId="744A0CE7" w14:textId="77777777" w:rsidR="001016D3" w:rsidRPr="00EA6977" w:rsidRDefault="001016D3" w:rsidP="00C92676">
            <w:pPr>
              <w:spacing w:after="0"/>
              <w:rPr>
                <w:sz w:val="20"/>
                <w:lang w:val="hu-HU"/>
              </w:rPr>
            </w:pPr>
            <w:r>
              <w:rPr>
                <w:sz w:val="20"/>
                <w:lang w:val="hu-HU"/>
              </w:rPr>
              <w:t>a</w:t>
            </w:r>
            <w:r w:rsidRPr="00EA6977">
              <w:rPr>
                <w:sz w:val="20"/>
                <w:lang w:val="hu-HU"/>
              </w:rPr>
              <w:t>nticancer drugs</w:t>
            </w:r>
          </w:p>
        </w:tc>
      </w:tr>
      <w:tr w:rsidR="001016D3" w:rsidRPr="00EA6977" w14:paraId="6B3CC05C" w14:textId="77777777" w:rsidTr="00EA6977">
        <w:tc>
          <w:tcPr>
            <w:tcW w:w="1525" w:type="dxa"/>
            <w:vMerge/>
            <w:vAlign w:val="center"/>
          </w:tcPr>
          <w:p w14:paraId="78BA75A0" w14:textId="77777777" w:rsidR="001016D3" w:rsidRPr="00EA6977" w:rsidRDefault="001016D3" w:rsidP="00EA6977">
            <w:pPr>
              <w:spacing w:after="0"/>
              <w:jc w:val="center"/>
              <w:rPr>
                <w:sz w:val="20"/>
                <w:lang w:val="hu-HU"/>
              </w:rPr>
            </w:pPr>
          </w:p>
        </w:tc>
        <w:tc>
          <w:tcPr>
            <w:tcW w:w="4680" w:type="dxa"/>
            <w:vAlign w:val="center"/>
          </w:tcPr>
          <w:p w14:paraId="243F7290" w14:textId="77777777" w:rsidR="001016D3" w:rsidRPr="00EA6977" w:rsidRDefault="001016D3" w:rsidP="00C92676">
            <w:pPr>
              <w:spacing w:after="0"/>
              <w:rPr>
                <w:sz w:val="20"/>
                <w:lang w:val="hu-HU"/>
              </w:rPr>
            </w:pPr>
            <w:r>
              <w:rPr>
                <w:sz w:val="20"/>
                <w:lang w:val="hu-HU"/>
              </w:rPr>
              <w:t>Acetaminophen (paracetamol), Aspirin, I</w:t>
            </w:r>
            <w:r w:rsidRPr="00EA6977">
              <w:rPr>
                <w:sz w:val="20"/>
                <w:lang w:val="hu-HU"/>
              </w:rPr>
              <w:t>buprofen</w:t>
            </w:r>
          </w:p>
        </w:tc>
        <w:tc>
          <w:tcPr>
            <w:tcW w:w="2970" w:type="dxa"/>
            <w:vAlign w:val="center"/>
          </w:tcPr>
          <w:p w14:paraId="311AC678" w14:textId="77777777" w:rsidR="001016D3" w:rsidRPr="00EA6977" w:rsidRDefault="001016D3" w:rsidP="00C92676">
            <w:pPr>
              <w:spacing w:after="0"/>
              <w:rPr>
                <w:i/>
                <w:sz w:val="20"/>
                <w:lang w:val="hu-HU"/>
              </w:rPr>
            </w:pPr>
            <w:r w:rsidRPr="00EA6977">
              <w:rPr>
                <w:sz w:val="20"/>
                <w:lang w:val="hu-HU"/>
              </w:rPr>
              <w:t>anaesthetics, analgetics antalgics, antipyretics and non-steroidal anti-inflammatory drugs (NSAIDs) s</w:t>
            </w:r>
          </w:p>
        </w:tc>
      </w:tr>
      <w:tr w:rsidR="001016D3" w:rsidRPr="00EA6977" w14:paraId="337FFFCE" w14:textId="77777777" w:rsidTr="00EA6977">
        <w:tc>
          <w:tcPr>
            <w:tcW w:w="1525" w:type="dxa"/>
            <w:vMerge/>
            <w:vAlign w:val="center"/>
          </w:tcPr>
          <w:p w14:paraId="14AC704D" w14:textId="77777777" w:rsidR="001016D3" w:rsidRPr="00EA6977" w:rsidRDefault="001016D3" w:rsidP="00EA6977">
            <w:pPr>
              <w:spacing w:after="0"/>
              <w:jc w:val="center"/>
              <w:rPr>
                <w:sz w:val="20"/>
                <w:lang w:val="hu-HU"/>
              </w:rPr>
            </w:pPr>
          </w:p>
        </w:tc>
        <w:tc>
          <w:tcPr>
            <w:tcW w:w="4680" w:type="dxa"/>
            <w:vAlign w:val="center"/>
          </w:tcPr>
          <w:p w14:paraId="365CFC96" w14:textId="77777777" w:rsidR="001016D3" w:rsidRPr="00EA6977" w:rsidRDefault="001016D3" w:rsidP="00C92676">
            <w:pPr>
              <w:spacing w:after="0"/>
              <w:rPr>
                <w:sz w:val="20"/>
                <w:lang w:val="hu-HU"/>
              </w:rPr>
            </w:pPr>
            <w:r w:rsidRPr="00EA6977">
              <w:rPr>
                <w:sz w:val="20"/>
                <w:lang w:val="hu-HU"/>
              </w:rPr>
              <w:t>Phenytoin, carbamazepine phenobarbital sodium</w:t>
            </w:r>
          </w:p>
          <w:p w14:paraId="2852CC54" w14:textId="77777777" w:rsidR="001016D3" w:rsidRPr="00EA6977" w:rsidRDefault="001016D3" w:rsidP="00C92676">
            <w:pPr>
              <w:spacing w:after="0"/>
              <w:rPr>
                <w:sz w:val="20"/>
                <w:lang w:val="hu-HU"/>
              </w:rPr>
            </w:pPr>
            <w:r>
              <w:rPr>
                <w:sz w:val="20"/>
                <w:lang w:val="hu-HU"/>
              </w:rPr>
              <w:t>Lamotrigine, P</w:t>
            </w:r>
            <w:r w:rsidRPr="00EA6977">
              <w:rPr>
                <w:sz w:val="20"/>
                <w:lang w:val="hu-HU"/>
              </w:rPr>
              <w:t xml:space="preserve">rimidone </w:t>
            </w:r>
            <w:r w:rsidRPr="00EA6977">
              <w:rPr>
                <w:bCs/>
                <w:sz w:val="20"/>
                <w:lang w:val="hu-HU"/>
              </w:rPr>
              <w:t xml:space="preserve">diphenylhydantoin, </w:t>
            </w:r>
            <w:hyperlink r:id="rId11" w:tooltip="Sulfonamides" w:history="1">
              <w:r>
                <w:rPr>
                  <w:rStyle w:val="Hyperlink"/>
                  <w:bCs/>
                  <w:color w:val="000000"/>
                  <w:sz w:val="20"/>
                  <w:u w:val="none"/>
                  <w:lang w:val="hu-HU"/>
                </w:rPr>
                <w:t>S</w:t>
              </w:r>
              <w:r w:rsidRPr="00EA6977">
                <w:rPr>
                  <w:rStyle w:val="Hyperlink"/>
                  <w:bCs/>
                  <w:color w:val="000000"/>
                  <w:sz w:val="20"/>
                  <w:u w:val="none"/>
                  <w:lang w:val="hu-HU"/>
                </w:rPr>
                <w:t>ulfonamides</w:t>
              </w:r>
            </w:hyperlink>
            <w:r w:rsidRPr="00EA6977">
              <w:rPr>
                <w:bCs/>
                <w:sz w:val="20"/>
                <w:lang w:val="hu-HU"/>
              </w:rPr>
              <w:t xml:space="preserve"> (</w:t>
            </w:r>
            <w:hyperlink r:id="rId12" w:tooltip="Procainamide" w:history="1">
              <w:r w:rsidRPr="00EA6977">
                <w:rPr>
                  <w:rStyle w:val="Hyperlink"/>
                  <w:bCs/>
                  <w:color w:val="000000"/>
                  <w:sz w:val="20"/>
                  <w:u w:val="none"/>
                  <w:lang w:val="hu-HU"/>
                </w:rPr>
                <w:t>procainamide</w:t>
              </w:r>
            </w:hyperlink>
            <w:r w:rsidRPr="00EA6977">
              <w:rPr>
                <w:bCs/>
                <w:sz w:val="20"/>
                <w:lang w:val="hu-HU"/>
              </w:rPr>
              <w:t xml:space="preserve">), </w:t>
            </w:r>
            <w:hyperlink r:id="rId13" w:tooltip="Sulfonylurea" w:history="1">
              <w:r>
                <w:rPr>
                  <w:rStyle w:val="Hyperlink"/>
                  <w:bCs/>
                  <w:color w:val="000000"/>
                  <w:sz w:val="20"/>
                  <w:u w:val="none"/>
                  <w:lang w:val="hu-HU"/>
                </w:rPr>
                <w:t>S</w:t>
              </w:r>
              <w:r w:rsidRPr="00EA6977">
                <w:rPr>
                  <w:rStyle w:val="Hyperlink"/>
                  <w:bCs/>
                  <w:color w:val="000000"/>
                  <w:sz w:val="20"/>
                  <w:u w:val="none"/>
                  <w:lang w:val="hu-HU"/>
                </w:rPr>
                <w:t>ulfonylureas</w:t>
              </w:r>
            </w:hyperlink>
          </w:p>
        </w:tc>
        <w:tc>
          <w:tcPr>
            <w:tcW w:w="2970" w:type="dxa"/>
            <w:vAlign w:val="center"/>
          </w:tcPr>
          <w:p w14:paraId="0B757116" w14:textId="77777777" w:rsidR="001016D3" w:rsidRPr="00EA6977" w:rsidRDefault="001016D3" w:rsidP="00C92676">
            <w:pPr>
              <w:spacing w:after="0"/>
              <w:rPr>
                <w:sz w:val="20"/>
                <w:lang w:val="hu-HU"/>
              </w:rPr>
            </w:pPr>
            <w:r>
              <w:rPr>
                <w:sz w:val="20"/>
                <w:lang w:val="hu-HU"/>
              </w:rPr>
              <w:t>a</w:t>
            </w:r>
            <w:r w:rsidRPr="00EA6977">
              <w:rPr>
                <w:sz w:val="20"/>
                <w:lang w:val="hu-HU"/>
              </w:rPr>
              <w:t>nticonvulsants (antiepileptics)</w:t>
            </w:r>
          </w:p>
        </w:tc>
      </w:tr>
      <w:tr w:rsidR="001016D3" w:rsidRPr="00EA6977" w14:paraId="5BB4974E" w14:textId="77777777" w:rsidTr="00EA6977">
        <w:tc>
          <w:tcPr>
            <w:tcW w:w="1525" w:type="dxa"/>
            <w:vMerge/>
            <w:vAlign w:val="center"/>
          </w:tcPr>
          <w:p w14:paraId="50855F1F" w14:textId="77777777" w:rsidR="001016D3" w:rsidRPr="00EA6977" w:rsidRDefault="001016D3" w:rsidP="00EA6977">
            <w:pPr>
              <w:spacing w:after="0"/>
              <w:jc w:val="center"/>
              <w:rPr>
                <w:sz w:val="20"/>
                <w:lang w:val="hu-HU"/>
              </w:rPr>
            </w:pPr>
          </w:p>
        </w:tc>
        <w:tc>
          <w:tcPr>
            <w:tcW w:w="4680" w:type="dxa"/>
            <w:vAlign w:val="center"/>
          </w:tcPr>
          <w:p w14:paraId="279F0793" w14:textId="77777777" w:rsidR="001016D3" w:rsidRPr="00EA6977" w:rsidRDefault="001016D3" w:rsidP="00C92676">
            <w:pPr>
              <w:spacing w:after="0"/>
              <w:rPr>
                <w:sz w:val="20"/>
                <w:lang w:val="hu-HU"/>
              </w:rPr>
            </w:pPr>
            <w:r w:rsidRPr="00EA6977">
              <w:rPr>
                <w:sz w:val="20"/>
                <w:lang w:val="hu-HU"/>
              </w:rPr>
              <w:t>Iodinated contrast agents ( Ioxaglate, Iohexol, i</w:t>
            </w:r>
            <w:r>
              <w:rPr>
                <w:sz w:val="20"/>
                <w:lang w:val="hu-HU"/>
              </w:rPr>
              <w:t xml:space="preserve">opamidol, ioversol, Iopromide, Ioxilan, </w:t>
            </w:r>
            <w:r w:rsidRPr="00EA6977">
              <w:rPr>
                <w:i/>
                <w:sz w:val="20"/>
                <w:lang w:val="hu-HU"/>
              </w:rPr>
              <w:t xml:space="preserve"> </w:t>
            </w:r>
            <w:r w:rsidRPr="00EA6977">
              <w:rPr>
                <w:sz w:val="20"/>
                <w:lang w:val="hu-HU"/>
              </w:rPr>
              <w:t>Iodixanol, Gd-GTPA</w:t>
            </w:r>
          </w:p>
        </w:tc>
        <w:tc>
          <w:tcPr>
            <w:tcW w:w="2970" w:type="dxa"/>
            <w:vAlign w:val="center"/>
          </w:tcPr>
          <w:p w14:paraId="1AF247AE" w14:textId="77777777" w:rsidR="001016D3" w:rsidRPr="00EA6977" w:rsidRDefault="001016D3" w:rsidP="00C92676">
            <w:pPr>
              <w:spacing w:after="0"/>
              <w:rPr>
                <w:sz w:val="20"/>
                <w:lang w:val="hu-HU"/>
              </w:rPr>
            </w:pPr>
            <w:r>
              <w:rPr>
                <w:sz w:val="20"/>
                <w:lang w:val="hu-HU"/>
              </w:rPr>
              <w:t>c</w:t>
            </w:r>
            <w:r w:rsidRPr="00EA6977">
              <w:rPr>
                <w:sz w:val="20"/>
                <w:lang w:val="hu-HU"/>
              </w:rPr>
              <w:t>ontrast agents</w:t>
            </w:r>
          </w:p>
        </w:tc>
      </w:tr>
      <w:tr w:rsidR="001016D3" w:rsidRPr="00EA6977" w14:paraId="247C2810" w14:textId="77777777" w:rsidTr="00EA6977">
        <w:trPr>
          <w:trHeight w:val="413"/>
        </w:trPr>
        <w:tc>
          <w:tcPr>
            <w:tcW w:w="1525" w:type="dxa"/>
            <w:vMerge/>
            <w:vAlign w:val="center"/>
          </w:tcPr>
          <w:p w14:paraId="3A1D74E9" w14:textId="77777777" w:rsidR="001016D3" w:rsidRPr="00EA6977" w:rsidRDefault="001016D3" w:rsidP="00EA6977">
            <w:pPr>
              <w:spacing w:after="0"/>
              <w:jc w:val="center"/>
              <w:rPr>
                <w:sz w:val="20"/>
                <w:lang w:val="hu-HU"/>
              </w:rPr>
            </w:pPr>
          </w:p>
        </w:tc>
        <w:tc>
          <w:tcPr>
            <w:tcW w:w="4680" w:type="dxa"/>
            <w:vAlign w:val="center"/>
          </w:tcPr>
          <w:p w14:paraId="171AE5DD" w14:textId="77777777" w:rsidR="001016D3" w:rsidRPr="00EA6977" w:rsidRDefault="001016D3" w:rsidP="00C92676">
            <w:pPr>
              <w:spacing w:after="0"/>
              <w:rPr>
                <w:sz w:val="20"/>
                <w:lang w:val="hu-HU"/>
              </w:rPr>
            </w:pPr>
            <w:r w:rsidRPr="00EA6977">
              <w:rPr>
                <w:sz w:val="20"/>
                <w:lang w:val="hu-HU"/>
              </w:rPr>
              <w:t>Venofer, Cosmofer, Ferinject, Monofer, Ferrlecit, Ferumoxytol</w:t>
            </w:r>
          </w:p>
        </w:tc>
        <w:tc>
          <w:tcPr>
            <w:tcW w:w="2970" w:type="dxa"/>
            <w:vAlign w:val="center"/>
          </w:tcPr>
          <w:p w14:paraId="7DF1133E" w14:textId="77777777" w:rsidR="001016D3" w:rsidRPr="00EA6977" w:rsidRDefault="001016D3" w:rsidP="00C92676">
            <w:pPr>
              <w:spacing w:after="0"/>
              <w:rPr>
                <w:sz w:val="20"/>
                <w:lang w:val="hu-HU"/>
              </w:rPr>
            </w:pPr>
            <w:r w:rsidRPr="00EA6977">
              <w:rPr>
                <w:sz w:val="20"/>
                <w:lang w:val="hu-HU"/>
              </w:rPr>
              <w:t>IV-Iron**</w:t>
            </w:r>
          </w:p>
        </w:tc>
      </w:tr>
      <w:tr w:rsidR="001016D3" w:rsidRPr="00EA6977" w14:paraId="71008E01" w14:textId="77777777" w:rsidTr="00EA6977">
        <w:trPr>
          <w:trHeight w:val="51"/>
        </w:trPr>
        <w:tc>
          <w:tcPr>
            <w:tcW w:w="1525" w:type="dxa"/>
            <w:vMerge w:val="restart"/>
            <w:vAlign w:val="center"/>
          </w:tcPr>
          <w:p w14:paraId="4A19AF13" w14:textId="77777777" w:rsidR="001016D3" w:rsidRPr="00EA6977" w:rsidRDefault="001016D3" w:rsidP="00EA6977">
            <w:pPr>
              <w:spacing w:after="0"/>
              <w:jc w:val="center"/>
              <w:rPr>
                <w:sz w:val="20"/>
                <w:lang w:val="hu-HU"/>
              </w:rPr>
            </w:pPr>
            <w:r w:rsidRPr="00EA6977">
              <w:rPr>
                <w:sz w:val="20"/>
                <w:lang w:val="hu-HU"/>
              </w:rPr>
              <w:t>Very low</w:t>
            </w:r>
          </w:p>
          <w:p w14:paraId="565E4DC2" w14:textId="77777777" w:rsidR="001016D3" w:rsidRPr="00EA6977" w:rsidRDefault="001016D3" w:rsidP="00EA6977">
            <w:pPr>
              <w:spacing w:after="0"/>
              <w:jc w:val="center"/>
              <w:rPr>
                <w:sz w:val="20"/>
                <w:lang w:val="hu-HU"/>
              </w:rPr>
            </w:pPr>
            <w:r w:rsidRPr="00EA6977">
              <w:rPr>
                <w:sz w:val="20"/>
                <w:lang w:val="hu-HU"/>
              </w:rPr>
              <w:t>P&lt;0.01</w:t>
            </w:r>
          </w:p>
        </w:tc>
        <w:tc>
          <w:tcPr>
            <w:tcW w:w="4680" w:type="dxa"/>
            <w:vAlign w:val="center"/>
          </w:tcPr>
          <w:p w14:paraId="7AD9EDDB" w14:textId="77777777" w:rsidR="001016D3" w:rsidRPr="00EA6977" w:rsidRDefault="001016D3" w:rsidP="00C92676">
            <w:pPr>
              <w:spacing w:after="0"/>
              <w:rPr>
                <w:sz w:val="20"/>
              </w:rPr>
            </w:pPr>
            <w:r w:rsidRPr="00EA6977">
              <w:rPr>
                <w:sz w:val="20"/>
                <w:lang w:val="hu-HU"/>
              </w:rPr>
              <w:t>SonoVue</w:t>
            </w:r>
          </w:p>
        </w:tc>
        <w:tc>
          <w:tcPr>
            <w:tcW w:w="2970" w:type="dxa"/>
            <w:vAlign w:val="center"/>
          </w:tcPr>
          <w:p w14:paraId="1586D75B" w14:textId="77777777" w:rsidR="001016D3" w:rsidRPr="00EA6977" w:rsidRDefault="001016D3" w:rsidP="00C92676">
            <w:pPr>
              <w:spacing w:after="0"/>
              <w:rPr>
                <w:sz w:val="20"/>
                <w:lang w:val="hu-HU"/>
              </w:rPr>
            </w:pPr>
            <w:r>
              <w:rPr>
                <w:sz w:val="20"/>
                <w:lang w:val="hu-HU"/>
              </w:rPr>
              <w:t>c</w:t>
            </w:r>
            <w:r w:rsidRPr="00EA6977">
              <w:rPr>
                <w:sz w:val="20"/>
                <w:lang w:val="hu-HU"/>
              </w:rPr>
              <w:t>ontrast agents</w:t>
            </w:r>
          </w:p>
        </w:tc>
      </w:tr>
      <w:tr w:rsidR="001016D3" w:rsidRPr="00EA6977" w14:paraId="104BA2B3" w14:textId="77777777" w:rsidTr="00EA6977">
        <w:trPr>
          <w:trHeight w:val="134"/>
        </w:trPr>
        <w:tc>
          <w:tcPr>
            <w:tcW w:w="1525" w:type="dxa"/>
            <w:vMerge/>
            <w:vAlign w:val="center"/>
          </w:tcPr>
          <w:p w14:paraId="3D54B54C" w14:textId="77777777" w:rsidR="001016D3" w:rsidRPr="00EA6977" w:rsidRDefault="001016D3" w:rsidP="00C92676">
            <w:pPr>
              <w:spacing w:after="0"/>
              <w:rPr>
                <w:sz w:val="20"/>
                <w:lang w:val="hu-HU"/>
              </w:rPr>
            </w:pPr>
          </w:p>
        </w:tc>
        <w:tc>
          <w:tcPr>
            <w:tcW w:w="4680" w:type="dxa"/>
            <w:vAlign w:val="center"/>
          </w:tcPr>
          <w:p w14:paraId="75BC050A" w14:textId="77777777" w:rsidR="001016D3" w:rsidRPr="00EA6977" w:rsidRDefault="001016D3" w:rsidP="00C92676">
            <w:pPr>
              <w:spacing w:after="0"/>
              <w:rPr>
                <w:sz w:val="20"/>
                <w:lang w:val="hu-HU"/>
              </w:rPr>
            </w:pPr>
            <w:r w:rsidRPr="00EA6977">
              <w:rPr>
                <w:sz w:val="20"/>
                <w:lang w:val="hu-HU"/>
              </w:rPr>
              <w:t>Venofer, Cosmofer, Ferinject, Monofer, Ferrlecit, Ferumoxytol</w:t>
            </w:r>
          </w:p>
        </w:tc>
        <w:tc>
          <w:tcPr>
            <w:tcW w:w="2970" w:type="dxa"/>
            <w:vAlign w:val="center"/>
          </w:tcPr>
          <w:p w14:paraId="491A4811" w14:textId="77777777" w:rsidR="001016D3" w:rsidRPr="00EA6977" w:rsidRDefault="001016D3" w:rsidP="00C92676">
            <w:pPr>
              <w:spacing w:after="0"/>
              <w:rPr>
                <w:sz w:val="20"/>
                <w:lang w:val="hu-HU"/>
              </w:rPr>
            </w:pPr>
            <w:r w:rsidRPr="00EA6977">
              <w:rPr>
                <w:sz w:val="20"/>
                <w:lang w:val="hu-HU"/>
              </w:rPr>
              <w:t>IV-iron**</w:t>
            </w:r>
          </w:p>
        </w:tc>
      </w:tr>
    </w:tbl>
    <w:p w14:paraId="40AD5D6E" w14:textId="77777777" w:rsidR="001016D3" w:rsidRPr="008770C7" w:rsidRDefault="001016D3" w:rsidP="00EA6977">
      <w:pPr>
        <w:pStyle w:val="Heading1"/>
        <w:spacing w:before="0" w:after="0"/>
        <w:rPr>
          <w:rFonts w:ascii="Arial" w:hAnsi="Arial" w:cs="Arial"/>
          <w:color w:val="000000"/>
          <w:sz w:val="22"/>
          <w:szCs w:val="20"/>
        </w:rPr>
      </w:pPr>
      <w:r w:rsidRPr="008770C7">
        <w:rPr>
          <w:color w:val="000000"/>
          <w:sz w:val="22"/>
          <w:szCs w:val="20"/>
        </w:rPr>
        <w:t>*all types of reactions regardless of severity.  Rates were obtained from individual box labels, public (internet) information or Summaries of Product Characteristics (SmPCs)</w:t>
      </w:r>
    </w:p>
    <w:p w14:paraId="55E62BD6" w14:textId="77777777" w:rsidR="001016D3" w:rsidRDefault="001016D3" w:rsidP="00EA6977">
      <w:pPr>
        <w:rPr>
          <w:sz w:val="22"/>
        </w:rPr>
      </w:pPr>
      <w:r w:rsidRPr="008770C7">
        <w:rPr>
          <w:sz w:val="22"/>
        </w:rPr>
        <w:t>** data uncertain to select the exact category, P = prevalence</w:t>
      </w:r>
    </w:p>
    <w:p w14:paraId="7A2C99A3" w14:textId="77777777" w:rsidR="00964757" w:rsidRPr="008770C7" w:rsidRDefault="00964757" w:rsidP="00EA6977">
      <w:pPr>
        <w:rPr>
          <w:sz w:val="22"/>
        </w:rPr>
      </w:pPr>
    </w:p>
    <w:p w14:paraId="1C0F0DCF" w14:textId="77777777" w:rsidR="001016D3" w:rsidRPr="009C3A2E" w:rsidRDefault="001016D3" w:rsidP="002437D3">
      <w:pPr>
        <w:pStyle w:val="Style1"/>
        <w:rPr>
          <w:sz w:val="28"/>
        </w:rPr>
      </w:pPr>
      <w:r>
        <w:rPr>
          <w:sz w:val="28"/>
        </w:rPr>
        <w:t>Mechanisms</w:t>
      </w:r>
      <w:r w:rsidRPr="009C3A2E">
        <w:rPr>
          <w:sz w:val="28"/>
        </w:rPr>
        <w:t xml:space="preserve"> of HSRs</w:t>
      </w:r>
      <w:r>
        <w:rPr>
          <w:sz w:val="28"/>
        </w:rPr>
        <w:t xml:space="preserve"> to IV-iron versus those to other IV drugs</w:t>
      </w:r>
    </w:p>
    <w:p w14:paraId="089180F7" w14:textId="77777777" w:rsidR="001016D3" w:rsidRDefault="001016D3" w:rsidP="00C95E8D">
      <w:r>
        <w:t>T</w:t>
      </w:r>
      <w:r w:rsidRPr="008770C7">
        <w:t xml:space="preserve">he </w:t>
      </w:r>
      <w:r w:rsidRPr="008770C7">
        <w:rPr>
          <w:i/>
        </w:rPr>
        <w:t>mechanism</w:t>
      </w:r>
      <w:r>
        <w:rPr>
          <w:i/>
        </w:rPr>
        <w:t>s</w:t>
      </w:r>
      <w:r w:rsidRPr="008770C7">
        <w:t xml:space="preserve"> </w:t>
      </w:r>
      <w:r w:rsidRPr="00B63DDD">
        <w:rPr>
          <w:i/>
        </w:rPr>
        <w:t xml:space="preserve">of </w:t>
      </w:r>
      <w:r w:rsidRPr="008770C7">
        <w:rPr>
          <w:i/>
        </w:rPr>
        <w:t>HS</w:t>
      </w:r>
      <w:r>
        <w:rPr>
          <w:i/>
        </w:rPr>
        <w:t xml:space="preserve">Rs </w:t>
      </w:r>
      <w:r>
        <w:t>are</w:t>
      </w:r>
      <w:r w:rsidRPr="003E7845">
        <w:t xml:space="preserve"> categorized </w:t>
      </w:r>
      <w:r>
        <w:t>in many different ways, 4 of wh</w:t>
      </w:r>
      <w:r w:rsidR="009E753F">
        <w:t xml:space="preserve">ich are shown in </w:t>
      </w:r>
      <w:r w:rsidR="001B384A">
        <w:t>Fig 1</w:t>
      </w:r>
      <w:r>
        <w:t>.  The oldest and best known is</w:t>
      </w:r>
      <w:r w:rsidRPr="008770C7">
        <w:rPr>
          <w:szCs w:val="24"/>
        </w:rPr>
        <w:t xml:space="preserve"> </w:t>
      </w:r>
      <w:r w:rsidRPr="008770C7">
        <w:t>Gell and Coombs</w:t>
      </w:r>
      <w:r>
        <w:t>’</w:t>
      </w:r>
      <w:r w:rsidRPr="008770C7">
        <w:t xml:space="preserve"> classical scheme</w:t>
      </w:r>
      <w:r>
        <w:t>, which</w:t>
      </w:r>
      <w:r w:rsidRPr="008770C7">
        <w:t xml:space="preserve"> </w:t>
      </w:r>
      <w:r>
        <w:t>distinguishes four types of HSRs,</w:t>
      </w:r>
      <w:r w:rsidRPr="008770C7">
        <w:t xml:space="preserve"> Type I-IV (Gell</w:t>
      </w:r>
      <w:r w:rsidRPr="008770C7">
        <w:rPr>
          <w:i/>
        </w:rPr>
        <w:t xml:space="preserve"> </w:t>
      </w:r>
      <w:r w:rsidR="00EC06FF" w:rsidRPr="00EC06FF">
        <w:rPr>
          <w:i/>
        </w:rPr>
        <w:t>et al</w:t>
      </w:r>
      <w:r w:rsidRPr="008770C7">
        <w:rPr>
          <w:i/>
        </w:rPr>
        <w:t>.</w:t>
      </w:r>
      <w:r w:rsidRPr="008770C7">
        <w:t>, 1963; Coombs</w:t>
      </w:r>
      <w:r w:rsidRPr="008770C7">
        <w:rPr>
          <w:i/>
        </w:rPr>
        <w:t xml:space="preserve"> </w:t>
      </w:r>
      <w:r w:rsidR="00EC06FF" w:rsidRPr="00EC06FF">
        <w:rPr>
          <w:i/>
        </w:rPr>
        <w:t>et al</w:t>
      </w:r>
      <w:r w:rsidRPr="008770C7">
        <w:rPr>
          <w:i/>
        </w:rPr>
        <w:t>.</w:t>
      </w:r>
      <w:r>
        <w:t xml:space="preserve">, 1968).  The </w:t>
      </w:r>
      <w:r w:rsidRPr="008770C7">
        <w:t>system is</w:t>
      </w:r>
      <w:r>
        <w:t xml:space="preserve"> based on pathophysiological principles and is criticized </w:t>
      </w:r>
      <w:r w:rsidRPr="008770C7">
        <w:t>(Descotes</w:t>
      </w:r>
      <w:r w:rsidRPr="008770C7">
        <w:rPr>
          <w:i/>
        </w:rPr>
        <w:t xml:space="preserve"> </w:t>
      </w:r>
      <w:r w:rsidR="00EC06FF" w:rsidRPr="00EC06FF">
        <w:rPr>
          <w:i/>
        </w:rPr>
        <w:t>et al</w:t>
      </w:r>
      <w:r w:rsidRPr="008770C7">
        <w:rPr>
          <w:i/>
        </w:rPr>
        <w:t>.</w:t>
      </w:r>
      <w:r>
        <w:t>, 2001; Rajan, 2003) on the basis that</w:t>
      </w:r>
      <w:r w:rsidRPr="008770C7">
        <w:t xml:space="preserve"> </w:t>
      </w:r>
      <w:r>
        <w:t xml:space="preserve">the </w:t>
      </w:r>
      <w:r w:rsidRPr="008770C7">
        <w:t>adverse immune effects of drugs occu</w:t>
      </w:r>
      <w:r>
        <w:t>r mostly via complex mechanisms</w:t>
      </w:r>
      <w:r w:rsidRPr="008770C7">
        <w:t xml:space="preserve"> </w:t>
      </w:r>
      <w:r>
        <w:t>which</w:t>
      </w:r>
      <w:r w:rsidRPr="008770C7">
        <w:t xml:space="preserve"> </w:t>
      </w:r>
      <w:r>
        <w:t xml:space="preserve">cannot be cleanly fitted into Gell and Coomb’s categories.  One important </w:t>
      </w:r>
      <w:r w:rsidRPr="008770C7">
        <w:t xml:space="preserve">example </w:t>
      </w:r>
      <w:r>
        <w:t xml:space="preserve">is </w:t>
      </w:r>
      <w:r w:rsidRPr="008770C7">
        <w:t>direct</w:t>
      </w:r>
      <w:r>
        <w:t xml:space="preserve"> </w:t>
      </w:r>
      <w:r w:rsidRPr="008770C7">
        <w:t>complement (C) acti</w:t>
      </w:r>
      <w:r>
        <w:t xml:space="preserve">vation causing Type I reactions, since these </w:t>
      </w:r>
      <w:r w:rsidRPr="008770C7">
        <w:t>reactions</w:t>
      </w:r>
      <w:r>
        <w:t xml:space="preserve"> are defined by Gell and Coomb as being solely </w:t>
      </w:r>
      <w:r w:rsidRPr="008770C7">
        <w:t>IgE-mediated</w:t>
      </w:r>
      <w:r>
        <w:t xml:space="preserve">.  </w:t>
      </w:r>
    </w:p>
    <w:p w14:paraId="510D3123" w14:textId="77777777" w:rsidR="001016D3" w:rsidRDefault="001016D3" w:rsidP="00C95E8D">
      <w:r w:rsidRPr="008770C7">
        <w:t xml:space="preserve">Among the </w:t>
      </w:r>
      <w:r>
        <w:t>alternative classifications of HSR mechanisms</w:t>
      </w:r>
      <w:r w:rsidRPr="008770C7">
        <w:t>, Descotes proposed 3 categories: immunoglobulin-mediated, cell-mediated and pseudoallergic (Descotes</w:t>
      </w:r>
      <w:r w:rsidRPr="008770C7">
        <w:rPr>
          <w:i/>
        </w:rPr>
        <w:t xml:space="preserve"> </w:t>
      </w:r>
      <w:r w:rsidR="00EC06FF" w:rsidRPr="00EC06FF">
        <w:rPr>
          <w:i/>
        </w:rPr>
        <w:t>et al</w:t>
      </w:r>
      <w:r w:rsidRPr="008770C7">
        <w:rPr>
          <w:i/>
        </w:rPr>
        <w:t>.</w:t>
      </w:r>
      <w:r w:rsidRPr="008770C7">
        <w:t xml:space="preserve">, 2001).  Pichler labelled his </w:t>
      </w:r>
      <w:r>
        <w:t xml:space="preserve">5 </w:t>
      </w:r>
      <w:r w:rsidRPr="008770C7">
        <w:t xml:space="preserve">categories with Greek letters: type </w:t>
      </w:r>
      <w:r w:rsidRPr="008770C7">
        <w:rPr>
          <w:rFonts w:ascii="Symbol" w:hAnsi="Symbol"/>
        </w:rPr>
        <w:t></w:t>
      </w:r>
      <w:r w:rsidRPr="008770C7">
        <w:t xml:space="preserve"> reactions involve cytokine release, </w:t>
      </w:r>
      <w:r w:rsidRPr="008770C7">
        <w:rPr>
          <w:rFonts w:ascii="Symbol" w:hAnsi="Symbol"/>
        </w:rPr>
        <w:t></w:t>
      </w:r>
      <w:r w:rsidRPr="008770C7">
        <w:t xml:space="preserve">-type reactions are immune reactions against biological agents, </w:t>
      </w:r>
      <w:r w:rsidRPr="008770C7">
        <w:rPr>
          <w:rFonts w:ascii="Symbol" w:hAnsi="Symbol"/>
        </w:rPr>
        <w:t></w:t>
      </w:r>
      <w:r w:rsidRPr="008770C7">
        <w:t xml:space="preserve">-type reactions are immune or cytokine imbalance syndromes, </w:t>
      </w:r>
      <w:r w:rsidRPr="008770C7">
        <w:rPr>
          <w:rFonts w:ascii="Symbol" w:hAnsi="Symbol"/>
        </w:rPr>
        <w:t></w:t>
      </w:r>
      <w:r w:rsidRPr="008770C7">
        <w:t xml:space="preserve">-type reactions arise because of cross-reactivity, and </w:t>
      </w:r>
      <w:r w:rsidRPr="008770C7">
        <w:rPr>
          <w:rFonts w:ascii="Symbol" w:hAnsi="Symbol"/>
        </w:rPr>
        <w:t></w:t>
      </w:r>
      <w:r w:rsidRPr="008770C7">
        <w:t>-type reactions</w:t>
      </w:r>
      <w:r>
        <w:t xml:space="preserve"> </w:t>
      </w:r>
      <w:r w:rsidRPr="008770C7">
        <w:t>do not directly involve the</w:t>
      </w:r>
      <w:r>
        <w:t xml:space="preserve"> immune system (Pichler, 2006).  The last included mechanistic scheme was proposed by one of us (</w:t>
      </w:r>
      <w:r w:rsidRPr="008770C7">
        <w:t>Szebeni</w:t>
      </w:r>
      <w:r>
        <w:t>, 2005)</w:t>
      </w:r>
      <w:r w:rsidRPr="008770C7">
        <w:t xml:space="preserve">, </w:t>
      </w:r>
      <w:r>
        <w:t xml:space="preserve">wherein </w:t>
      </w:r>
      <w:r w:rsidRPr="008770C7">
        <w:t xml:space="preserve">Gell and Coombs’ type I reactions </w:t>
      </w:r>
      <w:r>
        <w:t>were subdivided</w:t>
      </w:r>
      <w:r w:rsidRPr="008770C7">
        <w:t xml:space="preserve"> according to the mechanism of mast</w:t>
      </w:r>
      <w:r>
        <w:t xml:space="preserve"> cell (and basophil) activation.  The</w:t>
      </w:r>
      <w:r w:rsidRPr="008770C7">
        <w:t xml:space="preserve"> scheme suggests </w:t>
      </w:r>
      <w:r>
        <w:t>a</w:t>
      </w:r>
      <w:r w:rsidRPr="008770C7">
        <w:t xml:space="preserve"> distinction </w:t>
      </w:r>
      <w:r>
        <w:t>between</w:t>
      </w:r>
      <w:r w:rsidRPr="008770C7">
        <w:t xml:space="preserve"> direct and receptor-mediated stimulation of mast cells and basophils, with the latter arm subdivided to 1) Fc</w:t>
      </w:r>
      <w:r w:rsidRPr="008770C7">
        <w:rPr>
          <w:rFonts w:ascii="Symbol" w:hAnsi="Symbol"/>
          <w:vertAlign w:val="subscript"/>
        </w:rPr>
        <w:t></w:t>
      </w:r>
      <w:r w:rsidRPr="008770C7">
        <w:t>R, 2) anaphylatoxin receptor (ATR, C5aR and C3aR) and 3) both Fc</w:t>
      </w:r>
      <w:r w:rsidRPr="008770C7">
        <w:rPr>
          <w:rFonts w:ascii="Symbol" w:hAnsi="Symbol"/>
          <w:vertAlign w:val="subscript"/>
        </w:rPr>
        <w:t></w:t>
      </w:r>
      <w:r w:rsidRPr="008770C7">
        <w:t xml:space="preserve">R and ATR-mediated mixed responses.  The IgE-R-mediated HSRs are the classical type I reactions, while the ATR-mediated release reactions underlie </w:t>
      </w:r>
      <w:r>
        <w:t>C activation-related pseudoallergy (</w:t>
      </w:r>
      <w:r w:rsidRPr="008770C7">
        <w:t>CARPA</w:t>
      </w:r>
      <w:r>
        <w:t>)</w:t>
      </w:r>
      <w:r w:rsidRPr="008770C7">
        <w:t xml:space="preserve"> (Szebeni, 2005), which can occur without the presence of any specific antibodies or </w:t>
      </w:r>
      <w:r>
        <w:t xml:space="preserve">immune competent cells.  </w:t>
      </w:r>
    </w:p>
    <w:p w14:paraId="0222E868" w14:textId="77777777" w:rsidR="00964757" w:rsidRDefault="001016D3" w:rsidP="00B46884">
      <w:pPr>
        <w:autoSpaceDE w:val="0"/>
        <w:autoSpaceDN w:val="0"/>
        <w:adjustRightInd w:val="0"/>
        <w:spacing w:after="0"/>
      </w:pPr>
      <w:r w:rsidRPr="00860E11">
        <w:t xml:space="preserve">As for mechanistic distinction </w:t>
      </w:r>
      <w:r>
        <w:t xml:space="preserve">between </w:t>
      </w:r>
      <w:r w:rsidRPr="00860E11">
        <w:t xml:space="preserve">IV-iron reactions </w:t>
      </w:r>
      <w:r>
        <w:t>and</w:t>
      </w:r>
      <w:r w:rsidRPr="00860E11">
        <w:t xml:space="preserve"> other IV-drug-induced reactions, </w:t>
      </w:r>
      <w:r w:rsidR="00A90B6E" w:rsidRPr="00860E11">
        <w:t xml:space="preserve">the weight of evidence suggests that </w:t>
      </w:r>
      <w:r w:rsidR="00A90B6E">
        <w:t>IV-iron reactions</w:t>
      </w:r>
      <w:r w:rsidR="00A90B6E" w:rsidRPr="00860E11">
        <w:t xml:space="preserve"> are not IgE-mediated (Fleming </w:t>
      </w:r>
      <w:r w:rsidR="00EC06FF" w:rsidRPr="00EC06FF">
        <w:rPr>
          <w:i/>
        </w:rPr>
        <w:t>et al</w:t>
      </w:r>
      <w:r w:rsidR="00A90B6E">
        <w:t xml:space="preserve">., 1992;Novey </w:t>
      </w:r>
      <w:r w:rsidR="00EC06FF" w:rsidRPr="00EC06FF">
        <w:rPr>
          <w:i/>
        </w:rPr>
        <w:t>et al</w:t>
      </w:r>
      <w:r w:rsidR="00A90B6E">
        <w:t xml:space="preserve">. 1994).  However, other than this conclusion, </w:t>
      </w:r>
      <w:r w:rsidR="001B0B0D">
        <w:t>there is insufficient information to prove a</w:t>
      </w:r>
      <w:r w:rsidR="008500B6">
        <w:t xml:space="preserve">ny </w:t>
      </w:r>
      <w:r w:rsidR="008500B6" w:rsidRPr="004975EE">
        <w:rPr>
          <w:szCs w:val="24"/>
        </w:rPr>
        <w:t xml:space="preserve">other “immune” mechanism.  Among the non-immune mechanisms, there are </w:t>
      </w:r>
      <w:r w:rsidR="001B0B0D" w:rsidRPr="004975EE">
        <w:rPr>
          <w:szCs w:val="24"/>
        </w:rPr>
        <w:t xml:space="preserve">several lines of indirect evidence </w:t>
      </w:r>
      <w:r w:rsidR="00A90B6E" w:rsidRPr="004975EE">
        <w:rPr>
          <w:szCs w:val="24"/>
        </w:rPr>
        <w:t>sugges</w:t>
      </w:r>
      <w:r w:rsidR="008500B6" w:rsidRPr="004975EE">
        <w:rPr>
          <w:szCs w:val="24"/>
        </w:rPr>
        <w:t>ting</w:t>
      </w:r>
      <w:r w:rsidR="001B0B0D" w:rsidRPr="004975EE">
        <w:rPr>
          <w:szCs w:val="24"/>
        </w:rPr>
        <w:t xml:space="preserve"> that CARPA may play a causal role in IV-iron reactions</w:t>
      </w:r>
      <w:r w:rsidR="008500B6" w:rsidRPr="004975EE">
        <w:rPr>
          <w:szCs w:val="24"/>
        </w:rPr>
        <w:t xml:space="preserve">.  </w:t>
      </w:r>
      <w:r w:rsidR="004975EE" w:rsidRPr="004975EE">
        <w:rPr>
          <w:color w:val="222222"/>
          <w:szCs w:val="24"/>
        </w:rPr>
        <w:t>This hypothesis will be described in substantial detail later in this review</w:t>
      </w:r>
      <w:r w:rsidR="00A90B6E">
        <w:t>.</w:t>
      </w:r>
    </w:p>
    <w:p w14:paraId="103A8559" w14:textId="77777777" w:rsidR="00303236" w:rsidRDefault="00303236" w:rsidP="00B46884">
      <w:pPr>
        <w:autoSpaceDE w:val="0"/>
        <w:autoSpaceDN w:val="0"/>
        <w:adjustRightInd w:val="0"/>
        <w:spacing w:after="0"/>
      </w:pPr>
    </w:p>
    <w:p w14:paraId="301A5737" w14:textId="77777777" w:rsidR="001016D3" w:rsidRPr="002437D3" w:rsidRDefault="001016D3" w:rsidP="00F1058D">
      <w:pPr>
        <w:rPr>
          <w:i/>
          <w:sz w:val="28"/>
        </w:rPr>
      </w:pPr>
      <w:r w:rsidRPr="002437D3">
        <w:rPr>
          <w:i/>
          <w:sz w:val="28"/>
        </w:rPr>
        <w:t xml:space="preserve">Risk factors </w:t>
      </w:r>
      <w:r>
        <w:rPr>
          <w:i/>
          <w:sz w:val="28"/>
        </w:rPr>
        <w:t xml:space="preserve">of HSRs </w:t>
      </w:r>
      <w:r w:rsidRPr="002437D3">
        <w:rPr>
          <w:i/>
          <w:sz w:val="28"/>
        </w:rPr>
        <w:t>to IV-iron versus other IV drugs</w:t>
      </w:r>
    </w:p>
    <w:p w14:paraId="7D90A614" w14:textId="77777777" w:rsidR="001016D3" w:rsidRPr="008770C7" w:rsidRDefault="001016D3" w:rsidP="00F1058D">
      <w:r w:rsidRPr="008770C7">
        <w:t>The risk factors for IV-iron reactions include genetic predisposition, general nonspecific factors and unique temporary conditions.  Among the genetic predisposition</w:t>
      </w:r>
      <w:r>
        <w:t>s</w:t>
      </w:r>
      <w:r w:rsidRPr="008770C7">
        <w:t xml:space="preserve">, atopic constitution is the best recognized, </w:t>
      </w:r>
      <w:r>
        <w:t>in which</w:t>
      </w:r>
      <w:r w:rsidRPr="008770C7">
        <w:t xml:space="preserve"> the patients have an innate proneness for asthma or allergy to drugs, pollens and other allergens (Enright </w:t>
      </w:r>
      <w:r w:rsidR="00EC06FF" w:rsidRPr="00EC06FF">
        <w:rPr>
          <w:i/>
        </w:rPr>
        <w:t>et al</w:t>
      </w:r>
      <w:r w:rsidRPr="008770C7">
        <w:t xml:space="preserve">., 1989, Goss </w:t>
      </w:r>
      <w:r w:rsidR="00EC06FF" w:rsidRPr="00EC06FF">
        <w:rPr>
          <w:i/>
        </w:rPr>
        <w:t>et al</w:t>
      </w:r>
      <w:r w:rsidRPr="008770C7">
        <w:t xml:space="preserve">., 1995, Brannagan, 2002; Laman </w:t>
      </w:r>
      <w:r w:rsidR="00EC06FF" w:rsidRPr="00EC06FF">
        <w:rPr>
          <w:i/>
        </w:rPr>
        <w:t>et al</w:t>
      </w:r>
      <w:r w:rsidRPr="008770C7">
        <w:t>., 2005</w:t>
      </w:r>
      <w:r>
        <w:t xml:space="preserve">; </w:t>
      </w:r>
      <w:r w:rsidRPr="008770C7">
        <w:t xml:space="preserve">Hong </w:t>
      </w:r>
      <w:r w:rsidR="00EC06FF" w:rsidRPr="00EC06FF">
        <w:rPr>
          <w:i/>
        </w:rPr>
        <w:t>et al</w:t>
      </w:r>
      <w:r w:rsidRPr="008770C7">
        <w:t xml:space="preserve">., 2012; Kelsall </w:t>
      </w:r>
      <w:r w:rsidR="00EC06FF" w:rsidRPr="00EC06FF">
        <w:rPr>
          <w:i/>
        </w:rPr>
        <w:t>et al</w:t>
      </w:r>
      <w:r w:rsidRPr="008770C7">
        <w:t xml:space="preserve">., 2012, Auerbach </w:t>
      </w:r>
      <w:r w:rsidR="00EC06FF" w:rsidRPr="00EC06FF">
        <w:rPr>
          <w:i/>
        </w:rPr>
        <w:t>et al</w:t>
      </w:r>
      <w:r w:rsidRPr="008770C7">
        <w:t xml:space="preserve">., 1998; 2011; Fletes </w:t>
      </w:r>
      <w:r w:rsidR="00EC06FF" w:rsidRPr="00EC06FF">
        <w:rPr>
          <w:i/>
        </w:rPr>
        <w:t>et al</w:t>
      </w:r>
      <w:r w:rsidRPr="008770C7">
        <w:t>., 2001; Fishbane, 2003).  The acquired lasting risk factors include, among others, old age, concurrent or past cardiovascular disease, autoimmune diseases</w:t>
      </w:r>
      <w:r>
        <w:t xml:space="preserve"> and</w:t>
      </w:r>
      <w:r w:rsidRPr="008770C7">
        <w:t xml:space="preserve"> mastocytosis (Ansell </w:t>
      </w:r>
      <w:r w:rsidR="00EC06FF" w:rsidRPr="00EC06FF">
        <w:rPr>
          <w:i/>
        </w:rPr>
        <w:t>et al</w:t>
      </w:r>
      <w:r w:rsidRPr="008770C7">
        <w:t xml:space="preserve">., 1980; Shehadi, 1982; Goss </w:t>
      </w:r>
      <w:r w:rsidR="00EC06FF" w:rsidRPr="00EC06FF">
        <w:rPr>
          <w:i/>
        </w:rPr>
        <w:t>et al</w:t>
      </w:r>
      <w:r w:rsidRPr="008770C7">
        <w:t xml:space="preserve">., 2002; Simons </w:t>
      </w:r>
      <w:r w:rsidR="00EC06FF" w:rsidRPr="00EC06FF">
        <w:rPr>
          <w:i/>
        </w:rPr>
        <w:t>et al</w:t>
      </w:r>
      <w:r w:rsidRPr="008770C7">
        <w:t xml:space="preserve">., 2011), while the acquired temporary risk factors are exemplified by infectious diseases, certain medications (e.g., beta-adrenergic blockers, ACE-inhibitors (Goss </w:t>
      </w:r>
      <w:r w:rsidR="00EC06FF" w:rsidRPr="00EC06FF">
        <w:rPr>
          <w:i/>
        </w:rPr>
        <w:t>et al</w:t>
      </w:r>
      <w:r w:rsidRPr="008770C7">
        <w:t xml:space="preserve">., 2002; Simons </w:t>
      </w:r>
      <w:r w:rsidR="00EC06FF" w:rsidRPr="00EC06FF">
        <w:rPr>
          <w:i/>
        </w:rPr>
        <w:t>et al</w:t>
      </w:r>
      <w:r w:rsidRPr="008770C7">
        <w:t xml:space="preserve">., 2011) and even psychological distress (Lalli, 1974; Misbah </w:t>
      </w:r>
      <w:r w:rsidR="00EC06FF" w:rsidRPr="00EC06FF">
        <w:rPr>
          <w:i/>
        </w:rPr>
        <w:t>et al</w:t>
      </w:r>
      <w:r w:rsidRPr="008770C7">
        <w:t xml:space="preserve">., 1993).  We are not aware of significant differences between IV-iron and other IV drugs in </w:t>
      </w:r>
      <w:r>
        <w:t>relation to</w:t>
      </w:r>
      <w:r w:rsidRPr="008770C7">
        <w:t xml:space="preserve"> the above risk factors.  </w:t>
      </w:r>
    </w:p>
    <w:p w14:paraId="314049F3" w14:textId="77777777" w:rsidR="001016D3" w:rsidRPr="009C3A2E" w:rsidRDefault="001016D3" w:rsidP="00765EDB">
      <w:pPr>
        <w:pStyle w:val="Style1"/>
        <w:rPr>
          <w:sz w:val="28"/>
        </w:rPr>
      </w:pPr>
      <w:r w:rsidRPr="009C3A2E">
        <w:rPr>
          <w:sz w:val="28"/>
        </w:rPr>
        <w:t xml:space="preserve">Unsolved issues in clinical research on HSRs </w:t>
      </w:r>
      <w:r>
        <w:rPr>
          <w:sz w:val="28"/>
        </w:rPr>
        <w:t>to IV-iron and other IV drugs</w:t>
      </w:r>
    </w:p>
    <w:p w14:paraId="0A61AC59" w14:textId="77777777" w:rsidR="001016D3" w:rsidRDefault="001016D3" w:rsidP="00765EDB">
      <w:r w:rsidRPr="008770C7">
        <w:t xml:space="preserve">As pointed out by Auerbach </w:t>
      </w:r>
      <w:r w:rsidR="00EC06FF" w:rsidRPr="00EC06FF">
        <w:rPr>
          <w:i/>
        </w:rPr>
        <w:t>et al</w:t>
      </w:r>
      <w:r w:rsidRPr="008770C7">
        <w:t xml:space="preserve">, there is an unmet medical need for a uniform and commonly accepted definition of adverse events to iron compounds, </w:t>
      </w:r>
      <w:r>
        <w:t xml:space="preserve">the </w:t>
      </w:r>
      <w:r w:rsidRPr="008770C7">
        <w:t>absence</w:t>
      </w:r>
      <w:r>
        <w:t xml:space="preserve"> of which</w:t>
      </w:r>
      <w:r w:rsidRPr="008770C7">
        <w:t xml:space="preserve"> at present is a major reason for </w:t>
      </w:r>
      <w:r>
        <w:t xml:space="preserve">the statement </w:t>
      </w:r>
      <w:r w:rsidRPr="008770C7">
        <w:t xml:space="preserve">that “reliable comparative safety data do not exist” (Auerbach </w:t>
      </w:r>
      <w:r w:rsidR="00EC06FF" w:rsidRPr="00EC06FF">
        <w:rPr>
          <w:i/>
        </w:rPr>
        <w:t>et al</w:t>
      </w:r>
      <w:r w:rsidRPr="008770C7">
        <w:t xml:space="preserve">., 2010).  </w:t>
      </w:r>
      <w:r>
        <w:t>In fact,</w:t>
      </w:r>
      <w:r w:rsidRPr="003525BE">
        <w:t xml:space="preserve"> one </w:t>
      </w:r>
      <w:r>
        <w:t xml:space="preserve">major </w:t>
      </w:r>
      <w:r w:rsidRPr="003525BE">
        <w:t xml:space="preserve">problem in clinical HSR research is </w:t>
      </w:r>
      <w:r>
        <w:t>its</w:t>
      </w:r>
      <w:r w:rsidRPr="003525BE">
        <w:t xml:space="preserve"> complex and sometimes confusing terminology</w:t>
      </w:r>
      <w:r>
        <w:t xml:space="preserve">.  </w:t>
      </w:r>
    </w:p>
    <w:p w14:paraId="601D873B" w14:textId="77777777" w:rsidR="001016D3" w:rsidRPr="008770C7" w:rsidRDefault="001016D3" w:rsidP="00765EDB">
      <w:r>
        <w:t>T</w:t>
      </w:r>
      <w:r w:rsidRPr="003525BE">
        <w:t xml:space="preserve">here is a long list of different descriptive, qualitative and quantitative terms for essentially the same acute </w:t>
      </w:r>
      <w:r w:rsidRPr="002D7126">
        <w:t>illne</w:t>
      </w:r>
      <w:r>
        <w:t xml:space="preserve">ss (abnormal immune stimulation), leading </w:t>
      </w:r>
      <w:r w:rsidRPr="008770C7">
        <w:t xml:space="preserve">the </w:t>
      </w:r>
      <w:r w:rsidRPr="008770C7">
        <w:rPr>
          <w:noProof/>
        </w:rPr>
        <w:t>World Allergy Organization</w:t>
      </w:r>
      <w:r w:rsidRPr="008770C7">
        <w:t xml:space="preserve"> to a </w:t>
      </w:r>
      <w:r w:rsidRPr="008770C7">
        <w:rPr>
          <w:noProof/>
        </w:rPr>
        <w:t>Nomenclature Review conference in 2004</w:t>
      </w:r>
      <w:r>
        <w:rPr>
          <w:noProof/>
        </w:rPr>
        <w:t xml:space="preserve"> </w:t>
      </w:r>
      <w:r w:rsidRPr="008770C7">
        <w:t xml:space="preserve">(Johansson </w:t>
      </w:r>
      <w:r w:rsidR="00EC06FF" w:rsidRPr="00EC06FF">
        <w:rPr>
          <w:i/>
        </w:rPr>
        <w:t>et al</w:t>
      </w:r>
      <w:r w:rsidRPr="008770C7">
        <w:t>., 2004)</w:t>
      </w:r>
      <w:r>
        <w:t xml:space="preserve">.  Subsequently, the list of terms has expanded (Table </w:t>
      </w:r>
      <w:r w:rsidR="001B384A">
        <w:t>3</w:t>
      </w:r>
      <w:r>
        <w:t xml:space="preserve">), among which the use of </w:t>
      </w:r>
      <w:r w:rsidRPr="008770C7">
        <w:t xml:space="preserve">“immunologic” and “non-immunologic” </w:t>
      </w:r>
      <w:r>
        <w:t>HSRs to differentiate between of IgE</w:t>
      </w:r>
      <w:r w:rsidRPr="008770C7">
        <w:t xml:space="preserve">-mediated </w:t>
      </w:r>
      <w:r>
        <w:t>reactions from all others is particularly questionable, since the</w:t>
      </w:r>
      <w:r w:rsidRPr="008770C7">
        <w:t xml:space="preserve"> involvement of </w:t>
      </w:r>
      <w:r>
        <w:t xml:space="preserve">IgE or other </w:t>
      </w:r>
      <w:r w:rsidRPr="008770C7">
        <w:t xml:space="preserve">specific antibodies in </w:t>
      </w:r>
      <w:r>
        <w:t>HSRs often cannot be proved or has not even been tested</w:t>
      </w:r>
      <w:r w:rsidRPr="008770C7">
        <w:t xml:space="preserve"> (Johansson </w:t>
      </w:r>
      <w:r w:rsidR="00EC06FF" w:rsidRPr="00EC06FF">
        <w:rPr>
          <w:i/>
        </w:rPr>
        <w:t>et al</w:t>
      </w:r>
      <w:r w:rsidRPr="008770C7">
        <w:t xml:space="preserve">., 2004; Kemp </w:t>
      </w:r>
      <w:r w:rsidR="00EC06FF" w:rsidRPr="00EC06FF">
        <w:rPr>
          <w:i/>
        </w:rPr>
        <w:t>et al</w:t>
      </w:r>
      <w:r w:rsidRPr="008770C7">
        <w:t xml:space="preserve">., 2008).  This </w:t>
      </w:r>
      <w:r>
        <w:t>problem</w:t>
      </w:r>
      <w:r w:rsidRPr="008770C7">
        <w:t xml:space="preserve"> applies </w:t>
      </w:r>
      <w:r>
        <w:t>to</w:t>
      </w:r>
      <w:r w:rsidRPr="008770C7">
        <w:t xml:space="preserve"> </w:t>
      </w:r>
      <w:r>
        <w:t xml:space="preserve">all HSRs, including </w:t>
      </w:r>
      <w:r w:rsidRPr="008770C7">
        <w:t>IV</w:t>
      </w:r>
      <w:r>
        <w:t xml:space="preserve">-iron reactions.  </w:t>
      </w:r>
    </w:p>
    <w:p w14:paraId="67D9C569" w14:textId="77777777" w:rsidR="001016D3" w:rsidRPr="008770C7" w:rsidRDefault="001016D3" w:rsidP="00E23F53">
      <w:r>
        <w:t>In addition to the</w:t>
      </w:r>
      <w:r w:rsidRPr="008770C7">
        <w:t xml:space="preserve"> ambiguous terminology, anaphylaxis research is hindered by two other factors: 1) the rarity of severe reactions, making it difficult, if not impossible, to set up comparative trials according to the principles of evidence</w:t>
      </w:r>
      <w:r>
        <w:t>-</w:t>
      </w:r>
      <w:r w:rsidRPr="008770C7">
        <w:t xml:space="preserve">based medicine, and 2) the lack of animal models which mimic the symptoms of human HSRs.  As for the first problem, instead of Phase I toxicity/safety- evaluation followed by randomized, placebo-controlled clinical trials, clinical evidence in the field of anaphylaxis is mostly based on retrospective analyses of large databases and medical records, which can seldom answer specific, prospective questions regarding safety or efficacy.  </w:t>
      </w:r>
    </w:p>
    <w:p w14:paraId="28774B53" w14:textId="77777777" w:rsidR="001016D3" w:rsidRDefault="001016D3" w:rsidP="00E23F53">
      <w:r w:rsidRPr="008770C7">
        <w:t xml:space="preserve">The problem of animal models of anaphylaxis lies in the divergence from humans in </w:t>
      </w:r>
      <w:r>
        <w:t xml:space="preserve">their </w:t>
      </w:r>
      <w:r w:rsidRPr="008770C7">
        <w:t xml:space="preserve">sensitivity to different reactogenic drugs, and in the frequency of occurrence and symptoms of reactions.  For these reasons there is no validated animal model of human </w:t>
      </w:r>
      <w:r>
        <w:t>HSRs</w:t>
      </w:r>
      <w:r w:rsidRPr="008770C7">
        <w:t xml:space="preserve"> provoked either by drugs, or other causes, e.g., foods, insect stings, surgery, exercise.  Nevertheless, animal models are useful for the study of some common steps in anaphylaxis at the cellular and subcellular level, for example mast cell degranulation (Nauta</w:t>
      </w:r>
      <w:r w:rsidRPr="008770C7">
        <w:rPr>
          <w:i/>
        </w:rPr>
        <w:t xml:space="preserve"> </w:t>
      </w:r>
      <w:r w:rsidR="00EC06FF" w:rsidRPr="00EC06FF">
        <w:rPr>
          <w:i/>
        </w:rPr>
        <w:t>et al</w:t>
      </w:r>
      <w:r w:rsidRPr="008770C7">
        <w:rPr>
          <w:i/>
        </w:rPr>
        <w:t>.</w:t>
      </w:r>
      <w:r w:rsidRPr="008770C7">
        <w:t xml:space="preserve">, 2008).  </w:t>
      </w:r>
    </w:p>
    <w:p w14:paraId="03918480" w14:textId="77777777" w:rsidR="009A66C0" w:rsidRDefault="009A66C0" w:rsidP="009A66C0">
      <w:r w:rsidRPr="008770C7">
        <w:t>One aspect of progress in this field that awaits professional and regulatory recognition is the use of pig models of CARPA, since pigs, unlike rats and mice, resemble humans in their hemodynamic, hematologic, biochemical and skin responses to many nanomedicines (liposomes, micellar drugs, radiocontrast agents, polymers, antibodies, protein drugs, enzymes) with unique sensitivity and reproducibility (</w:t>
      </w:r>
      <w:r w:rsidRPr="008770C7">
        <w:rPr>
          <w:sz w:val="22"/>
        </w:rPr>
        <w:t>Szebeni</w:t>
      </w:r>
      <w:r w:rsidRPr="008770C7">
        <w:rPr>
          <w:i/>
        </w:rPr>
        <w:t xml:space="preserve"> </w:t>
      </w:r>
      <w:r w:rsidR="00EC06FF" w:rsidRPr="00EC06FF">
        <w:rPr>
          <w:i/>
        </w:rPr>
        <w:t>et al</w:t>
      </w:r>
      <w:r w:rsidRPr="008770C7">
        <w:rPr>
          <w:i/>
        </w:rPr>
        <w:t>.</w:t>
      </w:r>
      <w:r w:rsidRPr="008770C7">
        <w:t>, 1999b; 2000; 2006; 2007; 2012a, b, c; 2014; Merkel</w:t>
      </w:r>
      <w:r w:rsidRPr="008770C7">
        <w:rPr>
          <w:i/>
        </w:rPr>
        <w:t xml:space="preserve"> </w:t>
      </w:r>
      <w:r w:rsidR="00EC06FF" w:rsidRPr="00EC06FF">
        <w:rPr>
          <w:i/>
        </w:rPr>
        <w:t>et al</w:t>
      </w:r>
      <w:r w:rsidRPr="008770C7">
        <w:rPr>
          <w:i/>
        </w:rPr>
        <w:t>.</w:t>
      </w:r>
      <w:r w:rsidRPr="008770C7">
        <w:t>, 2011; Dézsi</w:t>
      </w:r>
      <w:r w:rsidRPr="008770C7">
        <w:rPr>
          <w:i/>
        </w:rPr>
        <w:t xml:space="preserve"> </w:t>
      </w:r>
      <w:r w:rsidR="00EC06FF" w:rsidRPr="00EC06FF">
        <w:rPr>
          <w:i/>
        </w:rPr>
        <w:t>et al</w:t>
      </w:r>
      <w:r w:rsidRPr="008770C7">
        <w:rPr>
          <w:i/>
        </w:rPr>
        <w:t>.</w:t>
      </w:r>
      <w:r w:rsidRPr="008770C7">
        <w:t xml:space="preserve">, 2014).  It is this model that presents </w:t>
      </w:r>
      <w:r>
        <w:t xml:space="preserve">both </w:t>
      </w:r>
      <w:r w:rsidRPr="008770C7">
        <w:t xml:space="preserve">tachyphylactic and non-tachyphylactic reactions </w:t>
      </w:r>
      <w:r>
        <w:t xml:space="preserve">and therefore allows prediction of the efficacy </w:t>
      </w:r>
      <w:r w:rsidRPr="008770C7">
        <w:t xml:space="preserve">of </w:t>
      </w:r>
      <w:r>
        <w:t>slow infusion</w:t>
      </w:r>
      <w:r w:rsidRPr="008770C7">
        <w:t xml:space="preserve"> and prophylactic desensitization with</w:t>
      </w:r>
      <w:r>
        <w:t xml:space="preserve"> drug carriers (such as empty liposomes)</w:t>
      </w:r>
      <w:r w:rsidRPr="008770C7">
        <w:t xml:space="preserve"> </w:t>
      </w:r>
      <w:r>
        <w:t>(</w:t>
      </w:r>
      <w:r w:rsidRPr="008770C7">
        <w:t>Szebeni</w:t>
      </w:r>
      <w:r w:rsidRPr="008770C7">
        <w:rPr>
          <w:i/>
        </w:rPr>
        <w:t xml:space="preserve"> </w:t>
      </w:r>
      <w:r w:rsidR="00EC06FF" w:rsidRPr="00EC06FF">
        <w:rPr>
          <w:i/>
        </w:rPr>
        <w:t>et al</w:t>
      </w:r>
      <w:r w:rsidRPr="008770C7">
        <w:rPr>
          <w:i/>
        </w:rPr>
        <w:t>.</w:t>
      </w:r>
      <w:r w:rsidRPr="008770C7">
        <w:t>, 1999a; 2012a,b, c; Dézsi</w:t>
      </w:r>
      <w:r w:rsidRPr="008770C7">
        <w:rPr>
          <w:i/>
        </w:rPr>
        <w:t xml:space="preserve"> </w:t>
      </w:r>
      <w:r w:rsidR="00EC06FF" w:rsidRPr="00EC06FF">
        <w:rPr>
          <w:i/>
        </w:rPr>
        <w:t>et al</w:t>
      </w:r>
      <w:r w:rsidRPr="008770C7">
        <w:rPr>
          <w:i/>
        </w:rPr>
        <w:t>.</w:t>
      </w:r>
      <w:r w:rsidRPr="008770C7">
        <w:t xml:space="preserve">, 2014).  Whether IV-iron </w:t>
      </w:r>
      <w:r>
        <w:t xml:space="preserve">nanoparticles </w:t>
      </w:r>
      <w:r w:rsidRPr="008770C7">
        <w:t xml:space="preserve">will trigger </w:t>
      </w:r>
      <w:r>
        <w:t xml:space="preserve">CARPA </w:t>
      </w:r>
      <w:r w:rsidRPr="008770C7">
        <w:t xml:space="preserve">in pigs awaits experimental </w:t>
      </w:r>
      <w:r>
        <w:t>exploration</w:t>
      </w:r>
      <w:r w:rsidRPr="008770C7">
        <w:t>.</w:t>
      </w:r>
    </w:p>
    <w:p w14:paraId="0094D1B6" w14:textId="77777777" w:rsidR="009A66C0" w:rsidRDefault="009A66C0" w:rsidP="00EB6C28"/>
    <w:p w14:paraId="683DD0DD" w14:textId="77777777" w:rsidR="001016D3" w:rsidRPr="008770C7" w:rsidRDefault="001016D3" w:rsidP="00EB6C28">
      <w:r w:rsidRPr="008770C7">
        <w:t xml:space="preserve">Table </w:t>
      </w:r>
      <w:r w:rsidR="00376CC5">
        <w:t>3</w:t>
      </w:r>
      <w:r w:rsidRPr="008770C7">
        <w:t>. Terms used for different hypersensitivity reactions</w:t>
      </w:r>
    </w:p>
    <w:tbl>
      <w:tblPr>
        <w:tblpPr w:leftFromText="180" w:rightFromText="180" w:vertAnchor="text" w:horzAnchor="page" w:tblpX="1557" w:tblpY="3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9"/>
        <w:gridCol w:w="1161"/>
        <w:gridCol w:w="2160"/>
        <w:gridCol w:w="2160"/>
        <w:gridCol w:w="1440"/>
      </w:tblGrid>
      <w:tr w:rsidR="001016D3" w:rsidRPr="00FF3933" w14:paraId="091781A6" w14:textId="77777777" w:rsidTr="007F6014">
        <w:trPr>
          <w:trHeight w:val="47"/>
        </w:trPr>
        <w:tc>
          <w:tcPr>
            <w:tcW w:w="2049" w:type="dxa"/>
            <w:vAlign w:val="center"/>
          </w:tcPr>
          <w:p w14:paraId="26828C66" w14:textId="77777777" w:rsidR="001016D3" w:rsidRPr="00FF3933" w:rsidRDefault="001016D3" w:rsidP="00FF3933">
            <w:pPr>
              <w:spacing w:after="0"/>
              <w:jc w:val="center"/>
              <w:rPr>
                <w:b/>
                <w:sz w:val="20"/>
              </w:rPr>
            </w:pPr>
            <w:r w:rsidRPr="00FF3933">
              <w:rPr>
                <w:b/>
                <w:sz w:val="20"/>
              </w:rPr>
              <w:t>Term</w:t>
            </w:r>
          </w:p>
        </w:tc>
        <w:tc>
          <w:tcPr>
            <w:tcW w:w="1119" w:type="dxa"/>
            <w:vAlign w:val="center"/>
          </w:tcPr>
          <w:p w14:paraId="7950E963" w14:textId="77777777" w:rsidR="001016D3" w:rsidRPr="00FF3933" w:rsidRDefault="001016D3" w:rsidP="00FF3933">
            <w:pPr>
              <w:spacing w:after="0"/>
              <w:jc w:val="center"/>
              <w:rPr>
                <w:b/>
                <w:sz w:val="20"/>
              </w:rPr>
            </w:pPr>
            <w:r w:rsidRPr="00FF3933">
              <w:rPr>
                <w:b/>
                <w:sz w:val="20"/>
              </w:rPr>
              <w:t>Type</w:t>
            </w:r>
          </w:p>
        </w:tc>
        <w:tc>
          <w:tcPr>
            <w:tcW w:w="2160" w:type="dxa"/>
            <w:vAlign w:val="center"/>
          </w:tcPr>
          <w:p w14:paraId="30166DFB" w14:textId="77777777" w:rsidR="001016D3" w:rsidRPr="00FF3933" w:rsidRDefault="001016D3" w:rsidP="00FF3933">
            <w:pPr>
              <w:spacing w:after="0"/>
              <w:jc w:val="center"/>
              <w:rPr>
                <w:b/>
                <w:sz w:val="20"/>
              </w:rPr>
            </w:pPr>
            <w:r w:rsidRPr="00FF3933">
              <w:rPr>
                <w:b/>
                <w:sz w:val="20"/>
              </w:rPr>
              <w:t>Definition</w:t>
            </w:r>
          </w:p>
        </w:tc>
        <w:tc>
          <w:tcPr>
            <w:tcW w:w="2160" w:type="dxa"/>
            <w:vAlign w:val="center"/>
          </w:tcPr>
          <w:p w14:paraId="67860921" w14:textId="77777777" w:rsidR="001016D3" w:rsidRPr="00FF3933" w:rsidRDefault="001016D3" w:rsidP="00FF3933">
            <w:pPr>
              <w:spacing w:after="0"/>
              <w:jc w:val="center"/>
              <w:rPr>
                <w:b/>
                <w:sz w:val="20"/>
              </w:rPr>
            </w:pPr>
            <w:r w:rsidRPr="00FF3933">
              <w:rPr>
                <w:b/>
                <w:sz w:val="20"/>
              </w:rPr>
              <w:t>Mechanism</w:t>
            </w:r>
          </w:p>
        </w:tc>
        <w:tc>
          <w:tcPr>
            <w:tcW w:w="1440" w:type="dxa"/>
            <w:vAlign w:val="center"/>
          </w:tcPr>
          <w:p w14:paraId="1C1913C1" w14:textId="77777777" w:rsidR="001016D3" w:rsidRPr="00FF3933" w:rsidRDefault="001016D3" w:rsidP="00FF3933">
            <w:pPr>
              <w:spacing w:after="0"/>
              <w:jc w:val="center"/>
              <w:rPr>
                <w:b/>
                <w:sz w:val="20"/>
              </w:rPr>
            </w:pPr>
            <w:r w:rsidRPr="00FF3933">
              <w:rPr>
                <w:b/>
                <w:sz w:val="20"/>
              </w:rPr>
              <w:t>Severity</w:t>
            </w:r>
          </w:p>
        </w:tc>
      </w:tr>
      <w:tr w:rsidR="001016D3" w:rsidRPr="00FF3933" w14:paraId="319352CC" w14:textId="77777777" w:rsidTr="007F6014">
        <w:trPr>
          <w:trHeight w:val="509"/>
        </w:trPr>
        <w:tc>
          <w:tcPr>
            <w:tcW w:w="2049" w:type="dxa"/>
            <w:vAlign w:val="center"/>
          </w:tcPr>
          <w:p w14:paraId="65D56910" w14:textId="77777777" w:rsidR="001016D3" w:rsidRPr="00FF3933" w:rsidRDefault="001016D3" w:rsidP="00EB6C28">
            <w:pPr>
              <w:spacing w:after="0"/>
              <w:rPr>
                <w:sz w:val="20"/>
              </w:rPr>
            </w:pPr>
            <w:r w:rsidRPr="00FF3933">
              <w:rPr>
                <w:sz w:val="20"/>
              </w:rPr>
              <w:t>Drug allergy</w:t>
            </w:r>
          </w:p>
        </w:tc>
        <w:tc>
          <w:tcPr>
            <w:tcW w:w="1119" w:type="dxa"/>
            <w:vMerge w:val="restart"/>
            <w:vAlign w:val="center"/>
          </w:tcPr>
          <w:p w14:paraId="472C67A6" w14:textId="77777777" w:rsidR="001016D3" w:rsidRPr="00FF3933" w:rsidRDefault="001016D3" w:rsidP="00EB6C28">
            <w:pPr>
              <w:spacing w:after="0"/>
              <w:rPr>
                <w:sz w:val="20"/>
              </w:rPr>
            </w:pPr>
            <w:r w:rsidRPr="00FF3933">
              <w:rPr>
                <w:sz w:val="20"/>
              </w:rPr>
              <w:t>descriptive</w:t>
            </w:r>
          </w:p>
        </w:tc>
        <w:tc>
          <w:tcPr>
            <w:tcW w:w="2160" w:type="dxa"/>
            <w:vAlign w:val="center"/>
          </w:tcPr>
          <w:p w14:paraId="0D91272C" w14:textId="77777777" w:rsidR="001016D3" w:rsidRPr="00FF3933" w:rsidRDefault="001016D3" w:rsidP="00EB6C28">
            <w:pPr>
              <w:spacing w:after="0"/>
              <w:rPr>
                <w:sz w:val="20"/>
              </w:rPr>
            </w:pPr>
            <w:r w:rsidRPr="00FF3933">
              <w:rPr>
                <w:sz w:val="20"/>
              </w:rPr>
              <w:t xml:space="preserve">hypersensitivity to drugs </w:t>
            </w:r>
          </w:p>
        </w:tc>
        <w:tc>
          <w:tcPr>
            <w:tcW w:w="2160" w:type="dxa"/>
            <w:vMerge w:val="restart"/>
            <w:vAlign w:val="center"/>
          </w:tcPr>
          <w:p w14:paraId="14986AA0" w14:textId="77777777" w:rsidR="001016D3" w:rsidRPr="00FF3933" w:rsidRDefault="001016D3" w:rsidP="00EB6C28">
            <w:pPr>
              <w:spacing w:after="0"/>
              <w:rPr>
                <w:sz w:val="20"/>
              </w:rPr>
            </w:pPr>
            <w:r w:rsidRPr="00FF3933">
              <w:rPr>
                <w:sz w:val="20"/>
              </w:rPr>
              <w:t>Any</w:t>
            </w:r>
          </w:p>
        </w:tc>
        <w:tc>
          <w:tcPr>
            <w:tcW w:w="1440" w:type="dxa"/>
            <w:vMerge w:val="restart"/>
            <w:vAlign w:val="center"/>
          </w:tcPr>
          <w:p w14:paraId="363F32F9" w14:textId="77777777" w:rsidR="001016D3" w:rsidRPr="00FF3933" w:rsidRDefault="001016D3" w:rsidP="00EB6C28">
            <w:pPr>
              <w:spacing w:after="0"/>
              <w:rPr>
                <w:sz w:val="20"/>
              </w:rPr>
            </w:pPr>
            <w:r w:rsidRPr="00FF3933">
              <w:rPr>
                <w:sz w:val="20"/>
              </w:rPr>
              <w:t>mild-to-severe</w:t>
            </w:r>
          </w:p>
        </w:tc>
      </w:tr>
      <w:tr w:rsidR="001016D3" w:rsidRPr="00FF3933" w14:paraId="78DD50C7" w14:textId="77777777" w:rsidTr="007F6014">
        <w:trPr>
          <w:trHeight w:val="477"/>
        </w:trPr>
        <w:tc>
          <w:tcPr>
            <w:tcW w:w="2049" w:type="dxa"/>
            <w:vAlign w:val="center"/>
          </w:tcPr>
          <w:p w14:paraId="7BDC3BDD" w14:textId="77777777" w:rsidR="001016D3" w:rsidRPr="00FF3933" w:rsidRDefault="001016D3" w:rsidP="00EB6C28">
            <w:pPr>
              <w:spacing w:after="0"/>
              <w:rPr>
                <w:sz w:val="20"/>
              </w:rPr>
            </w:pPr>
            <w:r w:rsidRPr="00FF3933">
              <w:rPr>
                <w:sz w:val="20"/>
              </w:rPr>
              <w:t>Infusion reaction</w:t>
            </w:r>
          </w:p>
        </w:tc>
        <w:tc>
          <w:tcPr>
            <w:tcW w:w="1119" w:type="dxa"/>
            <w:vMerge/>
            <w:vAlign w:val="center"/>
          </w:tcPr>
          <w:p w14:paraId="4AF192BB" w14:textId="77777777" w:rsidR="001016D3" w:rsidRPr="00FF3933" w:rsidRDefault="001016D3" w:rsidP="00EB6C28">
            <w:pPr>
              <w:spacing w:after="0"/>
              <w:rPr>
                <w:sz w:val="20"/>
              </w:rPr>
            </w:pPr>
          </w:p>
        </w:tc>
        <w:tc>
          <w:tcPr>
            <w:tcW w:w="2160" w:type="dxa"/>
            <w:vAlign w:val="center"/>
          </w:tcPr>
          <w:p w14:paraId="3096FD1B" w14:textId="77777777" w:rsidR="001016D3" w:rsidRPr="00FF3933" w:rsidRDefault="001016D3" w:rsidP="00EB6C28">
            <w:pPr>
              <w:spacing w:after="0"/>
              <w:rPr>
                <w:sz w:val="20"/>
              </w:rPr>
            </w:pPr>
            <w:r w:rsidRPr="00FF3933">
              <w:rPr>
                <w:sz w:val="20"/>
              </w:rPr>
              <w:t>HSR arising as a consequence of infusion</w:t>
            </w:r>
          </w:p>
        </w:tc>
        <w:tc>
          <w:tcPr>
            <w:tcW w:w="2160" w:type="dxa"/>
            <w:vMerge/>
            <w:vAlign w:val="center"/>
          </w:tcPr>
          <w:p w14:paraId="2B78C13D" w14:textId="77777777" w:rsidR="001016D3" w:rsidRPr="00FF3933" w:rsidRDefault="001016D3" w:rsidP="00EB6C28">
            <w:pPr>
              <w:spacing w:after="0"/>
              <w:rPr>
                <w:sz w:val="20"/>
              </w:rPr>
            </w:pPr>
          </w:p>
        </w:tc>
        <w:tc>
          <w:tcPr>
            <w:tcW w:w="1440" w:type="dxa"/>
            <w:vMerge/>
            <w:vAlign w:val="center"/>
          </w:tcPr>
          <w:p w14:paraId="5299FF20" w14:textId="77777777" w:rsidR="001016D3" w:rsidRPr="00FF3933" w:rsidRDefault="001016D3" w:rsidP="00EB6C28">
            <w:pPr>
              <w:spacing w:after="0"/>
              <w:rPr>
                <w:sz w:val="20"/>
              </w:rPr>
            </w:pPr>
          </w:p>
        </w:tc>
      </w:tr>
      <w:tr w:rsidR="001016D3" w:rsidRPr="00FF3933" w14:paraId="22C2F462" w14:textId="77777777" w:rsidTr="007F6014">
        <w:trPr>
          <w:trHeight w:val="339"/>
        </w:trPr>
        <w:tc>
          <w:tcPr>
            <w:tcW w:w="2049" w:type="dxa"/>
            <w:vAlign w:val="center"/>
          </w:tcPr>
          <w:p w14:paraId="5D70E08C" w14:textId="77777777" w:rsidR="001016D3" w:rsidRPr="00FF3933" w:rsidRDefault="001016D3" w:rsidP="00EB6C28">
            <w:pPr>
              <w:spacing w:after="0"/>
              <w:rPr>
                <w:sz w:val="20"/>
              </w:rPr>
            </w:pPr>
            <w:r w:rsidRPr="00FF3933">
              <w:rPr>
                <w:sz w:val="20"/>
              </w:rPr>
              <w:t>Idiosyncratic reaction</w:t>
            </w:r>
          </w:p>
        </w:tc>
        <w:tc>
          <w:tcPr>
            <w:tcW w:w="1119" w:type="dxa"/>
            <w:vMerge/>
            <w:vAlign w:val="center"/>
          </w:tcPr>
          <w:p w14:paraId="4E63373F" w14:textId="77777777" w:rsidR="001016D3" w:rsidRPr="00FF3933" w:rsidRDefault="001016D3" w:rsidP="00EB6C28">
            <w:pPr>
              <w:spacing w:after="0"/>
              <w:rPr>
                <w:sz w:val="20"/>
              </w:rPr>
            </w:pPr>
          </w:p>
        </w:tc>
        <w:tc>
          <w:tcPr>
            <w:tcW w:w="2160" w:type="dxa"/>
            <w:vAlign w:val="center"/>
          </w:tcPr>
          <w:p w14:paraId="4F4B444D" w14:textId="77777777" w:rsidR="001016D3" w:rsidRPr="00FF3933" w:rsidRDefault="001016D3" w:rsidP="00EB6C28">
            <w:pPr>
              <w:spacing w:after="0"/>
              <w:rPr>
                <w:sz w:val="20"/>
              </w:rPr>
            </w:pPr>
            <w:r w:rsidRPr="00FF3933">
              <w:rPr>
                <w:sz w:val="20"/>
              </w:rPr>
              <w:t>HSR without known reason</w:t>
            </w:r>
          </w:p>
        </w:tc>
        <w:tc>
          <w:tcPr>
            <w:tcW w:w="2160" w:type="dxa"/>
            <w:vMerge/>
            <w:vAlign w:val="center"/>
          </w:tcPr>
          <w:p w14:paraId="158824B4" w14:textId="77777777" w:rsidR="001016D3" w:rsidRPr="00FF3933" w:rsidRDefault="001016D3" w:rsidP="00EB6C28">
            <w:pPr>
              <w:spacing w:after="0"/>
              <w:rPr>
                <w:sz w:val="20"/>
              </w:rPr>
            </w:pPr>
          </w:p>
        </w:tc>
        <w:tc>
          <w:tcPr>
            <w:tcW w:w="1440" w:type="dxa"/>
            <w:vMerge/>
            <w:vAlign w:val="center"/>
          </w:tcPr>
          <w:p w14:paraId="22F4C1FE" w14:textId="77777777" w:rsidR="001016D3" w:rsidRPr="00FF3933" w:rsidRDefault="001016D3" w:rsidP="00EB6C28">
            <w:pPr>
              <w:spacing w:after="0"/>
              <w:rPr>
                <w:sz w:val="20"/>
              </w:rPr>
            </w:pPr>
          </w:p>
        </w:tc>
      </w:tr>
      <w:tr w:rsidR="001016D3" w:rsidRPr="00FF3933" w14:paraId="2273A377" w14:textId="77777777" w:rsidTr="007F6014">
        <w:trPr>
          <w:trHeight w:val="523"/>
        </w:trPr>
        <w:tc>
          <w:tcPr>
            <w:tcW w:w="2049" w:type="dxa"/>
            <w:vAlign w:val="center"/>
          </w:tcPr>
          <w:p w14:paraId="2C26158A" w14:textId="77777777" w:rsidR="001016D3" w:rsidRPr="00FF3933" w:rsidRDefault="001016D3" w:rsidP="00EB6C28">
            <w:pPr>
              <w:spacing w:after="0"/>
              <w:rPr>
                <w:sz w:val="20"/>
              </w:rPr>
            </w:pPr>
            <w:r w:rsidRPr="00FF3933">
              <w:rPr>
                <w:sz w:val="20"/>
              </w:rPr>
              <w:t>Anaphylaxis</w:t>
            </w:r>
          </w:p>
        </w:tc>
        <w:tc>
          <w:tcPr>
            <w:tcW w:w="1119" w:type="dxa"/>
            <w:vAlign w:val="center"/>
          </w:tcPr>
          <w:p w14:paraId="4C1522FA" w14:textId="77777777" w:rsidR="001016D3" w:rsidRPr="00FF3933" w:rsidRDefault="001016D3" w:rsidP="00EB6C28">
            <w:pPr>
              <w:spacing w:after="0"/>
              <w:rPr>
                <w:sz w:val="20"/>
              </w:rPr>
            </w:pPr>
            <w:r w:rsidRPr="00FF3933">
              <w:rPr>
                <w:sz w:val="20"/>
              </w:rPr>
              <w:t xml:space="preserve">quantitative </w:t>
            </w:r>
          </w:p>
        </w:tc>
        <w:tc>
          <w:tcPr>
            <w:tcW w:w="2160" w:type="dxa"/>
            <w:vAlign w:val="center"/>
          </w:tcPr>
          <w:p w14:paraId="61EBB479" w14:textId="77777777" w:rsidR="001016D3" w:rsidRPr="00FF3933" w:rsidRDefault="001016D3" w:rsidP="00EB6C28">
            <w:pPr>
              <w:spacing w:after="0"/>
              <w:rPr>
                <w:sz w:val="20"/>
              </w:rPr>
            </w:pPr>
            <w:r w:rsidRPr="00FF3933">
              <w:rPr>
                <w:sz w:val="20"/>
              </w:rPr>
              <w:t xml:space="preserve">Severe, life-threatening generalized or systemic HSR  </w:t>
            </w:r>
          </w:p>
        </w:tc>
        <w:tc>
          <w:tcPr>
            <w:tcW w:w="2160" w:type="dxa"/>
            <w:vAlign w:val="center"/>
          </w:tcPr>
          <w:p w14:paraId="2A777620" w14:textId="77777777" w:rsidR="001016D3" w:rsidRPr="00FF3933" w:rsidRDefault="001016D3" w:rsidP="00EB6C28">
            <w:pPr>
              <w:spacing w:after="0"/>
              <w:rPr>
                <w:sz w:val="20"/>
              </w:rPr>
            </w:pPr>
            <w:r w:rsidRPr="00FF3933">
              <w:rPr>
                <w:sz w:val="20"/>
              </w:rPr>
              <w:t>Any</w:t>
            </w:r>
          </w:p>
        </w:tc>
        <w:tc>
          <w:tcPr>
            <w:tcW w:w="1440" w:type="dxa"/>
            <w:vAlign w:val="center"/>
          </w:tcPr>
          <w:p w14:paraId="43FB803E" w14:textId="77777777" w:rsidR="001016D3" w:rsidRPr="00FF3933" w:rsidRDefault="001016D3" w:rsidP="00EB6C28">
            <w:pPr>
              <w:spacing w:after="0"/>
              <w:rPr>
                <w:sz w:val="20"/>
              </w:rPr>
            </w:pPr>
            <w:r w:rsidRPr="00FF3933">
              <w:rPr>
                <w:sz w:val="20"/>
              </w:rPr>
              <w:t>severe</w:t>
            </w:r>
          </w:p>
        </w:tc>
      </w:tr>
      <w:tr w:rsidR="001016D3" w:rsidRPr="00FF3933" w14:paraId="6BE940F5" w14:textId="77777777" w:rsidTr="007F6014">
        <w:trPr>
          <w:trHeight w:val="47"/>
        </w:trPr>
        <w:tc>
          <w:tcPr>
            <w:tcW w:w="2049" w:type="dxa"/>
            <w:vAlign w:val="center"/>
          </w:tcPr>
          <w:p w14:paraId="4952D702" w14:textId="77777777" w:rsidR="001016D3" w:rsidRPr="00FF3933" w:rsidRDefault="001016D3" w:rsidP="00EB6C28">
            <w:pPr>
              <w:spacing w:after="0"/>
              <w:rPr>
                <w:sz w:val="20"/>
              </w:rPr>
            </w:pPr>
            <w:r w:rsidRPr="00FF3933">
              <w:rPr>
                <w:sz w:val="20"/>
              </w:rPr>
              <w:t xml:space="preserve">Pseudoallergy </w:t>
            </w:r>
          </w:p>
        </w:tc>
        <w:tc>
          <w:tcPr>
            <w:tcW w:w="1119" w:type="dxa"/>
            <w:vMerge w:val="restart"/>
            <w:vAlign w:val="center"/>
          </w:tcPr>
          <w:p w14:paraId="0A0F4C36" w14:textId="77777777" w:rsidR="001016D3" w:rsidRPr="00FF3933" w:rsidRDefault="001016D3" w:rsidP="00EB6C28">
            <w:pPr>
              <w:spacing w:after="0"/>
              <w:rPr>
                <w:sz w:val="20"/>
              </w:rPr>
            </w:pPr>
            <w:r w:rsidRPr="00FF3933">
              <w:rPr>
                <w:sz w:val="20"/>
              </w:rPr>
              <w:t>qualitative</w:t>
            </w:r>
          </w:p>
        </w:tc>
        <w:tc>
          <w:tcPr>
            <w:tcW w:w="2160" w:type="dxa"/>
            <w:vMerge w:val="restart"/>
            <w:vAlign w:val="center"/>
          </w:tcPr>
          <w:p w14:paraId="07EB56FD" w14:textId="77777777" w:rsidR="001016D3" w:rsidRPr="00FF3933" w:rsidRDefault="001016D3" w:rsidP="00EB6C28">
            <w:pPr>
              <w:spacing w:after="0"/>
              <w:rPr>
                <w:sz w:val="20"/>
              </w:rPr>
            </w:pPr>
            <w:r w:rsidRPr="00FF3933">
              <w:rPr>
                <w:sz w:val="20"/>
              </w:rPr>
              <w:t>Systemic and/or local signs of HSR</w:t>
            </w:r>
          </w:p>
          <w:p w14:paraId="6A74D132" w14:textId="77777777" w:rsidR="001016D3" w:rsidRPr="00FF3933" w:rsidRDefault="001016D3" w:rsidP="00EB6C28">
            <w:pPr>
              <w:spacing w:after="0"/>
              <w:rPr>
                <w:sz w:val="20"/>
              </w:rPr>
            </w:pPr>
          </w:p>
        </w:tc>
        <w:tc>
          <w:tcPr>
            <w:tcW w:w="2160" w:type="dxa"/>
            <w:vMerge w:val="restart"/>
            <w:vAlign w:val="center"/>
          </w:tcPr>
          <w:p w14:paraId="1E8A483A" w14:textId="77777777" w:rsidR="001016D3" w:rsidRPr="00FF3933" w:rsidRDefault="001016D3" w:rsidP="00EB6C28">
            <w:pPr>
              <w:spacing w:after="0"/>
              <w:rPr>
                <w:sz w:val="20"/>
              </w:rPr>
            </w:pPr>
            <w:r w:rsidRPr="00FF3933">
              <w:rPr>
                <w:sz w:val="20"/>
              </w:rPr>
              <w:t xml:space="preserve">any mechanism with no role of specific IgE, IgG or IgM </w:t>
            </w:r>
          </w:p>
        </w:tc>
        <w:tc>
          <w:tcPr>
            <w:tcW w:w="1440" w:type="dxa"/>
            <w:vMerge w:val="restart"/>
            <w:vAlign w:val="center"/>
          </w:tcPr>
          <w:p w14:paraId="3A01A37A" w14:textId="77777777" w:rsidR="001016D3" w:rsidRPr="00FF3933" w:rsidRDefault="001016D3" w:rsidP="00EB6C28">
            <w:pPr>
              <w:spacing w:after="0"/>
              <w:rPr>
                <w:sz w:val="20"/>
              </w:rPr>
            </w:pPr>
            <w:r w:rsidRPr="00FF3933">
              <w:rPr>
                <w:sz w:val="20"/>
              </w:rPr>
              <w:t>mild-to-severe</w:t>
            </w:r>
          </w:p>
        </w:tc>
      </w:tr>
      <w:tr w:rsidR="001016D3" w:rsidRPr="00FF3933" w14:paraId="0B1F82AD" w14:textId="77777777" w:rsidTr="007F6014">
        <w:trPr>
          <w:trHeight w:val="47"/>
        </w:trPr>
        <w:tc>
          <w:tcPr>
            <w:tcW w:w="2049" w:type="dxa"/>
            <w:vAlign w:val="center"/>
          </w:tcPr>
          <w:p w14:paraId="6E6DD556" w14:textId="77777777" w:rsidR="001016D3" w:rsidRPr="00FF3933" w:rsidRDefault="001016D3" w:rsidP="00EB6C28">
            <w:pPr>
              <w:spacing w:after="0"/>
              <w:rPr>
                <w:sz w:val="20"/>
              </w:rPr>
            </w:pPr>
            <w:r w:rsidRPr="00FF3933">
              <w:rPr>
                <w:sz w:val="20"/>
              </w:rPr>
              <w:t>Non-allergic hypersensitivity</w:t>
            </w:r>
          </w:p>
        </w:tc>
        <w:tc>
          <w:tcPr>
            <w:tcW w:w="1119" w:type="dxa"/>
            <w:vMerge/>
            <w:vAlign w:val="center"/>
          </w:tcPr>
          <w:p w14:paraId="069E3876" w14:textId="77777777" w:rsidR="001016D3" w:rsidRPr="00FF3933" w:rsidRDefault="001016D3" w:rsidP="00EB6C28">
            <w:pPr>
              <w:spacing w:after="0"/>
              <w:rPr>
                <w:sz w:val="20"/>
              </w:rPr>
            </w:pPr>
          </w:p>
        </w:tc>
        <w:tc>
          <w:tcPr>
            <w:tcW w:w="2160" w:type="dxa"/>
            <w:vMerge/>
            <w:vAlign w:val="center"/>
          </w:tcPr>
          <w:p w14:paraId="7EE8AFD9" w14:textId="77777777" w:rsidR="001016D3" w:rsidRPr="00FF3933" w:rsidRDefault="001016D3" w:rsidP="00EB6C28">
            <w:pPr>
              <w:spacing w:after="0"/>
              <w:rPr>
                <w:sz w:val="20"/>
              </w:rPr>
            </w:pPr>
          </w:p>
        </w:tc>
        <w:tc>
          <w:tcPr>
            <w:tcW w:w="2160" w:type="dxa"/>
            <w:vMerge/>
            <w:vAlign w:val="center"/>
          </w:tcPr>
          <w:p w14:paraId="3FAF25BF" w14:textId="77777777" w:rsidR="001016D3" w:rsidRPr="00FF3933" w:rsidRDefault="001016D3" w:rsidP="00EB6C28">
            <w:pPr>
              <w:spacing w:after="0"/>
              <w:rPr>
                <w:sz w:val="20"/>
              </w:rPr>
            </w:pPr>
          </w:p>
        </w:tc>
        <w:tc>
          <w:tcPr>
            <w:tcW w:w="1440" w:type="dxa"/>
            <w:vMerge/>
            <w:vAlign w:val="center"/>
          </w:tcPr>
          <w:p w14:paraId="3D47EB6D" w14:textId="77777777" w:rsidR="001016D3" w:rsidRPr="00FF3933" w:rsidRDefault="001016D3" w:rsidP="00EB6C28">
            <w:pPr>
              <w:spacing w:after="0"/>
              <w:rPr>
                <w:sz w:val="20"/>
              </w:rPr>
            </w:pPr>
          </w:p>
        </w:tc>
      </w:tr>
      <w:tr w:rsidR="001016D3" w:rsidRPr="00FF3933" w14:paraId="2A1918EF" w14:textId="77777777" w:rsidTr="007F6014">
        <w:trPr>
          <w:trHeight w:val="47"/>
        </w:trPr>
        <w:tc>
          <w:tcPr>
            <w:tcW w:w="2049" w:type="dxa"/>
            <w:vAlign w:val="center"/>
          </w:tcPr>
          <w:p w14:paraId="52E4E4AA" w14:textId="77777777" w:rsidR="001016D3" w:rsidRPr="00FF3933" w:rsidRDefault="001016D3" w:rsidP="00EB6C28">
            <w:pPr>
              <w:spacing w:after="0"/>
              <w:rPr>
                <w:sz w:val="20"/>
              </w:rPr>
            </w:pPr>
            <w:r w:rsidRPr="00FF3933">
              <w:rPr>
                <w:sz w:val="20"/>
              </w:rPr>
              <w:t>Non-immune hypersensitivity</w:t>
            </w:r>
          </w:p>
        </w:tc>
        <w:tc>
          <w:tcPr>
            <w:tcW w:w="1119" w:type="dxa"/>
            <w:vMerge/>
            <w:vAlign w:val="center"/>
          </w:tcPr>
          <w:p w14:paraId="322521FA" w14:textId="77777777" w:rsidR="001016D3" w:rsidRPr="00FF3933" w:rsidRDefault="001016D3" w:rsidP="00EB6C28">
            <w:pPr>
              <w:spacing w:after="0"/>
              <w:rPr>
                <w:sz w:val="20"/>
              </w:rPr>
            </w:pPr>
          </w:p>
        </w:tc>
        <w:tc>
          <w:tcPr>
            <w:tcW w:w="2160" w:type="dxa"/>
            <w:vMerge/>
            <w:vAlign w:val="center"/>
          </w:tcPr>
          <w:p w14:paraId="559553F4" w14:textId="77777777" w:rsidR="001016D3" w:rsidRPr="00FF3933" w:rsidRDefault="001016D3" w:rsidP="00EB6C28">
            <w:pPr>
              <w:spacing w:after="0"/>
              <w:rPr>
                <w:sz w:val="20"/>
              </w:rPr>
            </w:pPr>
          </w:p>
        </w:tc>
        <w:tc>
          <w:tcPr>
            <w:tcW w:w="2160" w:type="dxa"/>
            <w:vMerge/>
            <w:vAlign w:val="center"/>
          </w:tcPr>
          <w:p w14:paraId="5CC29334" w14:textId="77777777" w:rsidR="001016D3" w:rsidRPr="00FF3933" w:rsidRDefault="001016D3" w:rsidP="00EB6C28">
            <w:pPr>
              <w:spacing w:after="0"/>
              <w:rPr>
                <w:sz w:val="20"/>
              </w:rPr>
            </w:pPr>
          </w:p>
        </w:tc>
        <w:tc>
          <w:tcPr>
            <w:tcW w:w="1440" w:type="dxa"/>
            <w:vMerge/>
            <w:vAlign w:val="center"/>
          </w:tcPr>
          <w:p w14:paraId="2F960A62" w14:textId="77777777" w:rsidR="001016D3" w:rsidRPr="00FF3933" w:rsidRDefault="001016D3" w:rsidP="00EB6C28">
            <w:pPr>
              <w:spacing w:after="0"/>
              <w:rPr>
                <w:sz w:val="20"/>
              </w:rPr>
            </w:pPr>
          </w:p>
        </w:tc>
      </w:tr>
      <w:tr w:rsidR="001016D3" w:rsidRPr="00FF3933" w14:paraId="1843B035" w14:textId="77777777" w:rsidTr="007F6014">
        <w:trPr>
          <w:trHeight w:val="395"/>
        </w:trPr>
        <w:tc>
          <w:tcPr>
            <w:tcW w:w="2049" w:type="dxa"/>
            <w:vAlign w:val="center"/>
          </w:tcPr>
          <w:p w14:paraId="1FDE5FAB" w14:textId="77777777" w:rsidR="001016D3" w:rsidRPr="00FF3933" w:rsidRDefault="001016D3" w:rsidP="00EB6C28">
            <w:pPr>
              <w:spacing w:after="0"/>
              <w:rPr>
                <w:sz w:val="20"/>
              </w:rPr>
            </w:pPr>
            <w:r w:rsidRPr="00FF3933">
              <w:rPr>
                <w:sz w:val="20"/>
              </w:rPr>
              <w:t>Complement-activation-related pseudoallergy (CARPA)</w:t>
            </w:r>
          </w:p>
        </w:tc>
        <w:tc>
          <w:tcPr>
            <w:tcW w:w="1119" w:type="dxa"/>
            <w:vMerge/>
            <w:vAlign w:val="center"/>
          </w:tcPr>
          <w:p w14:paraId="3108EA9B" w14:textId="77777777" w:rsidR="001016D3" w:rsidRPr="00FF3933" w:rsidRDefault="001016D3" w:rsidP="00EB6C28">
            <w:pPr>
              <w:spacing w:after="0"/>
              <w:rPr>
                <w:sz w:val="20"/>
              </w:rPr>
            </w:pPr>
          </w:p>
        </w:tc>
        <w:tc>
          <w:tcPr>
            <w:tcW w:w="2160" w:type="dxa"/>
            <w:vMerge/>
            <w:vAlign w:val="center"/>
          </w:tcPr>
          <w:p w14:paraId="3E1CFAB9" w14:textId="77777777" w:rsidR="001016D3" w:rsidRPr="00FF3933" w:rsidRDefault="001016D3" w:rsidP="00EB6C28">
            <w:pPr>
              <w:spacing w:after="0"/>
              <w:rPr>
                <w:sz w:val="20"/>
              </w:rPr>
            </w:pPr>
          </w:p>
        </w:tc>
        <w:tc>
          <w:tcPr>
            <w:tcW w:w="2160" w:type="dxa"/>
            <w:vAlign w:val="center"/>
          </w:tcPr>
          <w:p w14:paraId="78CB70CF" w14:textId="77777777" w:rsidR="001016D3" w:rsidRPr="00FF3933" w:rsidRDefault="001016D3" w:rsidP="00EB6C28">
            <w:pPr>
              <w:spacing w:after="0"/>
              <w:rPr>
                <w:sz w:val="20"/>
              </w:rPr>
            </w:pPr>
            <w:r w:rsidRPr="00FF3933">
              <w:rPr>
                <w:sz w:val="20"/>
              </w:rPr>
              <w:t>C activation is involved directly or indirectly</w:t>
            </w:r>
          </w:p>
        </w:tc>
        <w:tc>
          <w:tcPr>
            <w:tcW w:w="1440" w:type="dxa"/>
            <w:vMerge/>
            <w:vAlign w:val="center"/>
          </w:tcPr>
          <w:p w14:paraId="2FB39ABA" w14:textId="77777777" w:rsidR="001016D3" w:rsidRPr="00FF3933" w:rsidRDefault="001016D3" w:rsidP="00EB6C28">
            <w:pPr>
              <w:spacing w:after="0"/>
              <w:rPr>
                <w:sz w:val="20"/>
              </w:rPr>
            </w:pPr>
          </w:p>
        </w:tc>
      </w:tr>
      <w:tr w:rsidR="001016D3" w:rsidRPr="00FF3933" w14:paraId="07BD6F97" w14:textId="77777777" w:rsidTr="007F6014">
        <w:trPr>
          <w:trHeight w:val="267"/>
        </w:trPr>
        <w:tc>
          <w:tcPr>
            <w:tcW w:w="2049" w:type="dxa"/>
            <w:vAlign w:val="center"/>
          </w:tcPr>
          <w:p w14:paraId="77CBA489" w14:textId="77777777" w:rsidR="001016D3" w:rsidRPr="00FF3933" w:rsidRDefault="001016D3" w:rsidP="00EB6C28">
            <w:pPr>
              <w:spacing w:after="0"/>
              <w:rPr>
                <w:sz w:val="20"/>
              </w:rPr>
            </w:pPr>
            <w:r w:rsidRPr="00FF3933">
              <w:rPr>
                <w:sz w:val="20"/>
              </w:rPr>
              <w:t>Immunologic anaphylaxis</w:t>
            </w:r>
          </w:p>
        </w:tc>
        <w:tc>
          <w:tcPr>
            <w:tcW w:w="1119" w:type="dxa"/>
            <w:vMerge w:val="restart"/>
            <w:vAlign w:val="center"/>
          </w:tcPr>
          <w:p w14:paraId="5A742051" w14:textId="77777777" w:rsidR="001016D3" w:rsidRPr="00FF3933" w:rsidRDefault="001016D3" w:rsidP="00EB6C28">
            <w:pPr>
              <w:spacing w:after="0"/>
              <w:rPr>
                <w:sz w:val="20"/>
              </w:rPr>
            </w:pPr>
            <w:r w:rsidRPr="00FF3933">
              <w:rPr>
                <w:sz w:val="20"/>
              </w:rPr>
              <w:t>qualitative and quantitative</w:t>
            </w:r>
          </w:p>
        </w:tc>
        <w:tc>
          <w:tcPr>
            <w:tcW w:w="2160" w:type="dxa"/>
            <w:vMerge/>
            <w:vAlign w:val="center"/>
          </w:tcPr>
          <w:p w14:paraId="3408A9B4" w14:textId="77777777" w:rsidR="001016D3" w:rsidRPr="00FF3933" w:rsidRDefault="001016D3" w:rsidP="00EB6C28">
            <w:pPr>
              <w:spacing w:after="0"/>
              <w:rPr>
                <w:sz w:val="20"/>
              </w:rPr>
            </w:pPr>
          </w:p>
        </w:tc>
        <w:tc>
          <w:tcPr>
            <w:tcW w:w="2160" w:type="dxa"/>
            <w:vAlign w:val="center"/>
          </w:tcPr>
          <w:p w14:paraId="4B6335E8" w14:textId="77777777" w:rsidR="001016D3" w:rsidRPr="00FF3933" w:rsidRDefault="001016D3" w:rsidP="00EB6C28">
            <w:pPr>
              <w:spacing w:after="0"/>
              <w:rPr>
                <w:sz w:val="20"/>
              </w:rPr>
            </w:pPr>
            <w:r w:rsidRPr="00FF3933">
              <w:rPr>
                <w:sz w:val="20"/>
              </w:rPr>
              <w:t>mediated by specific IgE, IgG or IgM</w:t>
            </w:r>
          </w:p>
        </w:tc>
        <w:tc>
          <w:tcPr>
            <w:tcW w:w="1440" w:type="dxa"/>
            <w:vMerge w:val="restart"/>
            <w:vAlign w:val="center"/>
          </w:tcPr>
          <w:p w14:paraId="3817E51E" w14:textId="77777777" w:rsidR="001016D3" w:rsidRPr="00FF3933" w:rsidRDefault="001016D3" w:rsidP="00EB6C28">
            <w:pPr>
              <w:spacing w:after="0"/>
              <w:rPr>
                <w:sz w:val="20"/>
              </w:rPr>
            </w:pPr>
            <w:r w:rsidRPr="00FF3933">
              <w:rPr>
                <w:sz w:val="20"/>
              </w:rPr>
              <w:t>severe</w:t>
            </w:r>
          </w:p>
        </w:tc>
      </w:tr>
      <w:tr w:rsidR="001016D3" w:rsidRPr="00FF3933" w14:paraId="3FB9264F" w14:textId="77777777" w:rsidTr="007F6014">
        <w:trPr>
          <w:trHeight w:val="131"/>
        </w:trPr>
        <w:tc>
          <w:tcPr>
            <w:tcW w:w="2049" w:type="dxa"/>
            <w:vAlign w:val="center"/>
          </w:tcPr>
          <w:p w14:paraId="096EB678" w14:textId="77777777" w:rsidR="001016D3" w:rsidRPr="00FF3933" w:rsidRDefault="001016D3" w:rsidP="00EB6C28">
            <w:pPr>
              <w:spacing w:after="0"/>
              <w:rPr>
                <w:sz w:val="20"/>
              </w:rPr>
            </w:pPr>
            <w:r w:rsidRPr="00FF3933">
              <w:rPr>
                <w:sz w:val="20"/>
              </w:rPr>
              <w:t>Non-immunologic anaphylaxis</w:t>
            </w:r>
          </w:p>
        </w:tc>
        <w:tc>
          <w:tcPr>
            <w:tcW w:w="1119" w:type="dxa"/>
            <w:vMerge/>
            <w:vAlign w:val="center"/>
          </w:tcPr>
          <w:p w14:paraId="775ADF6D" w14:textId="77777777" w:rsidR="001016D3" w:rsidRPr="00FF3933" w:rsidRDefault="001016D3" w:rsidP="00EB6C28">
            <w:pPr>
              <w:spacing w:after="0"/>
              <w:rPr>
                <w:sz w:val="20"/>
              </w:rPr>
            </w:pPr>
          </w:p>
        </w:tc>
        <w:tc>
          <w:tcPr>
            <w:tcW w:w="2160" w:type="dxa"/>
            <w:vMerge/>
            <w:vAlign w:val="center"/>
          </w:tcPr>
          <w:p w14:paraId="743A3D86" w14:textId="77777777" w:rsidR="001016D3" w:rsidRPr="00FF3933" w:rsidRDefault="001016D3" w:rsidP="00EB6C28">
            <w:pPr>
              <w:spacing w:after="0"/>
              <w:rPr>
                <w:sz w:val="20"/>
              </w:rPr>
            </w:pPr>
          </w:p>
        </w:tc>
        <w:tc>
          <w:tcPr>
            <w:tcW w:w="2160" w:type="dxa"/>
            <w:vMerge w:val="restart"/>
            <w:vAlign w:val="center"/>
          </w:tcPr>
          <w:p w14:paraId="7957314A" w14:textId="77777777" w:rsidR="001016D3" w:rsidRPr="00FF3933" w:rsidRDefault="001016D3" w:rsidP="00EB6C28">
            <w:pPr>
              <w:spacing w:after="0"/>
              <w:rPr>
                <w:sz w:val="20"/>
              </w:rPr>
            </w:pPr>
          </w:p>
          <w:p w14:paraId="210AEE94" w14:textId="77777777" w:rsidR="001016D3" w:rsidRPr="00FF3933" w:rsidRDefault="001016D3" w:rsidP="00EB6C28">
            <w:pPr>
              <w:spacing w:after="0"/>
              <w:rPr>
                <w:sz w:val="20"/>
              </w:rPr>
            </w:pPr>
            <w:r w:rsidRPr="00FF3933">
              <w:rPr>
                <w:sz w:val="20"/>
              </w:rPr>
              <w:t>Not mediated by specific IgE, IgG or IgM</w:t>
            </w:r>
          </w:p>
          <w:p w14:paraId="3B6F5FA2" w14:textId="77777777" w:rsidR="001016D3" w:rsidRPr="00FF3933" w:rsidRDefault="001016D3" w:rsidP="00EB6C28">
            <w:pPr>
              <w:spacing w:after="0"/>
              <w:rPr>
                <w:sz w:val="20"/>
              </w:rPr>
            </w:pPr>
          </w:p>
        </w:tc>
        <w:tc>
          <w:tcPr>
            <w:tcW w:w="1440" w:type="dxa"/>
            <w:vMerge/>
            <w:vAlign w:val="center"/>
          </w:tcPr>
          <w:p w14:paraId="3AB4A8B6" w14:textId="77777777" w:rsidR="001016D3" w:rsidRPr="00FF3933" w:rsidRDefault="001016D3" w:rsidP="00EB6C28">
            <w:pPr>
              <w:spacing w:after="0"/>
              <w:rPr>
                <w:sz w:val="20"/>
              </w:rPr>
            </w:pPr>
          </w:p>
        </w:tc>
      </w:tr>
      <w:tr w:rsidR="001016D3" w:rsidRPr="00FF3933" w14:paraId="3FDF7BC6" w14:textId="77777777" w:rsidTr="007F6014">
        <w:trPr>
          <w:trHeight w:val="251"/>
        </w:trPr>
        <w:tc>
          <w:tcPr>
            <w:tcW w:w="2049" w:type="dxa"/>
            <w:vAlign w:val="center"/>
          </w:tcPr>
          <w:p w14:paraId="3CFF7685" w14:textId="77777777" w:rsidR="001016D3" w:rsidRPr="00FF3933" w:rsidRDefault="001016D3" w:rsidP="00EB6C28">
            <w:pPr>
              <w:spacing w:after="0"/>
              <w:rPr>
                <w:sz w:val="20"/>
              </w:rPr>
            </w:pPr>
            <w:r w:rsidRPr="00FF3933">
              <w:rPr>
                <w:sz w:val="20"/>
              </w:rPr>
              <w:t>Anaphylactoid reaction</w:t>
            </w:r>
          </w:p>
        </w:tc>
        <w:tc>
          <w:tcPr>
            <w:tcW w:w="1119" w:type="dxa"/>
            <w:vMerge/>
            <w:vAlign w:val="center"/>
          </w:tcPr>
          <w:p w14:paraId="2F72B3A5" w14:textId="77777777" w:rsidR="001016D3" w:rsidRPr="00FF3933" w:rsidRDefault="001016D3" w:rsidP="00EB6C28">
            <w:pPr>
              <w:spacing w:after="0"/>
              <w:rPr>
                <w:sz w:val="20"/>
              </w:rPr>
            </w:pPr>
          </w:p>
        </w:tc>
        <w:tc>
          <w:tcPr>
            <w:tcW w:w="2160" w:type="dxa"/>
            <w:vMerge/>
            <w:vAlign w:val="center"/>
          </w:tcPr>
          <w:p w14:paraId="5E6286EC" w14:textId="77777777" w:rsidR="001016D3" w:rsidRPr="00FF3933" w:rsidRDefault="001016D3" w:rsidP="00EB6C28">
            <w:pPr>
              <w:spacing w:after="0"/>
              <w:rPr>
                <w:sz w:val="20"/>
              </w:rPr>
            </w:pPr>
          </w:p>
        </w:tc>
        <w:tc>
          <w:tcPr>
            <w:tcW w:w="2160" w:type="dxa"/>
            <w:vMerge/>
            <w:vAlign w:val="center"/>
          </w:tcPr>
          <w:p w14:paraId="04DEFE9A" w14:textId="77777777" w:rsidR="001016D3" w:rsidRPr="00FF3933" w:rsidRDefault="001016D3" w:rsidP="00EB6C28">
            <w:pPr>
              <w:spacing w:after="0"/>
              <w:rPr>
                <w:sz w:val="20"/>
              </w:rPr>
            </w:pPr>
          </w:p>
        </w:tc>
        <w:tc>
          <w:tcPr>
            <w:tcW w:w="1440" w:type="dxa"/>
            <w:vAlign w:val="center"/>
          </w:tcPr>
          <w:p w14:paraId="79DA1EE0" w14:textId="77777777" w:rsidR="001016D3" w:rsidRPr="00FF3933" w:rsidRDefault="001016D3" w:rsidP="00EB6C28">
            <w:pPr>
              <w:spacing w:after="0"/>
              <w:rPr>
                <w:sz w:val="20"/>
              </w:rPr>
            </w:pPr>
            <w:r w:rsidRPr="00FF3933">
              <w:rPr>
                <w:sz w:val="20"/>
              </w:rPr>
              <w:t>mild-to-severe</w:t>
            </w:r>
          </w:p>
        </w:tc>
      </w:tr>
      <w:tr w:rsidR="001016D3" w:rsidRPr="00FF3933" w14:paraId="453AE1A9" w14:textId="77777777" w:rsidTr="007F6014">
        <w:trPr>
          <w:trHeight w:val="251"/>
        </w:trPr>
        <w:tc>
          <w:tcPr>
            <w:tcW w:w="2049" w:type="dxa"/>
            <w:vAlign w:val="center"/>
          </w:tcPr>
          <w:p w14:paraId="7B9C3344" w14:textId="77777777" w:rsidR="001016D3" w:rsidRPr="00FF3933" w:rsidRDefault="001016D3" w:rsidP="00EB6C28">
            <w:pPr>
              <w:spacing w:after="0"/>
              <w:rPr>
                <w:sz w:val="20"/>
              </w:rPr>
            </w:pPr>
            <w:r w:rsidRPr="00FF3933">
              <w:rPr>
                <w:sz w:val="20"/>
              </w:rPr>
              <w:t xml:space="preserve">Type B adverse drug reaction </w:t>
            </w:r>
          </w:p>
        </w:tc>
        <w:tc>
          <w:tcPr>
            <w:tcW w:w="1119" w:type="dxa"/>
            <w:vMerge/>
            <w:vAlign w:val="center"/>
          </w:tcPr>
          <w:p w14:paraId="3267BDD3" w14:textId="77777777" w:rsidR="001016D3" w:rsidRPr="00FF3933" w:rsidRDefault="001016D3" w:rsidP="00EB6C28">
            <w:pPr>
              <w:spacing w:after="0"/>
              <w:rPr>
                <w:sz w:val="20"/>
              </w:rPr>
            </w:pPr>
          </w:p>
        </w:tc>
        <w:tc>
          <w:tcPr>
            <w:tcW w:w="2160" w:type="dxa"/>
            <w:vAlign w:val="center"/>
          </w:tcPr>
          <w:p w14:paraId="50EA26E3" w14:textId="77777777" w:rsidR="001016D3" w:rsidRPr="00FF3933" w:rsidRDefault="001016D3" w:rsidP="00EB6C28">
            <w:pPr>
              <w:spacing w:after="0"/>
              <w:rPr>
                <w:sz w:val="20"/>
              </w:rPr>
            </w:pPr>
            <w:r w:rsidRPr="00FF3933">
              <w:rPr>
                <w:sz w:val="20"/>
              </w:rPr>
              <w:t>Drug dose -independent  systemic and/or local signs of HSR*</w:t>
            </w:r>
          </w:p>
        </w:tc>
        <w:tc>
          <w:tcPr>
            <w:tcW w:w="2160" w:type="dxa"/>
            <w:vAlign w:val="center"/>
          </w:tcPr>
          <w:p w14:paraId="41E2A722" w14:textId="77777777" w:rsidR="001016D3" w:rsidRPr="00FF3933" w:rsidRDefault="001016D3" w:rsidP="00EB6C28">
            <w:pPr>
              <w:spacing w:after="0"/>
              <w:rPr>
                <w:sz w:val="20"/>
              </w:rPr>
            </w:pPr>
            <w:r w:rsidRPr="00FF3933">
              <w:rPr>
                <w:sz w:val="20"/>
              </w:rPr>
              <w:t>Any</w:t>
            </w:r>
          </w:p>
        </w:tc>
        <w:tc>
          <w:tcPr>
            <w:tcW w:w="1440" w:type="dxa"/>
            <w:vAlign w:val="center"/>
          </w:tcPr>
          <w:p w14:paraId="2F32A6EF" w14:textId="77777777" w:rsidR="001016D3" w:rsidRPr="00FF3933" w:rsidRDefault="001016D3" w:rsidP="00EB6C28">
            <w:pPr>
              <w:spacing w:after="0"/>
              <w:rPr>
                <w:sz w:val="20"/>
              </w:rPr>
            </w:pPr>
            <w:r w:rsidRPr="00FF3933">
              <w:rPr>
                <w:sz w:val="20"/>
              </w:rPr>
              <w:t>severe</w:t>
            </w:r>
          </w:p>
        </w:tc>
      </w:tr>
    </w:tbl>
    <w:p w14:paraId="7EEFEB21" w14:textId="77777777" w:rsidR="001016D3" w:rsidRPr="008770C7" w:rsidRDefault="001016D3" w:rsidP="00EB6C28">
      <w:r w:rsidRPr="008770C7">
        <w:t>*Scott</w:t>
      </w:r>
      <w:r w:rsidRPr="008770C7">
        <w:rPr>
          <w:i/>
        </w:rPr>
        <w:t xml:space="preserve"> </w:t>
      </w:r>
      <w:r w:rsidR="00EC06FF" w:rsidRPr="00EC06FF">
        <w:rPr>
          <w:i/>
        </w:rPr>
        <w:t>et al</w:t>
      </w:r>
      <w:r w:rsidRPr="008770C7">
        <w:rPr>
          <w:i/>
        </w:rPr>
        <w:t>.</w:t>
      </w:r>
      <w:r w:rsidRPr="008770C7">
        <w:t xml:space="preserve">, 2014.  </w:t>
      </w:r>
    </w:p>
    <w:p w14:paraId="551C4FEA" w14:textId="77777777" w:rsidR="001016D3" w:rsidRDefault="001016D3" w:rsidP="00EB6C28"/>
    <w:p w14:paraId="3A32B8D2" w14:textId="77777777" w:rsidR="00964757" w:rsidRDefault="00964757" w:rsidP="00EB6C28"/>
    <w:p w14:paraId="46E930F2" w14:textId="77777777" w:rsidR="00964757" w:rsidRDefault="00964757" w:rsidP="00EB6C28"/>
    <w:p w14:paraId="7B0799E3" w14:textId="77777777" w:rsidR="001016D3" w:rsidRPr="00FF3933" w:rsidRDefault="001016D3" w:rsidP="00EB6C28">
      <w:pPr>
        <w:pStyle w:val="Style1"/>
        <w:rPr>
          <w:b/>
          <w:sz w:val="28"/>
        </w:rPr>
      </w:pPr>
      <w:bookmarkStart w:id="0" w:name="_Toc377120885"/>
      <w:r w:rsidRPr="00FF3933">
        <w:rPr>
          <w:sz w:val="28"/>
        </w:rPr>
        <w:t xml:space="preserve">Current </w:t>
      </w:r>
      <w:r>
        <w:rPr>
          <w:sz w:val="28"/>
        </w:rPr>
        <w:t>prevention and treatment of HSRs to IV-iron and other IV drugs</w:t>
      </w:r>
    </w:p>
    <w:p w14:paraId="6DA7A1D5" w14:textId="77777777" w:rsidR="001016D3" w:rsidRDefault="001016D3" w:rsidP="00EB6C28">
      <w:r w:rsidRPr="00483FE1">
        <w:rPr>
          <w:szCs w:val="24"/>
        </w:rPr>
        <w:t xml:space="preserve">The </w:t>
      </w:r>
      <w:r>
        <w:rPr>
          <w:szCs w:val="24"/>
        </w:rPr>
        <w:t>p</w:t>
      </w:r>
      <w:r w:rsidRPr="00483FE1">
        <w:rPr>
          <w:szCs w:val="24"/>
        </w:rPr>
        <w:t xml:space="preserve">revention and treatment </w:t>
      </w:r>
      <w:r>
        <w:rPr>
          <w:szCs w:val="24"/>
        </w:rPr>
        <w:t>options for</w:t>
      </w:r>
      <w:r w:rsidRPr="00EC4AD9">
        <w:rPr>
          <w:szCs w:val="24"/>
        </w:rPr>
        <w:t xml:space="preserve"> HSRs to IV-iron and other IV drugs differ</w:t>
      </w:r>
      <w:r>
        <w:rPr>
          <w:szCs w:val="24"/>
        </w:rPr>
        <w:t xml:space="preserve"> according to the severity and prevalence of </w:t>
      </w:r>
      <w:r w:rsidRPr="00483FE1">
        <w:rPr>
          <w:szCs w:val="24"/>
        </w:rPr>
        <w:t>HSRs</w:t>
      </w:r>
      <w:r>
        <w:rPr>
          <w:szCs w:val="24"/>
        </w:rPr>
        <w:t>.  For reaction prevention, t</w:t>
      </w:r>
      <w:r>
        <w:t xml:space="preserve">here are two options: premedication and the use of low reactogenic protocols (LRPs).  </w:t>
      </w:r>
    </w:p>
    <w:p w14:paraId="52F858B2" w14:textId="77777777" w:rsidR="001016D3" w:rsidRDefault="001016D3" w:rsidP="00EB6C28">
      <w:r w:rsidRPr="008770C7">
        <w:t xml:space="preserve">The premedication regimes </w:t>
      </w:r>
      <w:r>
        <w:t xml:space="preserve">usually </w:t>
      </w:r>
      <w:r w:rsidRPr="008770C7">
        <w:t>include corticosteroids and antihistamines, along with a variety of additional agents, including acetaminophen</w:t>
      </w:r>
      <w:r>
        <w:t xml:space="preserve"> </w:t>
      </w:r>
      <w:r w:rsidRPr="008770C7">
        <w:t xml:space="preserve">(paracetamol).  </w:t>
      </w:r>
      <w:r w:rsidR="00C866FF">
        <w:t xml:space="preserve">However, the </w:t>
      </w:r>
      <w:r w:rsidRPr="00931223">
        <w:t xml:space="preserve">efficacy of premedication </w:t>
      </w:r>
      <w:r>
        <w:t>to prevent mild and moderate HSRs has been queried, and m</w:t>
      </w:r>
      <w:r w:rsidRPr="008770C7">
        <w:t xml:space="preserve">any authors </w:t>
      </w:r>
      <w:r>
        <w:t xml:space="preserve">believe </w:t>
      </w:r>
      <w:r w:rsidRPr="008770C7">
        <w:t>that premedication for all patients are not justified</w:t>
      </w:r>
      <w:r>
        <w:t>: premedication should be reserved</w:t>
      </w:r>
      <w:r w:rsidRPr="008770C7">
        <w:t xml:space="preserve"> only for patients at increased risk (Tramer</w:t>
      </w:r>
      <w:r w:rsidRPr="008770C7">
        <w:rPr>
          <w:i/>
        </w:rPr>
        <w:t xml:space="preserve"> </w:t>
      </w:r>
      <w:r w:rsidR="00EC06FF" w:rsidRPr="00EC06FF">
        <w:rPr>
          <w:i/>
        </w:rPr>
        <w:t>et al</w:t>
      </w:r>
      <w:r w:rsidRPr="008770C7">
        <w:rPr>
          <w:i/>
        </w:rPr>
        <w:t>.</w:t>
      </w:r>
      <w:r w:rsidRPr="008770C7">
        <w:t xml:space="preserve">, 2006).  </w:t>
      </w:r>
      <w:r>
        <w:t xml:space="preserve">Among other causes of skepticism, </w:t>
      </w:r>
      <w:r w:rsidRPr="008770C7">
        <w:t xml:space="preserve">the benefit of </w:t>
      </w:r>
      <w:r w:rsidRPr="008770C7">
        <w:rPr>
          <w:bCs/>
        </w:rPr>
        <w:t xml:space="preserve">antihistamines </w:t>
      </w:r>
      <w:r>
        <w:rPr>
          <w:bCs/>
        </w:rPr>
        <w:t xml:space="preserve">has been questioned on the basis </w:t>
      </w:r>
      <w:r w:rsidRPr="008770C7">
        <w:t>that they increase the frequency of ADRs (Lorenz</w:t>
      </w:r>
      <w:r w:rsidRPr="008770C7">
        <w:rPr>
          <w:i/>
        </w:rPr>
        <w:t xml:space="preserve"> </w:t>
      </w:r>
      <w:r w:rsidR="00EC06FF" w:rsidRPr="00EC06FF">
        <w:rPr>
          <w:i/>
        </w:rPr>
        <w:t>et al</w:t>
      </w:r>
      <w:r w:rsidRPr="008770C7">
        <w:rPr>
          <w:i/>
        </w:rPr>
        <w:t>.</w:t>
      </w:r>
      <w:r w:rsidRPr="008770C7">
        <w:t>, 1985; Baller</w:t>
      </w:r>
      <w:r w:rsidRPr="008770C7">
        <w:rPr>
          <w:i/>
        </w:rPr>
        <w:t xml:space="preserve"> </w:t>
      </w:r>
      <w:r w:rsidR="00EC06FF" w:rsidRPr="00EC06FF">
        <w:rPr>
          <w:i/>
        </w:rPr>
        <w:t>et al</w:t>
      </w:r>
      <w:r w:rsidRPr="008770C7">
        <w:rPr>
          <w:i/>
        </w:rPr>
        <w:t>.</w:t>
      </w:r>
      <w:r w:rsidRPr="008770C7">
        <w:t>, 1989; Wasserman</w:t>
      </w:r>
      <w:r w:rsidRPr="008770C7">
        <w:rPr>
          <w:i/>
        </w:rPr>
        <w:t xml:space="preserve"> </w:t>
      </w:r>
      <w:r w:rsidR="00EC06FF" w:rsidRPr="00EC06FF">
        <w:rPr>
          <w:i/>
        </w:rPr>
        <w:t>et al</w:t>
      </w:r>
      <w:r w:rsidRPr="008770C7">
        <w:rPr>
          <w:i/>
        </w:rPr>
        <w:t>.</w:t>
      </w:r>
      <w:r w:rsidRPr="008770C7">
        <w:t>, 2004) and that the symptoms they produce can mimic those of a mild HSR (</w:t>
      </w:r>
      <w:r w:rsidRPr="00E66294">
        <w:t>Auerbach</w:t>
      </w:r>
      <w:r w:rsidRPr="008770C7">
        <w:rPr>
          <w:i/>
        </w:rPr>
        <w:t xml:space="preserve"> </w:t>
      </w:r>
      <w:r w:rsidR="00EC06FF" w:rsidRPr="00EC06FF">
        <w:rPr>
          <w:i/>
        </w:rPr>
        <w:t>et al</w:t>
      </w:r>
      <w:r>
        <w:rPr>
          <w:i/>
        </w:rPr>
        <w:t xml:space="preserve">., </w:t>
      </w:r>
      <w:r w:rsidRPr="00E66294">
        <w:t>2010)</w:t>
      </w:r>
      <w:r>
        <w:rPr>
          <w:i/>
        </w:rPr>
        <w:t xml:space="preserve">.  </w:t>
      </w:r>
      <w:r>
        <w:t xml:space="preserve">It has also been shown that </w:t>
      </w:r>
      <w:r w:rsidRPr="008770C7">
        <w:t xml:space="preserve">acetaminophen </w:t>
      </w:r>
      <w:r>
        <w:t>is</w:t>
      </w:r>
      <w:r w:rsidRPr="008770C7">
        <w:t xml:space="preserve"> as effective alone as together with antihistamines (Keshavarzian</w:t>
      </w:r>
      <w:r w:rsidRPr="008770C7">
        <w:rPr>
          <w:i/>
        </w:rPr>
        <w:t xml:space="preserve"> </w:t>
      </w:r>
      <w:r w:rsidR="00EC06FF" w:rsidRPr="00EC06FF">
        <w:rPr>
          <w:i/>
        </w:rPr>
        <w:t>et al</w:t>
      </w:r>
      <w:r w:rsidRPr="008770C7">
        <w:rPr>
          <w:i/>
        </w:rPr>
        <w:t>.</w:t>
      </w:r>
      <w:r>
        <w:t xml:space="preserve">, 2007). </w:t>
      </w:r>
      <w:r w:rsidR="001E046D">
        <w:t xml:space="preserve"> </w:t>
      </w:r>
      <w:r w:rsidR="001E046D" w:rsidRPr="00376CC5">
        <w:rPr>
          <w:color w:val="FF0000"/>
        </w:rPr>
        <w:t>Taking this evidence together, we conclude that there is now no place for the use of antihistamines for the prevention or treatment of HSRs to iv iron.</w:t>
      </w:r>
    </w:p>
    <w:p w14:paraId="1C6F894C" w14:textId="77777777" w:rsidR="001016D3" w:rsidRPr="008770C7" w:rsidRDefault="001016D3" w:rsidP="00EB6C28">
      <w:r>
        <w:t>T</w:t>
      </w:r>
      <w:r w:rsidRPr="008770C7">
        <w:t>he us</w:t>
      </w:r>
      <w:r>
        <w:t>e of LRPs</w:t>
      </w:r>
      <w:r w:rsidRPr="008770C7">
        <w:t xml:space="preserve"> is </w:t>
      </w:r>
      <w:r>
        <w:t>the other</w:t>
      </w:r>
      <w:r w:rsidRPr="008770C7">
        <w:t xml:space="preserve"> potential safety measure to prevent HSRs to IV drugs.  </w:t>
      </w:r>
      <w:r>
        <w:t>T</w:t>
      </w:r>
      <w:r w:rsidRPr="008770C7">
        <w:t xml:space="preserve">wo groups of IV medicines were shown to benefit </w:t>
      </w:r>
      <w:r>
        <w:t xml:space="preserve">most </w:t>
      </w:r>
      <w:r w:rsidRPr="008770C7">
        <w:t xml:space="preserve">from this approach: therapeutic mAbs and liposomal drugs.  LRP for mAbs was introduced by Puchner </w:t>
      </w:r>
      <w:r w:rsidR="00EC06FF" w:rsidRPr="00EC06FF">
        <w:rPr>
          <w:i/>
        </w:rPr>
        <w:t>et al</w:t>
      </w:r>
      <w:r w:rsidRPr="008770C7">
        <w:t xml:space="preserve"> (Puchner</w:t>
      </w:r>
      <w:r w:rsidRPr="008770C7">
        <w:rPr>
          <w:i/>
        </w:rPr>
        <w:t xml:space="preserve"> </w:t>
      </w:r>
      <w:r w:rsidR="00EC06FF" w:rsidRPr="00EC06FF">
        <w:rPr>
          <w:i/>
        </w:rPr>
        <w:t>et al</w:t>
      </w:r>
      <w:r w:rsidRPr="008770C7">
        <w:rPr>
          <w:i/>
        </w:rPr>
        <w:t>.</w:t>
      </w:r>
      <w:r w:rsidRPr="008770C7">
        <w:t>, 2001) to prevent HSRs to infliximab.  Their protocol involved an 11-step progressive dose escalation over 4 hours, a technique which was later applied for other antineoplastic mAbs including rituximab, cetuximab and trastuzumab (Duburque</w:t>
      </w:r>
      <w:r w:rsidRPr="008770C7">
        <w:rPr>
          <w:i/>
        </w:rPr>
        <w:t xml:space="preserve"> </w:t>
      </w:r>
      <w:r w:rsidR="00EC06FF" w:rsidRPr="00EC06FF">
        <w:rPr>
          <w:i/>
        </w:rPr>
        <w:t>et al</w:t>
      </w:r>
      <w:r w:rsidRPr="008770C7">
        <w:rPr>
          <w:i/>
        </w:rPr>
        <w:t>.</w:t>
      </w:r>
      <w:r w:rsidRPr="008770C7">
        <w:t>, 2006; Castells, 2008; Castells</w:t>
      </w:r>
      <w:r w:rsidRPr="008770C7">
        <w:rPr>
          <w:i/>
        </w:rPr>
        <w:t xml:space="preserve"> </w:t>
      </w:r>
      <w:r w:rsidR="00EC06FF" w:rsidRPr="00EC06FF">
        <w:rPr>
          <w:i/>
        </w:rPr>
        <w:t>et al</w:t>
      </w:r>
      <w:r w:rsidRPr="008770C7">
        <w:rPr>
          <w:i/>
        </w:rPr>
        <w:t>.</w:t>
      </w:r>
      <w:r w:rsidRPr="008770C7">
        <w:t>, 2008; Brennan</w:t>
      </w:r>
      <w:r w:rsidRPr="008770C7">
        <w:rPr>
          <w:i/>
        </w:rPr>
        <w:t xml:space="preserve"> </w:t>
      </w:r>
      <w:r w:rsidR="00EC06FF" w:rsidRPr="00EC06FF">
        <w:rPr>
          <w:i/>
        </w:rPr>
        <w:t>et al</w:t>
      </w:r>
      <w:r w:rsidRPr="008770C7">
        <w:rPr>
          <w:i/>
        </w:rPr>
        <w:t>.</w:t>
      </w:r>
      <w:r w:rsidRPr="008770C7">
        <w:t>, 2009).  The infusion rates and timing of escalation steps were different in the various protocols, and they were often combined with anti-allergic pre-medications</w:t>
      </w:r>
      <w:r>
        <w:t>.  W</w:t>
      </w:r>
      <w:r w:rsidRPr="008770C7">
        <w:t xml:space="preserve">hat </w:t>
      </w:r>
      <w:r>
        <w:t>is</w:t>
      </w:r>
      <w:r w:rsidRPr="008770C7">
        <w:t xml:space="preserve"> common to all LRPs is that the infusion </w:t>
      </w:r>
      <w:r>
        <w:t>is</w:t>
      </w:r>
      <w:r w:rsidRPr="008770C7">
        <w:t xml:space="preserve"> started at a very low </w:t>
      </w:r>
      <w:r>
        <w:t>rate</w:t>
      </w:r>
      <w:r w:rsidRPr="008770C7">
        <w:t xml:space="preserve"> carrying 1/1000</w:t>
      </w:r>
      <w:r w:rsidRPr="008770C7">
        <w:rPr>
          <w:vertAlign w:val="superscript"/>
        </w:rPr>
        <w:t>th</w:t>
      </w:r>
      <w:r w:rsidRPr="008770C7">
        <w:t xml:space="preserve"> to 100</w:t>
      </w:r>
      <w:r w:rsidRPr="008770C7">
        <w:rPr>
          <w:vertAlign w:val="superscript"/>
        </w:rPr>
        <w:t>th</w:t>
      </w:r>
      <w:r>
        <w:t xml:space="preserve"> part of the full drug dose</w:t>
      </w:r>
      <w:r w:rsidR="00C866FF">
        <w:t xml:space="preserve"> in 5-15 min</w:t>
      </w:r>
      <w:r>
        <w:t xml:space="preserve">.  This priming may serve two functions: 1) desensitization of the patient to the drug and 2) an indication of the presence of hypersensitivity.  </w:t>
      </w:r>
    </w:p>
    <w:p w14:paraId="7DF2D9E9" w14:textId="77777777" w:rsidR="009302CF" w:rsidRDefault="001016D3" w:rsidP="0092006A">
      <w:r>
        <w:t xml:space="preserve">The use of LRP </w:t>
      </w:r>
      <w:r w:rsidRPr="008770C7">
        <w:t>to prevent</w:t>
      </w:r>
      <w:r w:rsidR="009302CF">
        <w:t xml:space="preserve"> liposome</w:t>
      </w:r>
      <w:r w:rsidRPr="00450FF2">
        <w:t xml:space="preserve"> </w:t>
      </w:r>
      <w:r w:rsidRPr="008770C7">
        <w:t>reactions was first applied for the infusion of L-Dox (Gabizon</w:t>
      </w:r>
      <w:r w:rsidRPr="008770C7">
        <w:rPr>
          <w:i/>
        </w:rPr>
        <w:t xml:space="preserve"> </w:t>
      </w:r>
      <w:r w:rsidR="00EC06FF" w:rsidRPr="00EC06FF">
        <w:rPr>
          <w:i/>
        </w:rPr>
        <w:t>et al</w:t>
      </w:r>
      <w:r w:rsidRPr="008770C7">
        <w:rPr>
          <w:i/>
        </w:rPr>
        <w:t>.</w:t>
      </w:r>
      <w:r w:rsidRPr="008770C7">
        <w:t>, 1998)</w:t>
      </w:r>
      <w:r>
        <w:t xml:space="preserve">.  The liposome infusion </w:t>
      </w:r>
      <w:r w:rsidRPr="008770C7">
        <w:t>was initially administered at a rate of 1 mg Dox/min</w:t>
      </w:r>
      <w:r>
        <w:t>, and</w:t>
      </w:r>
      <w:r w:rsidRPr="008770C7">
        <w:t xml:space="preserve"> if no reactions occurred, the rate was increased to</w:t>
      </w:r>
      <w:r>
        <w:t xml:space="preserve"> complete the IV therapy over 1 </w:t>
      </w:r>
      <w:r w:rsidRPr="008770C7">
        <w:t>hour.  This method remains</w:t>
      </w:r>
      <w:r>
        <w:t xml:space="preserve"> the</w:t>
      </w:r>
      <w:r w:rsidRPr="008770C7">
        <w:t xml:space="preserve"> recommended protocol for L-Dox administration today (Doxil prescribing information, 2014).  </w:t>
      </w:r>
    </w:p>
    <w:p w14:paraId="689EAD6A" w14:textId="77777777" w:rsidR="009302CF" w:rsidRPr="0028035B" w:rsidRDefault="001016D3" w:rsidP="009302CF">
      <w:pPr>
        <w:rPr>
          <w:szCs w:val="24"/>
        </w:rPr>
      </w:pPr>
      <w:r w:rsidRPr="008770C7">
        <w:rPr>
          <w:szCs w:val="24"/>
        </w:rPr>
        <w:t xml:space="preserve">LRP has </w:t>
      </w:r>
      <w:r w:rsidR="00F0058B">
        <w:rPr>
          <w:szCs w:val="24"/>
        </w:rPr>
        <w:t xml:space="preserve">also </w:t>
      </w:r>
      <w:r w:rsidRPr="008770C7">
        <w:rPr>
          <w:szCs w:val="24"/>
        </w:rPr>
        <w:t xml:space="preserve">been </w:t>
      </w:r>
      <w:r w:rsidR="00F0058B">
        <w:rPr>
          <w:szCs w:val="24"/>
        </w:rPr>
        <w:t xml:space="preserve">applied </w:t>
      </w:r>
      <w:r w:rsidR="00F0058B" w:rsidRPr="008770C7">
        <w:rPr>
          <w:szCs w:val="24"/>
        </w:rPr>
        <w:t xml:space="preserve">successfully </w:t>
      </w:r>
      <w:r w:rsidR="00F0058B">
        <w:rPr>
          <w:szCs w:val="24"/>
        </w:rPr>
        <w:t xml:space="preserve">for the prevention of </w:t>
      </w:r>
      <w:r w:rsidR="00F0058B" w:rsidRPr="008770C7">
        <w:t xml:space="preserve">IV-iron </w:t>
      </w:r>
      <w:r w:rsidR="00F0058B">
        <w:t xml:space="preserve">reaction </w:t>
      </w:r>
      <w:r w:rsidRPr="008770C7">
        <w:t>in high-risk patients</w:t>
      </w:r>
      <w:r w:rsidR="00F0058B">
        <w:t>,</w:t>
      </w:r>
      <w:r w:rsidRPr="008770C7">
        <w:t xml:space="preserve"> with a history of life threatening reactions (</w:t>
      </w:r>
      <w:r w:rsidRPr="008770C7">
        <w:rPr>
          <w:noProof/>
        </w:rPr>
        <w:t xml:space="preserve">Altman and Petersen 1988; Monaghan </w:t>
      </w:r>
      <w:r w:rsidR="00EC06FF" w:rsidRPr="00EC06FF">
        <w:rPr>
          <w:i/>
        </w:rPr>
        <w:t>et al</w:t>
      </w:r>
      <w:r w:rsidRPr="008770C7">
        <w:rPr>
          <w:i/>
        </w:rPr>
        <w:t>.</w:t>
      </w:r>
      <w:r w:rsidRPr="008770C7">
        <w:t>, 1994</w:t>
      </w:r>
      <w:r w:rsidR="00527441">
        <w:t>,</w:t>
      </w:r>
      <w:r w:rsidR="009302CF" w:rsidRPr="009302CF">
        <w:rPr>
          <w:noProof/>
        </w:rPr>
        <w:t xml:space="preserve"> </w:t>
      </w:r>
      <w:r w:rsidR="009302CF" w:rsidRPr="008770C7">
        <w:rPr>
          <w:noProof/>
        </w:rPr>
        <w:t xml:space="preserve">Hickman </w:t>
      </w:r>
      <w:r w:rsidR="00EC06FF" w:rsidRPr="00EC06FF">
        <w:rPr>
          <w:i/>
          <w:noProof/>
        </w:rPr>
        <w:t>et al</w:t>
      </w:r>
      <w:r w:rsidR="009302CF" w:rsidRPr="008770C7">
        <w:rPr>
          <w:i/>
          <w:noProof/>
        </w:rPr>
        <w:t>.,</w:t>
      </w:r>
      <w:r w:rsidR="009302CF">
        <w:rPr>
          <w:noProof/>
        </w:rPr>
        <w:t xml:space="preserve"> 2000</w:t>
      </w:r>
      <w:r w:rsidRPr="008770C7">
        <w:t xml:space="preserve">).  </w:t>
      </w:r>
      <w:r w:rsidR="00F0058B">
        <w:rPr>
          <w:szCs w:val="24"/>
        </w:rPr>
        <w:t>H</w:t>
      </w:r>
      <w:r w:rsidR="009302CF" w:rsidRPr="008770C7">
        <w:t xml:space="preserve">owever, because HSRs to IV-iron occur at a low, or very low rate, </w:t>
      </w:r>
      <w:r w:rsidR="009302CF">
        <w:t xml:space="preserve">such </w:t>
      </w:r>
      <w:r w:rsidR="00F0058B">
        <w:t>approach is</w:t>
      </w:r>
      <w:r w:rsidR="009302CF">
        <w:rPr>
          <w:szCs w:val="24"/>
        </w:rPr>
        <w:t xml:space="preserve"> not</w:t>
      </w:r>
      <w:r w:rsidR="009302CF" w:rsidRPr="008770C7">
        <w:rPr>
          <w:szCs w:val="24"/>
        </w:rPr>
        <w:t xml:space="preserve"> needed in the average, risk factor-free patient.  </w:t>
      </w:r>
    </w:p>
    <w:p w14:paraId="2A6F9965" w14:textId="77777777" w:rsidR="001016D3" w:rsidRDefault="001016D3" w:rsidP="008377E4">
      <w:r w:rsidRPr="00376CC5">
        <w:rPr>
          <w:color w:val="FF0000"/>
        </w:rPr>
        <w:t xml:space="preserve">The treatment options for HSRs to IV drugs and iron are </w:t>
      </w:r>
      <w:r w:rsidR="001E046D" w:rsidRPr="00376CC5">
        <w:rPr>
          <w:color w:val="FF0000"/>
        </w:rPr>
        <w:t>often</w:t>
      </w:r>
      <w:r w:rsidRPr="00376CC5">
        <w:rPr>
          <w:color w:val="FF0000"/>
        </w:rPr>
        <w:t xml:space="preserve"> referred to as “reactive” (Lequerre</w:t>
      </w:r>
      <w:r w:rsidRPr="00376CC5">
        <w:rPr>
          <w:i/>
          <w:color w:val="FF0000"/>
        </w:rPr>
        <w:t xml:space="preserve"> </w:t>
      </w:r>
      <w:r w:rsidR="00EC06FF" w:rsidRPr="00376CC5">
        <w:rPr>
          <w:i/>
          <w:color w:val="FF0000"/>
        </w:rPr>
        <w:t>et al</w:t>
      </w:r>
      <w:r w:rsidRPr="00376CC5">
        <w:rPr>
          <w:i/>
          <w:color w:val="FF0000"/>
        </w:rPr>
        <w:t>.</w:t>
      </w:r>
      <w:r w:rsidRPr="00376CC5">
        <w:rPr>
          <w:color w:val="FF0000"/>
        </w:rPr>
        <w:t>, 2006; Mayer</w:t>
      </w:r>
      <w:r w:rsidRPr="00376CC5">
        <w:rPr>
          <w:i/>
          <w:color w:val="FF0000"/>
        </w:rPr>
        <w:t xml:space="preserve"> </w:t>
      </w:r>
      <w:r w:rsidR="00EC06FF" w:rsidRPr="00376CC5">
        <w:rPr>
          <w:i/>
          <w:color w:val="FF0000"/>
        </w:rPr>
        <w:t>et al</w:t>
      </w:r>
      <w:r w:rsidRPr="00376CC5">
        <w:rPr>
          <w:i/>
          <w:color w:val="FF0000"/>
        </w:rPr>
        <w:t>.</w:t>
      </w:r>
      <w:bookmarkStart w:id="1" w:name="_Toc383779196"/>
      <w:r w:rsidRPr="00376CC5">
        <w:rPr>
          <w:color w:val="FF0000"/>
        </w:rPr>
        <w:t>, 2006)</w:t>
      </w:r>
      <w:r w:rsidR="00877B41" w:rsidRPr="00376CC5">
        <w:rPr>
          <w:color w:val="FF0000"/>
        </w:rPr>
        <w:t xml:space="preserve"> </w:t>
      </w:r>
      <w:r w:rsidR="001E046D" w:rsidRPr="00376CC5">
        <w:rPr>
          <w:color w:val="FF0000"/>
        </w:rPr>
        <w:t>when</w:t>
      </w:r>
      <w:r w:rsidR="00877B41" w:rsidRPr="00376CC5">
        <w:rPr>
          <w:color w:val="FF0000"/>
        </w:rPr>
        <w:t xml:space="preserve"> they are therapeutic </w:t>
      </w:r>
      <w:r w:rsidR="001E046D" w:rsidRPr="00376CC5">
        <w:rPr>
          <w:color w:val="FF0000"/>
        </w:rPr>
        <w:t xml:space="preserve">rather than </w:t>
      </w:r>
      <w:r w:rsidR="00877B41" w:rsidRPr="00376CC5">
        <w:rPr>
          <w:color w:val="FF0000"/>
        </w:rPr>
        <w:t>preventive</w:t>
      </w:r>
      <w:r w:rsidRPr="00376CC5">
        <w:rPr>
          <w:color w:val="FF0000"/>
        </w:rPr>
        <w:t>.</w:t>
      </w:r>
      <w:r>
        <w:t xml:space="preserve">  As summarized in Table </w:t>
      </w:r>
      <w:r w:rsidR="001B384A">
        <w:t>4</w:t>
      </w:r>
      <w:r>
        <w:t>, these options</w:t>
      </w:r>
      <w:r w:rsidRPr="008770C7">
        <w:t xml:space="preserve"> </w:t>
      </w:r>
      <w:r>
        <w:t xml:space="preserve">also depend </w:t>
      </w:r>
      <w:r w:rsidRPr="008770C7">
        <w:t>on the severity of reaction</w:t>
      </w:r>
      <w:r>
        <w:t>s and are identical regardless of the cause of HSR</w:t>
      </w:r>
      <w:r w:rsidRPr="008770C7">
        <w:t>.</w:t>
      </w:r>
    </w:p>
    <w:p w14:paraId="165C8206" w14:textId="77777777" w:rsidR="001016D3" w:rsidRDefault="001016D3" w:rsidP="008377E4"/>
    <w:p w14:paraId="75F4DAD8" w14:textId="77777777" w:rsidR="001016D3" w:rsidRPr="008770C7" w:rsidRDefault="001016D3" w:rsidP="008377E4">
      <w:r>
        <w:t xml:space="preserve">Table </w:t>
      </w:r>
      <w:r w:rsidR="00376CC5">
        <w:t>4</w:t>
      </w:r>
      <w:r w:rsidRPr="008770C7">
        <w:t xml:space="preserve">. Reactive treatment options to manage HSRs to intravenous drugs including IV-iron  (Rampton </w:t>
      </w:r>
      <w:r w:rsidR="00EC06FF" w:rsidRPr="00EC06FF">
        <w:rPr>
          <w:i/>
        </w:rPr>
        <w:t>et al</w:t>
      </w:r>
      <w:r w:rsidRPr="008770C7">
        <w:t xml:space="preserve">. , 2014) </w:t>
      </w:r>
    </w:p>
    <w:tbl>
      <w:tblPr>
        <w:tblW w:w="89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0"/>
        <w:gridCol w:w="3150"/>
        <w:gridCol w:w="3510"/>
      </w:tblGrid>
      <w:tr w:rsidR="001016D3" w:rsidRPr="0092006A" w14:paraId="503B4A0F" w14:textId="77777777" w:rsidTr="0092006A">
        <w:tc>
          <w:tcPr>
            <w:tcW w:w="2250" w:type="dxa"/>
            <w:vAlign w:val="center"/>
          </w:tcPr>
          <w:p w14:paraId="4D7C994A" w14:textId="77777777" w:rsidR="001016D3" w:rsidRPr="0092006A" w:rsidRDefault="001016D3" w:rsidP="0092006A">
            <w:pPr>
              <w:spacing w:after="0"/>
              <w:jc w:val="center"/>
              <w:rPr>
                <w:b/>
                <w:sz w:val="20"/>
                <w:lang w:val="hu-HU"/>
              </w:rPr>
            </w:pPr>
          </w:p>
        </w:tc>
        <w:tc>
          <w:tcPr>
            <w:tcW w:w="3150" w:type="dxa"/>
            <w:vAlign w:val="center"/>
          </w:tcPr>
          <w:p w14:paraId="4011796F" w14:textId="77777777" w:rsidR="001016D3" w:rsidRPr="0092006A" w:rsidRDefault="001016D3" w:rsidP="0092006A">
            <w:pPr>
              <w:spacing w:after="0"/>
              <w:jc w:val="center"/>
              <w:rPr>
                <w:b/>
                <w:sz w:val="20"/>
                <w:lang w:val="hu-HU"/>
              </w:rPr>
            </w:pPr>
            <w:r w:rsidRPr="0092006A">
              <w:rPr>
                <w:b/>
                <w:sz w:val="20"/>
                <w:lang w:val="hu-HU"/>
              </w:rPr>
              <w:t>Symptoms</w:t>
            </w:r>
          </w:p>
        </w:tc>
        <w:tc>
          <w:tcPr>
            <w:tcW w:w="3510" w:type="dxa"/>
            <w:vAlign w:val="center"/>
          </w:tcPr>
          <w:p w14:paraId="796C7116" w14:textId="77777777" w:rsidR="001016D3" w:rsidRPr="0092006A" w:rsidRDefault="001016D3" w:rsidP="0092006A">
            <w:pPr>
              <w:spacing w:after="0"/>
              <w:jc w:val="center"/>
              <w:rPr>
                <w:b/>
                <w:sz w:val="20"/>
                <w:lang w:val="hu-HU"/>
              </w:rPr>
            </w:pPr>
            <w:r w:rsidRPr="0092006A">
              <w:rPr>
                <w:b/>
                <w:sz w:val="20"/>
                <w:lang w:val="hu-HU"/>
              </w:rPr>
              <w:t>Treatment options</w:t>
            </w:r>
          </w:p>
        </w:tc>
      </w:tr>
      <w:tr w:rsidR="001016D3" w:rsidRPr="0092006A" w14:paraId="394D9E2F" w14:textId="77777777" w:rsidTr="0092006A">
        <w:trPr>
          <w:trHeight w:val="503"/>
        </w:trPr>
        <w:tc>
          <w:tcPr>
            <w:tcW w:w="2250" w:type="dxa"/>
            <w:vAlign w:val="center"/>
          </w:tcPr>
          <w:p w14:paraId="0D94FF0A" w14:textId="77777777" w:rsidR="001016D3" w:rsidRPr="00197DC4" w:rsidRDefault="001016D3" w:rsidP="0092006A">
            <w:pPr>
              <w:spacing w:after="0"/>
              <w:rPr>
                <w:b/>
                <w:sz w:val="20"/>
                <w:lang w:val="hu-HU"/>
              </w:rPr>
            </w:pPr>
            <w:r w:rsidRPr="00197DC4">
              <w:rPr>
                <w:b/>
                <w:sz w:val="20"/>
                <w:lang w:val="hu-HU"/>
              </w:rPr>
              <w:t>Mild HSRs</w:t>
            </w:r>
          </w:p>
        </w:tc>
        <w:tc>
          <w:tcPr>
            <w:tcW w:w="3150" w:type="dxa"/>
            <w:vAlign w:val="center"/>
          </w:tcPr>
          <w:p w14:paraId="2808D117" w14:textId="77777777" w:rsidR="001016D3" w:rsidRPr="0092006A" w:rsidRDefault="001016D3" w:rsidP="0092006A">
            <w:pPr>
              <w:spacing w:after="0"/>
              <w:rPr>
                <w:sz w:val="20"/>
                <w:lang w:val="hu-HU"/>
              </w:rPr>
            </w:pPr>
            <w:r>
              <w:rPr>
                <w:sz w:val="20"/>
                <w:lang w:val="hu-HU"/>
              </w:rPr>
              <w:t>Itching, u</w:t>
            </w:r>
            <w:r w:rsidRPr="0092006A">
              <w:rPr>
                <w:sz w:val="20"/>
                <w:lang w:val="hu-HU"/>
              </w:rPr>
              <w:t>rticaria, flushing, sensation of heat, slight chest tightness, hypertension, back/joint pains</w:t>
            </w:r>
          </w:p>
        </w:tc>
        <w:tc>
          <w:tcPr>
            <w:tcW w:w="3510" w:type="dxa"/>
            <w:vAlign w:val="center"/>
          </w:tcPr>
          <w:p w14:paraId="754A2A81" w14:textId="77777777" w:rsidR="001016D3" w:rsidRPr="0092006A" w:rsidRDefault="001016D3" w:rsidP="0092006A">
            <w:pPr>
              <w:spacing w:after="0"/>
              <w:rPr>
                <w:sz w:val="20"/>
                <w:lang w:val="hu-HU"/>
              </w:rPr>
            </w:pPr>
            <w:r w:rsidRPr="0092006A">
              <w:rPr>
                <w:sz w:val="20"/>
                <w:lang w:val="hu-HU"/>
              </w:rPr>
              <w:t>Stop infusion temporarily and watch symptoms and signs. If symptoms improve the infusion can be restarted</w:t>
            </w:r>
            <w:r>
              <w:rPr>
                <w:sz w:val="20"/>
                <w:lang w:val="hu-HU"/>
              </w:rPr>
              <w:t xml:space="preserve"> cautiously</w:t>
            </w:r>
            <w:r w:rsidRPr="0092006A">
              <w:rPr>
                <w:sz w:val="20"/>
                <w:lang w:val="hu-HU"/>
              </w:rPr>
              <w:t>.</w:t>
            </w:r>
          </w:p>
        </w:tc>
      </w:tr>
      <w:tr w:rsidR="001016D3" w:rsidRPr="0092006A" w14:paraId="1F62C6C8" w14:textId="77777777" w:rsidTr="0092006A">
        <w:trPr>
          <w:trHeight w:val="413"/>
        </w:trPr>
        <w:tc>
          <w:tcPr>
            <w:tcW w:w="2250" w:type="dxa"/>
            <w:vAlign w:val="center"/>
          </w:tcPr>
          <w:p w14:paraId="71BA4CB5" w14:textId="77777777" w:rsidR="001016D3" w:rsidRPr="00197DC4" w:rsidRDefault="001016D3" w:rsidP="0092006A">
            <w:pPr>
              <w:spacing w:after="0"/>
              <w:rPr>
                <w:b/>
                <w:sz w:val="20"/>
                <w:lang w:val="hu-HU"/>
              </w:rPr>
            </w:pPr>
            <w:r w:rsidRPr="00197DC4">
              <w:rPr>
                <w:b/>
                <w:sz w:val="20"/>
                <w:lang w:val="hu-HU"/>
              </w:rPr>
              <w:t>Moderate HSRs</w:t>
            </w:r>
          </w:p>
        </w:tc>
        <w:tc>
          <w:tcPr>
            <w:tcW w:w="3150" w:type="dxa"/>
            <w:vAlign w:val="center"/>
          </w:tcPr>
          <w:p w14:paraId="131DC194" w14:textId="77777777" w:rsidR="001016D3" w:rsidRPr="0092006A" w:rsidRDefault="001016D3" w:rsidP="0092006A">
            <w:pPr>
              <w:spacing w:after="0"/>
              <w:rPr>
                <w:sz w:val="20"/>
                <w:lang w:val="hu-HU"/>
              </w:rPr>
            </w:pPr>
            <w:r w:rsidRPr="0092006A">
              <w:rPr>
                <w:sz w:val="20"/>
                <w:lang w:val="hu-HU"/>
              </w:rPr>
              <w:t>As in mild reaction + cough, chest tightness, nausea, shortness of breath, tachycardia and hypotension</w:t>
            </w:r>
          </w:p>
        </w:tc>
        <w:tc>
          <w:tcPr>
            <w:tcW w:w="3510" w:type="dxa"/>
            <w:vAlign w:val="center"/>
          </w:tcPr>
          <w:p w14:paraId="77980E20" w14:textId="77777777" w:rsidR="001016D3" w:rsidRPr="0092006A" w:rsidRDefault="001016D3" w:rsidP="0092006A">
            <w:pPr>
              <w:spacing w:after="0"/>
              <w:rPr>
                <w:sz w:val="20"/>
                <w:lang w:val="hu-HU"/>
              </w:rPr>
            </w:pPr>
            <w:r w:rsidRPr="0092006A">
              <w:rPr>
                <w:sz w:val="20"/>
                <w:lang w:val="hu-HU"/>
              </w:rPr>
              <w:t>Stop infusion and consider IV-fluids and IV-corticosteroids</w:t>
            </w:r>
          </w:p>
        </w:tc>
      </w:tr>
      <w:tr w:rsidR="001016D3" w:rsidRPr="0092006A" w14:paraId="3B33E4FA" w14:textId="77777777" w:rsidTr="0092006A">
        <w:trPr>
          <w:trHeight w:val="1043"/>
        </w:trPr>
        <w:tc>
          <w:tcPr>
            <w:tcW w:w="2250" w:type="dxa"/>
            <w:vAlign w:val="center"/>
          </w:tcPr>
          <w:p w14:paraId="2B70A287" w14:textId="77777777" w:rsidR="001016D3" w:rsidRPr="00197DC4" w:rsidRDefault="001016D3" w:rsidP="0092006A">
            <w:pPr>
              <w:spacing w:after="0"/>
              <w:rPr>
                <w:b/>
                <w:sz w:val="20"/>
                <w:lang w:val="hu-HU"/>
              </w:rPr>
            </w:pPr>
            <w:r w:rsidRPr="00197DC4">
              <w:rPr>
                <w:b/>
                <w:sz w:val="20"/>
                <w:lang w:val="hu-HU"/>
              </w:rPr>
              <w:t>Severe HSRs = life threatening anaphylaxis</w:t>
            </w:r>
          </w:p>
        </w:tc>
        <w:tc>
          <w:tcPr>
            <w:tcW w:w="3150" w:type="dxa"/>
            <w:vAlign w:val="center"/>
          </w:tcPr>
          <w:p w14:paraId="1B17CD8B" w14:textId="77777777" w:rsidR="001016D3" w:rsidRPr="0092006A" w:rsidRDefault="001016D3" w:rsidP="0092006A">
            <w:pPr>
              <w:spacing w:after="0"/>
              <w:rPr>
                <w:sz w:val="20"/>
                <w:lang w:val="hu-HU"/>
              </w:rPr>
            </w:pPr>
            <w:r w:rsidRPr="0092006A">
              <w:rPr>
                <w:sz w:val="20"/>
                <w:lang w:val="hu-HU"/>
              </w:rPr>
              <w:t>As in moderate + Sudden onset and rapid aggravation of symptoms +wheezing, stridor, periorbital edema, cyanosis, loss of consciousness, cardiac /respiratory arrest</w:t>
            </w:r>
          </w:p>
        </w:tc>
        <w:tc>
          <w:tcPr>
            <w:tcW w:w="3510" w:type="dxa"/>
            <w:vAlign w:val="center"/>
          </w:tcPr>
          <w:p w14:paraId="7B34FF52" w14:textId="77777777" w:rsidR="001016D3" w:rsidRPr="0092006A" w:rsidRDefault="001016D3" w:rsidP="0092006A">
            <w:pPr>
              <w:spacing w:after="0"/>
              <w:rPr>
                <w:sz w:val="20"/>
                <w:lang w:val="hu-HU"/>
              </w:rPr>
            </w:pPr>
            <w:r w:rsidRPr="0092006A">
              <w:rPr>
                <w:sz w:val="20"/>
                <w:lang w:val="hu-HU"/>
              </w:rPr>
              <w:t>As for moderate HSRs + IM or IV adrenalin</w:t>
            </w:r>
            <w:r>
              <w:rPr>
                <w:sz w:val="20"/>
                <w:lang w:val="hu-HU"/>
              </w:rPr>
              <w:t xml:space="preserve"> (epinephrine)</w:t>
            </w:r>
            <w:r w:rsidRPr="0092006A">
              <w:rPr>
                <w:sz w:val="20"/>
                <w:lang w:val="hu-HU"/>
              </w:rPr>
              <w:t xml:space="preserve"> + consider B2 agonist inhaler, O2 facemask etc according to local standard anaphylaxis guidelines.</w:t>
            </w:r>
          </w:p>
        </w:tc>
      </w:tr>
    </w:tbl>
    <w:p w14:paraId="50E40BC8" w14:textId="77777777" w:rsidR="001016D3" w:rsidRPr="008770C7" w:rsidRDefault="001016D3" w:rsidP="008377E4"/>
    <w:bookmarkEnd w:id="1"/>
    <w:p w14:paraId="57A4E400" w14:textId="77777777" w:rsidR="001016D3" w:rsidRDefault="001016D3" w:rsidP="00EB6C28">
      <w:pPr>
        <w:pStyle w:val="Style1"/>
        <w:rPr>
          <w:i w:val="0"/>
        </w:rPr>
      </w:pPr>
      <w:r>
        <w:rPr>
          <w:i w:val="0"/>
          <w:szCs w:val="24"/>
        </w:rPr>
        <w:t>The treatment of v</w:t>
      </w:r>
      <w:r w:rsidRPr="00E66294">
        <w:rPr>
          <w:i w:val="0"/>
          <w:szCs w:val="24"/>
        </w:rPr>
        <w:t>ery severe reactions, i.e., anaphylaxis</w:t>
      </w:r>
      <w:r>
        <w:rPr>
          <w:i w:val="0"/>
          <w:szCs w:val="24"/>
        </w:rPr>
        <w:t>, is special in that these events are</w:t>
      </w:r>
      <w:r w:rsidRPr="00E66294">
        <w:rPr>
          <w:i w:val="0"/>
          <w:szCs w:val="24"/>
        </w:rPr>
        <w:t xml:space="preserve"> very rare</w:t>
      </w:r>
      <w:r>
        <w:rPr>
          <w:i w:val="0"/>
          <w:szCs w:val="24"/>
        </w:rPr>
        <w:t>, and the medications applied are rarely “</w:t>
      </w:r>
      <w:r w:rsidRPr="00E66294">
        <w:rPr>
          <w:i w:val="0"/>
        </w:rPr>
        <w:t>evidence</w:t>
      </w:r>
      <w:r>
        <w:rPr>
          <w:i w:val="0"/>
        </w:rPr>
        <w:t>-</w:t>
      </w:r>
      <w:r w:rsidRPr="00E66294">
        <w:rPr>
          <w:i w:val="0"/>
        </w:rPr>
        <w:t>based</w:t>
      </w:r>
      <w:r>
        <w:rPr>
          <w:i w:val="0"/>
        </w:rPr>
        <w:t>”</w:t>
      </w:r>
      <w:r>
        <w:rPr>
          <w:i w:val="0"/>
          <w:szCs w:val="24"/>
        </w:rPr>
        <w:t xml:space="preserve">.  </w:t>
      </w:r>
      <w:r w:rsidRPr="00E66294">
        <w:rPr>
          <w:i w:val="0"/>
          <w:szCs w:val="24"/>
        </w:rPr>
        <w:t>A</w:t>
      </w:r>
      <w:r w:rsidRPr="00E66294">
        <w:rPr>
          <w:i w:val="0"/>
        </w:rPr>
        <w:t xml:space="preserve">s stated earlier, it is impracticable to perform randomized controlled trials on clinical conditions that are very rare (Black, 1996), </w:t>
      </w:r>
      <w:r>
        <w:rPr>
          <w:i w:val="0"/>
        </w:rPr>
        <w:t xml:space="preserve">a conclusion </w:t>
      </w:r>
      <w:r w:rsidRPr="00E66294">
        <w:rPr>
          <w:i w:val="0"/>
        </w:rPr>
        <w:t xml:space="preserve">which also applies to clinical investigations into the most effective treatment of severe anaphylaxis (Ring </w:t>
      </w:r>
      <w:r w:rsidR="00EC06FF" w:rsidRPr="00EC06FF">
        <w:t>et al</w:t>
      </w:r>
      <w:r w:rsidRPr="00136379">
        <w:t>.,</w:t>
      </w:r>
      <w:r w:rsidRPr="00E66294">
        <w:rPr>
          <w:i w:val="0"/>
        </w:rPr>
        <w:t xml:space="preserve"> 2010; Working Group of the Resuscitation Council, UK, 2013).  </w:t>
      </w:r>
      <w:r>
        <w:rPr>
          <w:i w:val="0"/>
        </w:rPr>
        <w:t xml:space="preserve">In this context, </w:t>
      </w:r>
      <w:r w:rsidRPr="00E66294">
        <w:rPr>
          <w:i w:val="0"/>
        </w:rPr>
        <w:t xml:space="preserve">Ranft </w:t>
      </w:r>
      <w:r w:rsidR="00EC06FF" w:rsidRPr="00EC06FF">
        <w:t>et al</w:t>
      </w:r>
      <w:r w:rsidR="00EC06FF">
        <w:rPr>
          <w:i w:val="0"/>
        </w:rPr>
        <w:t xml:space="preserve"> (</w:t>
      </w:r>
      <w:r w:rsidRPr="00E66294">
        <w:rPr>
          <w:i w:val="0"/>
        </w:rPr>
        <w:t>2004) concluded</w:t>
      </w:r>
      <w:r>
        <w:rPr>
          <w:i w:val="0"/>
        </w:rPr>
        <w:t xml:space="preserve"> that</w:t>
      </w:r>
      <w:r w:rsidRPr="00E66294">
        <w:rPr>
          <w:i w:val="0"/>
        </w:rPr>
        <w:t xml:space="preserve"> “None of the traditionally applied remedies</w:t>
      </w:r>
      <w:r>
        <w:rPr>
          <w:i w:val="0"/>
        </w:rPr>
        <w:t xml:space="preserve"> against anaphylaxis</w:t>
      </w:r>
      <w:r w:rsidRPr="00E66294">
        <w:rPr>
          <w:i w:val="0"/>
        </w:rPr>
        <w:t xml:space="preserve"> -</w:t>
      </w:r>
      <w:r>
        <w:rPr>
          <w:i w:val="0"/>
        </w:rPr>
        <w:t xml:space="preserve"> </w:t>
      </w:r>
      <w:r w:rsidRPr="00E66294">
        <w:rPr>
          <w:i w:val="0"/>
        </w:rPr>
        <w:t>epinephrine and intravascular volume replacement, histamine receptor blockade, inhaled beta-</w:t>
      </w:r>
      <w:r w:rsidR="00136379" w:rsidRPr="00E66294">
        <w:rPr>
          <w:i w:val="0"/>
        </w:rPr>
        <w:t>mimetic</w:t>
      </w:r>
      <w:r w:rsidR="00136379">
        <w:rPr>
          <w:i w:val="0"/>
        </w:rPr>
        <w:t>s</w:t>
      </w:r>
      <w:r w:rsidRPr="00E66294">
        <w:rPr>
          <w:i w:val="0"/>
        </w:rPr>
        <w:t xml:space="preserve"> and steroids</w:t>
      </w:r>
      <w:r>
        <w:rPr>
          <w:i w:val="0"/>
        </w:rPr>
        <w:t xml:space="preserve"> </w:t>
      </w:r>
      <w:r w:rsidRPr="00E66294">
        <w:rPr>
          <w:i w:val="0"/>
        </w:rPr>
        <w:t>- have been proved efficacious by means of evidence</w:t>
      </w:r>
      <w:r>
        <w:rPr>
          <w:i w:val="0"/>
        </w:rPr>
        <w:t>-</w:t>
      </w:r>
      <w:r w:rsidRPr="00E66294">
        <w:rPr>
          <w:i w:val="0"/>
        </w:rPr>
        <w:t>based medicine – there is a lack of consensus as to the substantial</w:t>
      </w:r>
      <w:r>
        <w:rPr>
          <w:i w:val="0"/>
        </w:rPr>
        <w:t xml:space="preserve"> elements of therapy”.  </w:t>
      </w:r>
      <w:r w:rsidRPr="00E66294">
        <w:rPr>
          <w:i w:val="0"/>
        </w:rPr>
        <w:t xml:space="preserve">Despite the methodological challenges, Ring </w:t>
      </w:r>
      <w:r w:rsidR="00EC06FF" w:rsidRPr="00EC06FF">
        <w:t>et al</w:t>
      </w:r>
      <w:r w:rsidR="00EC06FF">
        <w:rPr>
          <w:i w:val="0"/>
        </w:rPr>
        <w:t xml:space="preserve"> (</w:t>
      </w:r>
      <w:r w:rsidRPr="00E66294">
        <w:rPr>
          <w:i w:val="0"/>
        </w:rPr>
        <w:t xml:space="preserve">2010) concluded a best clinical treatment practice </w:t>
      </w:r>
      <w:r>
        <w:rPr>
          <w:i w:val="0"/>
        </w:rPr>
        <w:t>for</w:t>
      </w:r>
      <w:r w:rsidRPr="00E66294">
        <w:rPr>
          <w:i w:val="0"/>
        </w:rPr>
        <w:t xml:space="preserve"> severe anaphylaxis: “Adrenalin (epinephrine) is the essential anti-anaphylactic drug. </w:t>
      </w:r>
      <w:r>
        <w:rPr>
          <w:i w:val="0"/>
        </w:rPr>
        <w:t xml:space="preserve"> </w:t>
      </w:r>
      <w:r w:rsidRPr="00E66294">
        <w:rPr>
          <w:i w:val="0"/>
        </w:rPr>
        <w:t xml:space="preserve">Glucocorticoids are given in order to prevent a protracted or biphasic course of anaphylaxis; they are of little help in the acute treatment.  H1 antagonists are valuable in mild anaphylactic reactions; they should be given intravenously if possible.  The replacement of volume is crucial in anti-anaphylactic treatment”.  These recommendations are largely in agreement with most major guidelines for the treatment of life threatening anaphylaxis (Simons </w:t>
      </w:r>
      <w:r w:rsidR="00EC06FF" w:rsidRPr="00EC06FF">
        <w:t>et al</w:t>
      </w:r>
      <w:r w:rsidRPr="00136379">
        <w:t>.,</w:t>
      </w:r>
      <w:r w:rsidRPr="00E66294">
        <w:rPr>
          <w:i w:val="0"/>
        </w:rPr>
        <w:t xml:space="preserve"> 2011; Working Group of the </w:t>
      </w:r>
      <w:r w:rsidR="00136379" w:rsidRPr="00E66294">
        <w:rPr>
          <w:i w:val="0"/>
        </w:rPr>
        <w:t>Resuscitation</w:t>
      </w:r>
      <w:r w:rsidRPr="00E66294">
        <w:rPr>
          <w:i w:val="0"/>
        </w:rPr>
        <w:t xml:space="preserve"> Council, UK, 2013).  </w:t>
      </w:r>
    </w:p>
    <w:p w14:paraId="6BCBC6DD" w14:textId="77777777" w:rsidR="00964757" w:rsidRPr="00E66294" w:rsidRDefault="00964757" w:rsidP="00EB6C28">
      <w:pPr>
        <w:pStyle w:val="Style1"/>
        <w:rPr>
          <w:i w:val="0"/>
        </w:rPr>
      </w:pPr>
    </w:p>
    <w:p w14:paraId="0398F796" w14:textId="77777777" w:rsidR="001016D3" w:rsidRPr="00916762" w:rsidRDefault="001016D3" w:rsidP="00EB6C28">
      <w:pPr>
        <w:pStyle w:val="Style1"/>
        <w:rPr>
          <w:sz w:val="28"/>
        </w:rPr>
      </w:pPr>
      <w:r w:rsidRPr="00916762">
        <w:rPr>
          <w:sz w:val="28"/>
        </w:rPr>
        <w:t xml:space="preserve">The anaphylatoxin concept of </w:t>
      </w:r>
      <w:r>
        <w:rPr>
          <w:sz w:val="28"/>
        </w:rPr>
        <w:t xml:space="preserve">HSRs to IV-iron and efficacy of </w:t>
      </w:r>
      <w:r w:rsidRPr="00916762">
        <w:rPr>
          <w:sz w:val="28"/>
        </w:rPr>
        <w:t>LRPs</w:t>
      </w:r>
    </w:p>
    <w:p w14:paraId="1E5EED2B" w14:textId="77777777" w:rsidR="001016D3" w:rsidRDefault="001016D3" w:rsidP="00E44386">
      <w:pPr>
        <w:autoSpaceDE w:val="0"/>
        <w:autoSpaceDN w:val="0"/>
        <w:adjustRightInd w:val="0"/>
        <w:spacing w:after="0"/>
      </w:pPr>
      <w:r>
        <w:t>Perhaps the most important conclusion from the comparison of HSRs to IV-iron and other IV drugs is that, other than prevalence, there are no major qualitative or quantitative differences between these reactions.  Considering th</w:t>
      </w:r>
      <w:r w:rsidR="00E44386">
        <w:t>at the overwhelming majority (77</w:t>
      </w:r>
      <w:r>
        <w:t>%</w:t>
      </w:r>
      <w:r w:rsidR="00874E38">
        <w:t xml:space="preserve">) </w:t>
      </w:r>
      <w:r>
        <w:t>of all HSRs are not IgE-mediated</w:t>
      </w:r>
      <w:r w:rsidR="00874E38">
        <w:t xml:space="preserve"> (Demoly </w:t>
      </w:r>
      <w:r w:rsidR="00EC06FF" w:rsidRPr="00EC06FF">
        <w:rPr>
          <w:i/>
        </w:rPr>
        <w:t>et al</w:t>
      </w:r>
      <w:r w:rsidR="00874E38" w:rsidRPr="00874E38">
        <w:rPr>
          <w:i/>
        </w:rPr>
        <w:t>, 1999</w:t>
      </w:r>
      <w:r w:rsidR="00874E38">
        <w:t>)</w:t>
      </w:r>
      <w:r>
        <w:t xml:space="preserve">, it seems reasonable to assume that IV-iron reactions could have the same “non-immune” underlying mechanism as the majority of other IV-drugs.  One of the “non-immune” mechanisms that </w:t>
      </w:r>
      <w:r w:rsidR="00136379">
        <w:t>have</w:t>
      </w:r>
      <w:r>
        <w:t xml:space="preserve"> received much attention recently is </w:t>
      </w:r>
      <w:r w:rsidRPr="00860E11">
        <w:t>CARPA</w:t>
      </w:r>
      <w:r>
        <w:t>, which has been claimed to</w:t>
      </w:r>
      <w:r w:rsidRPr="00860E11">
        <w:t xml:space="preserve"> be </w:t>
      </w:r>
      <w:r>
        <w:t>a</w:t>
      </w:r>
      <w:r w:rsidRPr="00860E11">
        <w:t xml:space="preserve"> common </w:t>
      </w:r>
      <w:r>
        <w:t xml:space="preserve">cause for, or contributing factor to all </w:t>
      </w:r>
      <w:r w:rsidRPr="00860E11">
        <w:t xml:space="preserve">acute HSRs provoked by any infusion </w:t>
      </w:r>
      <w:r>
        <w:t>that contains C-activating</w:t>
      </w:r>
      <w:r w:rsidRPr="00860E11">
        <w:t xml:space="preserve"> </w:t>
      </w:r>
      <w:r>
        <w:t xml:space="preserve">antibodies or nanoparticles. </w:t>
      </w:r>
    </w:p>
    <w:p w14:paraId="3ABD3C86" w14:textId="77777777" w:rsidR="001016D3" w:rsidRDefault="001016D3" w:rsidP="00E23F53">
      <w:pPr>
        <w:autoSpaceDE w:val="0"/>
        <w:autoSpaceDN w:val="0"/>
        <w:adjustRightInd w:val="0"/>
        <w:spacing w:after="0"/>
      </w:pPr>
    </w:p>
    <w:p w14:paraId="08C7B979" w14:textId="77777777" w:rsidR="00726D14" w:rsidRDefault="00161923" w:rsidP="00E23F53">
      <w:pPr>
        <w:autoSpaceDE w:val="0"/>
        <w:autoSpaceDN w:val="0"/>
        <w:adjustRightInd w:val="0"/>
        <w:spacing w:after="0"/>
      </w:pPr>
      <w:r w:rsidRPr="00376CC5">
        <w:rPr>
          <w:color w:val="FF0000"/>
        </w:rPr>
        <w:t xml:space="preserve">Van </w:t>
      </w:r>
      <w:r w:rsidR="001016D3" w:rsidRPr="00376CC5">
        <w:rPr>
          <w:color w:val="FF0000"/>
        </w:rPr>
        <w:t xml:space="preserve">der Kolk </w:t>
      </w:r>
      <w:r w:rsidR="00EC06FF" w:rsidRPr="00376CC5">
        <w:rPr>
          <w:i/>
          <w:color w:val="FF0000"/>
        </w:rPr>
        <w:t>et al</w:t>
      </w:r>
      <w:r w:rsidR="001016D3" w:rsidRPr="00376CC5">
        <w:rPr>
          <w:color w:val="FF0000"/>
        </w:rPr>
        <w:t xml:space="preserve"> (van der Kolk </w:t>
      </w:r>
      <w:r w:rsidR="00EC06FF" w:rsidRPr="00376CC5">
        <w:rPr>
          <w:i/>
          <w:color w:val="FF0000"/>
        </w:rPr>
        <w:t>et al</w:t>
      </w:r>
      <w:r w:rsidR="001016D3" w:rsidRPr="00376CC5">
        <w:rPr>
          <w:i/>
          <w:color w:val="FF0000"/>
        </w:rPr>
        <w:t>.</w:t>
      </w:r>
      <w:r w:rsidR="001016D3" w:rsidRPr="00376CC5">
        <w:rPr>
          <w:color w:val="FF0000"/>
        </w:rPr>
        <w:t xml:space="preserve"> 2001 )</w:t>
      </w:r>
      <w:r w:rsidRPr="00376CC5">
        <w:rPr>
          <w:color w:val="FF0000"/>
        </w:rPr>
        <w:t xml:space="preserve"> showed</w:t>
      </w:r>
      <w:r w:rsidR="001016D3" w:rsidRPr="00376CC5">
        <w:rPr>
          <w:color w:val="FF0000"/>
        </w:rPr>
        <w:t xml:space="preserve"> </w:t>
      </w:r>
      <w:r w:rsidRPr="00376CC5">
        <w:rPr>
          <w:color w:val="FF0000"/>
        </w:rPr>
        <w:t xml:space="preserve">that C activation plays a causal role in the HSRs to rituximab. </w:t>
      </w:r>
      <w:r w:rsidR="001E046D" w:rsidRPr="00376CC5">
        <w:rPr>
          <w:color w:val="FF0000"/>
        </w:rPr>
        <w:t xml:space="preserve"> </w:t>
      </w:r>
      <w:r w:rsidR="00846A96" w:rsidRPr="00376CC5">
        <w:rPr>
          <w:color w:val="FF0000"/>
        </w:rPr>
        <w:t xml:space="preserve">Evidence accumulated over the past 2 decades (Szebeni J </w:t>
      </w:r>
      <w:r w:rsidR="00846A96" w:rsidRPr="00376CC5">
        <w:rPr>
          <w:i/>
          <w:color w:val="FF0000"/>
        </w:rPr>
        <w:t xml:space="preserve">et al. </w:t>
      </w:r>
      <w:r w:rsidR="00846A96" w:rsidRPr="00376CC5">
        <w:rPr>
          <w:color w:val="FF0000"/>
        </w:rPr>
        <w:t>1994-2014) has also indicated t</w:t>
      </w:r>
      <w:r w:rsidRPr="00376CC5">
        <w:rPr>
          <w:color w:val="FF0000"/>
        </w:rPr>
        <w:t xml:space="preserve">he importance of C-activation </w:t>
      </w:r>
      <w:r w:rsidR="001E046D" w:rsidRPr="00376CC5">
        <w:rPr>
          <w:color w:val="FF0000"/>
        </w:rPr>
        <w:t>in the causation</w:t>
      </w:r>
      <w:r w:rsidRPr="00376CC5">
        <w:rPr>
          <w:color w:val="FF0000"/>
        </w:rPr>
        <w:t xml:space="preserve"> of HSRs </w:t>
      </w:r>
      <w:r w:rsidR="00846A96" w:rsidRPr="00376CC5">
        <w:rPr>
          <w:color w:val="FF0000"/>
        </w:rPr>
        <w:t>to liposomes, including L-Dox.</w:t>
      </w:r>
      <w:r w:rsidR="00846A96">
        <w:t xml:space="preserve">  </w:t>
      </w:r>
      <w:r w:rsidR="00846A96" w:rsidRPr="00376CC5">
        <w:rPr>
          <w:color w:val="FF0000"/>
        </w:rPr>
        <w:t>For example</w:t>
      </w:r>
      <w:r w:rsidR="001016D3" w:rsidRPr="008770C7">
        <w:t xml:space="preserve">, a clinical </w:t>
      </w:r>
      <w:r w:rsidR="00726D14">
        <w:t>investigation</w:t>
      </w:r>
      <w:r w:rsidR="001016D3" w:rsidRPr="008770C7">
        <w:t xml:space="preserve"> showed that </w:t>
      </w:r>
      <w:r w:rsidR="001016D3" w:rsidRPr="002F7669">
        <w:t xml:space="preserve">strong </w:t>
      </w:r>
      <w:r w:rsidR="001016D3" w:rsidRPr="008770C7">
        <w:t>C activation in cancer patients infused with L-Dox correlated with the severity and frequency of HSRs, and that the rate of drug infusion was critical to the risk of HSR</w:t>
      </w:r>
      <w:r w:rsidR="00726D14">
        <w:t xml:space="preserve"> </w:t>
      </w:r>
      <w:r w:rsidR="00726D14" w:rsidRPr="008770C7">
        <w:t>(Chanan-Khan</w:t>
      </w:r>
      <w:r w:rsidR="00726D14" w:rsidRPr="008770C7">
        <w:rPr>
          <w:i/>
        </w:rPr>
        <w:t xml:space="preserve"> </w:t>
      </w:r>
      <w:r w:rsidR="00EC06FF" w:rsidRPr="00EC06FF">
        <w:rPr>
          <w:i/>
        </w:rPr>
        <w:t>et al</w:t>
      </w:r>
      <w:r w:rsidR="00726D14" w:rsidRPr="008770C7">
        <w:rPr>
          <w:i/>
        </w:rPr>
        <w:t>.</w:t>
      </w:r>
      <w:r w:rsidR="00726D14" w:rsidRPr="008770C7">
        <w:t>, 2003)</w:t>
      </w:r>
      <w:r w:rsidR="001016D3" w:rsidRPr="008770C7">
        <w:t>.  The study could even accurately predict the upper threshold of safe initial infusion rate (0.38 mg Doxorubicin/min) on the basis of a significant correlation between initial infusion rate and in vivo production of SC5b-9, an index of C activation</w:t>
      </w:r>
      <w:r w:rsidR="00726D14">
        <w:t xml:space="preserve">.  Such measurements and calculations may be useful </w:t>
      </w:r>
      <w:r w:rsidR="001016D3" w:rsidRPr="008770C7">
        <w:t xml:space="preserve">for </w:t>
      </w:r>
      <w:r w:rsidR="00726D14">
        <w:t xml:space="preserve">the development of LRPs for </w:t>
      </w:r>
      <w:r w:rsidR="001016D3" w:rsidRPr="008770C7">
        <w:t xml:space="preserve">other reactogenic drugs.  </w:t>
      </w:r>
    </w:p>
    <w:p w14:paraId="712313CC" w14:textId="77777777" w:rsidR="00726D14" w:rsidRDefault="00726D14" w:rsidP="00E23F53">
      <w:pPr>
        <w:autoSpaceDE w:val="0"/>
        <w:autoSpaceDN w:val="0"/>
        <w:adjustRightInd w:val="0"/>
        <w:spacing w:after="0"/>
      </w:pPr>
    </w:p>
    <w:p w14:paraId="69BB65D4" w14:textId="77777777" w:rsidR="001016D3" w:rsidRPr="00E23F53" w:rsidRDefault="001016D3" w:rsidP="00E23F53">
      <w:pPr>
        <w:autoSpaceDE w:val="0"/>
        <w:autoSpaceDN w:val="0"/>
        <w:adjustRightInd w:val="0"/>
        <w:spacing w:after="0"/>
      </w:pPr>
      <w:r w:rsidRPr="008770C7">
        <w:t>Prior preclinical evidence for C activation underlying the infusion rate</w:t>
      </w:r>
      <w:r>
        <w:t>-</w:t>
      </w:r>
      <w:r w:rsidRPr="008770C7">
        <w:t>dependence of HSRs was provided in a porcine model of liposome-induced CARPA, wherein the speed of liposome infusion showed remarkable correlation with the rise of pulmonary arterial pressure</w:t>
      </w:r>
      <w:r w:rsidR="002A1454">
        <w:t xml:space="preserve"> </w:t>
      </w:r>
      <w:r w:rsidR="002A1454" w:rsidRPr="008770C7">
        <w:t>(Szebeni</w:t>
      </w:r>
      <w:r w:rsidR="002A1454" w:rsidRPr="008770C7">
        <w:rPr>
          <w:i/>
        </w:rPr>
        <w:t xml:space="preserve"> </w:t>
      </w:r>
      <w:r w:rsidR="00EC06FF" w:rsidRPr="00EC06FF">
        <w:rPr>
          <w:i/>
        </w:rPr>
        <w:t>et al</w:t>
      </w:r>
      <w:r w:rsidR="002A1454" w:rsidRPr="008770C7">
        <w:rPr>
          <w:i/>
        </w:rPr>
        <w:t>.</w:t>
      </w:r>
      <w:r w:rsidR="002A1454">
        <w:t>, 2000)</w:t>
      </w:r>
      <w:r w:rsidRPr="008770C7">
        <w:t xml:space="preserve">, which, in turn, was shown to </w:t>
      </w:r>
      <w:r w:rsidR="002A1454">
        <w:t xml:space="preserve">arise as a consequence of </w:t>
      </w:r>
      <w:r w:rsidRPr="008770C7">
        <w:t xml:space="preserve">C activation-related anaphylatoxin production </w:t>
      </w:r>
      <w:r w:rsidR="002A1454" w:rsidRPr="008770C7">
        <w:t>(Szebeni</w:t>
      </w:r>
      <w:r w:rsidR="002A1454" w:rsidRPr="008770C7">
        <w:rPr>
          <w:i/>
        </w:rPr>
        <w:t xml:space="preserve"> </w:t>
      </w:r>
      <w:r w:rsidR="00EC06FF" w:rsidRPr="00EC06FF">
        <w:rPr>
          <w:i/>
        </w:rPr>
        <w:t>et al</w:t>
      </w:r>
      <w:r w:rsidR="002A1454" w:rsidRPr="008770C7">
        <w:rPr>
          <w:i/>
        </w:rPr>
        <w:t>.</w:t>
      </w:r>
      <w:r w:rsidR="002A1454">
        <w:t xml:space="preserve">, 1999, 2000).  </w:t>
      </w:r>
      <w:r w:rsidRPr="008770C7">
        <w:t xml:space="preserve">These facts taken together suggest that </w:t>
      </w:r>
      <w:r w:rsidR="002A1454">
        <w:t xml:space="preserve">the slow-infusion-based </w:t>
      </w:r>
      <w:r w:rsidRPr="008770C7">
        <w:t xml:space="preserve">LRPs may be effective when C activation is a major pathogenic factor for HSRs.  </w:t>
      </w:r>
    </w:p>
    <w:p w14:paraId="553E656F" w14:textId="77777777" w:rsidR="001016D3" w:rsidRDefault="001016D3" w:rsidP="000B0D9A">
      <w:pPr>
        <w:autoSpaceDE w:val="0"/>
        <w:autoSpaceDN w:val="0"/>
        <w:adjustRightInd w:val="0"/>
        <w:spacing w:after="0"/>
      </w:pPr>
    </w:p>
    <w:p w14:paraId="55C630FC" w14:textId="77777777" w:rsidR="001016D3" w:rsidRDefault="001016D3" w:rsidP="000B0D9A">
      <w:pPr>
        <w:autoSpaceDE w:val="0"/>
        <w:autoSpaceDN w:val="0"/>
        <w:adjustRightInd w:val="0"/>
        <w:spacing w:after="0"/>
      </w:pPr>
      <w:r>
        <w:t xml:space="preserve">Among further </w:t>
      </w:r>
      <w:r w:rsidR="007D4004">
        <w:t>in vivo evidence for CARPA as a common</w:t>
      </w:r>
      <w:r>
        <w:t xml:space="preserve"> underlying mechanism of HSRs, it has been shown that HSRs</w:t>
      </w:r>
      <w:r w:rsidR="007D4004">
        <w:t xml:space="preserve"> not only to liposomes, but also </w:t>
      </w:r>
      <w:r>
        <w:t>to polymers</w:t>
      </w:r>
      <w:r w:rsidR="007D4004">
        <w:t>, dendrimers, carbon nanotubes and a wide range of other nanoparticles</w:t>
      </w:r>
      <w:r>
        <w:t xml:space="preserve"> </w:t>
      </w:r>
      <w:r w:rsidR="007D4004">
        <w:t xml:space="preserve">are also C activation-related, </w:t>
      </w:r>
      <w:r w:rsidR="00B50264">
        <w:t xml:space="preserve">and </w:t>
      </w:r>
      <w:r>
        <w:t xml:space="preserve">the symptoms </w:t>
      </w:r>
      <w:r w:rsidR="007D4004">
        <w:t>are similar and</w:t>
      </w:r>
      <w:r>
        <w:t xml:space="preserve"> closely mimic human </w:t>
      </w:r>
      <w:r w:rsidR="00B50264">
        <w:t xml:space="preserve">HSRs and </w:t>
      </w:r>
      <w:r>
        <w:t>anaphylaxis (Szebeni, 2012)</w:t>
      </w:r>
      <w:r w:rsidR="00B50264">
        <w:t>.  Studies on the phenomenon have</w:t>
      </w:r>
      <w:r>
        <w:t xml:space="preserve"> established that the reactogenic C-activating nanoparticles are </w:t>
      </w:r>
      <w:r w:rsidR="00B50264">
        <w:t xml:space="preserve">usually </w:t>
      </w:r>
      <w:r>
        <w:t xml:space="preserve">highly charged </w:t>
      </w:r>
      <w:r w:rsidRPr="002F7669">
        <w:rPr>
          <w:szCs w:val="24"/>
        </w:rPr>
        <w:t xml:space="preserve">and/or coated by repetitive surface projections from polymers, carbohydrate, peptides, etc, that bind antigen or pattern recognition molecules (IgM, IgG, C1q, </w:t>
      </w:r>
      <w:r w:rsidR="00FA766D">
        <w:rPr>
          <w:szCs w:val="24"/>
        </w:rPr>
        <w:t>mannose binding lectin</w:t>
      </w:r>
      <w:r w:rsidR="003B0DB6">
        <w:rPr>
          <w:szCs w:val="24"/>
        </w:rPr>
        <w:t xml:space="preserve"> (MBL)</w:t>
      </w:r>
      <w:r w:rsidR="00FA766D">
        <w:rPr>
          <w:szCs w:val="24"/>
        </w:rPr>
        <w:t xml:space="preserve">, </w:t>
      </w:r>
      <w:r w:rsidRPr="002F7669">
        <w:rPr>
          <w:szCs w:val="24"/>
        </w:rPr>
        <w:t xml:space="preserve">ficolin).  </w:t>
      </w:r>
      <w:r w:rsidR="003B0DB6" w:rsidRPr="003B0DB6">
        <w:rPr>
          <w:szCs w:val="24"/>
        </w:rPr>
        <w:t xml:space="preserve">Crystalline surfaces </w:t>
      </w:r>
      <w:r w:rsidR="000931AD">
        <w:rPr>
          <w:szCs w:val="24"/>
        </w:rPr>
        <w:t>(</w:t>
      </w:r>
      <w:r w:rsidR="00C512C9">
        <w:rPr>
          <w:szCs w:val="24"/>
        </w:rPr>
        <w:t xml:space="preserve">shown for silica and paclitaxel, </w:t>
      </w:r>
      <w:r w:rsidR="000931AD">
        <w:rPr>
          <w:szCs w:val="24"/>
        </w:rPr>
        <w:t xml:space="preserve">Szebeni </w:t>
      </w:r>
      <w:r w:rsidR="00EC06FF" w:rsidRPr="00EC06FF">
        <w:rPr>
          <w:i/>
          <w:szCs w:val="24"/>
        </w:rPr>
        <w:t>et al</w:t>
      </w:r>
      <w:r w:rsidR="000931AD" w:rsidRPr="00C512C9">
        <w:rPr>
          <w:i/>
          <w:szCs w:val="24"/>
        </w:rPr>
        <w:t>.,</w:t>
      </w:r>
      <w:r w:rsidR="000931AD">
        <w:rPr>
          <w:szCs w:val="24"/>
        </w:rPr>
        <w:t xml:space="preserve"> 2003</w:t>
      </w:r>
      <w:r w:rsidR="00C512C9">
        <w:rPr>
          <w:szCs w:val="24"/>
        </w:rPr>
        <w:t>)</w:t>
      </w:r>
      <w:r w:rsidR="000931AD">
        <w:rPr>
          <w:szCs w:val="24"/>
        </w:rPr>
        <w:t xml:space="preserve"> as well as </w:t>
      </w:r>
      <w:r w:rsidR="00FA766D">
        <w:rPr>
          <w:szCs w:val="24"/>
        </w:rPr>
        <w:t xml:space="preserve">71% </w:t>
      </w:r>
      <w:r w:rsidR="008722F7">
        <w:rPr>
          <w:szCs w:val="24"/>
        </w:rPr>
        <w:t xml:space="preserve">cholesterol-containing liposomes, wherein the cholesterol is partially crystallized </w:t>
      </w:r>
      <w:r w:rsidR="00C512C9" w:rsidRPr="002F7669">
        <w:rPr>
          <w:szCs w:val="24"/>
        </w:rPr>
        <w:t>(</w:t>
      </w:r>
      <w:r w:rsidR="00FA766D">
        <w:rPr>
          <w:szCs w:val="24"/>
        </w:rPr>
        <w:t xml:space="preserve">Szebeni </w:t>
      </w:r>
      <w:r w:rsidR="00EC06FF" w:rsidRPr="00EC06FF">
        <w:rPr>
          <w:i/>
          <w:szCs w:val="24"/>
        </w:rPr>
        <w:t>et al</w:t>
      </w:r>
      <w:r w:rsidR="00FA766D" w:rsidRPr="00FA766D">
        <w:rPr>
          <w:i/>
          <w:szCs w:val="24"/>
        </w:rPr>
        <w:t>.,</w:t>
      </w:r>
      <w:r w:rsidR="00FA766D">
        <w:rPr>
          <w:szCs w:val="24"/>
        </w:rPr>
        <w:t xml:space="preserve"> 200, </w:t>
      </w:r>
      <w:r w:rsidR="00C512C9" w:rsidRPr="002F7669">
        <w:rPr>
          <w:szCs w:val="24"/>
        </w:rPr>
        <w:t xml:space="preserve">Baranyi </w:t>
      </w:r>
      <w:r w:rsidR="00EC06FF" w:rsidRPr="00EC06FF">
        <w:rPr>
          <w:i/>
          <w:szCs w:val="24"/>
        </w:rPr>
        <w:t>et al</w:t>
      </w:r>
      <w:r w:rsidR="00C512C9" w:rsidRPr="002F7669">
        <w:rPr>
          <w:szCs w:val="24"/>
        </w:rPr>
        <w:t>,</w:t>
      </w:r>
      <w:r w:rsidR="00C512C9">
        <w:rPr>
          <w:szCs w:val="24"/>
        </w:rPr>
        <w:t xml:space="preserve"> 2003) </w:t>
      </w:r>
      <w:r w:rsidRPr="002F7669">
        <w:rPr>
          <w:szCs w:val="24"/>
        </w:rPr>
        <w:t>are also effective C activators</w:t>
      </w:r>
      <w:r w:rsidR="008722F7">
        <w:rPr>
          <w:szCs w:val="24"/>
        </w:rPr>
        <w:t xml:space="preserve"> and inducers of HSR. </w:t>
      </w:r>
      <w:r w:rsidRPr="002F7669">
        <w:rPr>
          <w:szCs w:val="24"/>
        </w:rPr>
        <w:t xml:space="preserve"> Since all existing IV iron medicines consist of crystalline iron oxide/hydroxide nanoparticle cores (up to 10-20 nm) and a carbohydrate shell (from mannitol, dextran, gluconate sucrose, carboxymaltose</w:t>
      </w:r>
      <w:r>
        <w:t xml:space="preserve">, </w:t>
      </w:r>
      <w:r w:rsidRPr="001B35C4">
        <w:t>isomaltoside</w:t>
      </w:r>
      <w:r>
        <w:t xml:space="preserve">, etc) (Fütterer </w:t>
      </w:r>
      <w:r w:rsidR="00EC06FF" w:rsidRPr="00EC06FF">
        <w:rPr>
          <w:i/>
        </w:rPr>
        <w:t>et al</w:t>
      </w:r>
      <w:r w:rsidRPr="00631D1C">
        <w:rPr>
          <w:i/>
        </w:rPr>
        <w:t xml:space="preserve">, </w:t>
      </w:r>
      <w:r>
        <w:t xml:space="preserve">2013), preconditions for C activation via crystal- and carbohydrate recognition molecules exist with all IV iron medicines.  In addition, some of the iron-carbohydrate complexes </w:t>
      </w:r>
      <w:r w:rsidRPr="00860E11">
        <w:t xml:space="preserve">can </w:t>
      </w:r>
      <w:r>
        <w:t xml:space="preserve">also </w:t>
      </w:r>
      <w:r w:rsidRPr="00860E11">
        <w:t xml:space="preserve">agglomerate </w:t>
      </w:r>
      <w:r>
        <w:t xml:space="preserve">to form large </w:t>
      </w:r>
      <w:r w:rsidRPr="00860E11">
        <w:t xml:space="preserve">clusters </w:t>
      </w:r>
      <w:r>
        <w:t>(</w:t>
      </w:r>
      <w:r w:rsidRPr="00860E11">
        <w:t>up to 200 nm</w:t>
      </w:r>
      <w:r>
        <w:t xml:space="preserve">) (Fütterer </w:t>
      </w:r>
      <w:r w:rsidR="00EC06FF" w:rsidRPr="00EC06FF">
        <w:rPr>
          <w:i/>
        </w:rPr>
        <w:t>et al</w:t>
      </w:r>
      <w:r w:rsidRPr="00631D1C">
        <w:rPr>
          <w:i/>
        </w:rPr>
        <w:t xml:space="preserve">, </w:t>
      </w:r>
      <w:r>
        <w:t>2013),</w:t>
      </w:r>
      <w:r w:rsidRPr="00D67B2C">
        <w:t xml:space="preserve"> </w:t>
      </w:r>
      <w:r>
        <w:t xml:space="preserve">providing further surface for C </w:t>
      </w:r>
      <w:r w:rsidRPr="0077723F">
        <w:t xml:space="preserve">activation.  </w:t>
      </w:r>
    </w:p>
    <w:p w14:paraId="2F520F56" w14:textId="77777777" w:rsidR="001016D3" w:rsidRDefault="001016D3" w:rsidP="000B0D9A">
      <w:pPr>
        <w:autoSpaceDE w:val="0"/>
        <w:autoSpaceDN w:val="0"/>
        <w:adjustRightInd w:val="0"/>
        <w:spacing w:after="0"/>
      </w:pPr>
    </w:p>
    <w:p w14:paraId="7A231D45" w14:textId="77777777" w:rsidR="001016D3" w:rsidRDefault="001016D3" w:rsidP="000B0D9A">
      <w:pPr>
        <w:autoSpaceDE w:val="0"/>
        <w:autoSpaceDN w:val="0"/>
        <w:adjustRightInd w:val="0"/>
        <w:spacing w:after="0"/>
      </w:pPr>
      <w:r w:rsidRPr="0077723F">
        <w:t xml:space="preserve">Although we are not aware of studies showing C activation by reactogenic IV-iron medicines, a recent study provided evidence for </w:t>
      </w:r>
      <w:r>
        <w:t xml:space="preserve">such activation by </w:t>
      </w:r>
      <w:r w:rsidRPr="0077723F">
        <w:t>dextran</w:t>
      </w:r>
      <w:r>
        <w:t>-</w:t>
      </w:r>
      <w:r w:rsidRPr="0077723F">
        <w:t xml:space="preserve">coated superparamagnetic iron oxide (SPIO) nanoparticles used </w:t>
      </w:r>
      <w:r w:rsidRPr="00AE323E">
        <w:rPr>
          <w:szCs w:val="24"/>
        </w:rPr>
        <w:t xml:space="preserve">as </w:t>
      </w:r>
      <w:r>
        <w:rPr>
          <w:szCs w:val="24"/>
        </w:rPr>
        <w:t xml:space="preserve">a </w:t>
      </w:r>
      <w:r w:rsidRPr="00AE323E">
        <w:rPr>
          <w:szCs w:val="24"/>
        </w:rPr>
        <w:t xml:space="preserve">magnetic resonance imaging </w:t>
      </w:r>
      <w:r>
        <w:rPr>
          <w:szCs w:val="24"/>
        </w:rPr>
        <w:t xml:space="preserve">(MRI) </w:t>
      </w:r>
      <w:r w:rsidRPr="00AE323E">
        <w:rPr>
          <w:szCs w:val="24"/>
        </w:rPr>
        <w:t xml:space="preserve">contrast agent (Banda </w:t>
      </w:r>
      <w:r w:rsidR="00EC06FF" w:rsidRPr="00EC06FF">
        <w:rPr>
          <w:i/>
          <w:szCs w:val="24"/>
        </w:rPr>
        <w:t>et al</w:t>
      </w:r>
      <w:r w:rsidRPr="00AE323E">
        <w:rPr>
          <w:i/>
          <w:szCs w:val="24"/>
        </w:rPr>
        <w:t>,</w:t>
      </w:r>
      <w:r w:rsidRPr="00AE323E">
        <w:rPr>
          <w:szCs w:val="24"/>
        </w:rPr>
        <w:t xml:space="preserve"> 2014).  The latter study also investigated the mechanism of C activation in human and mouse serum and found evidence for </w:t>
      </w:r>
      <w:r w:rsidR="002A3C67">
        <w:rPr>
          <w:szCs w:val="24"/>
        </w:rPr>
        <w:t>prominent</w:t>
      </w:r>
      <w:r w:rsidR="00C866FF">
        <w:rPr>
          <w:szCs w:val="24"/>
        </w:rPr>
        <w:t xml:space="preserve"> </w:t>
      </w:r>
      <w:r w:rsidRPr="00AE323E">
        <w:rPr>
          <w:szCs w:val="24"/>
        </w:rPr>
        <w:t xml:space="preserve">involvement of the lectin pathway </w:t>
      </w:r>
      <w:r w:rsidR="002A3C67">
        <w:rPr>
          <w:szCs w:val="24"/>
        </w:rPr>
        <w:t>(</w:t>
      </w:r>
      <w:r w:rsidRPr="00AE323E">
        <w:rPr>
          <w:szCs w:val="24"/>
        </w:rPr>
        <w:t>via</w:t>
      </w:r>
      <w:r w:rsidRPr="00AE323E">
        <w:rPr>
          <w:color w:val="auto"/>
          <w:szCs w:val="24"/>
          <w:shd w:val="clear" w:color="auto" w:fill="auto"/>
          <w:lang w:eastAsia="sv-SE"/>
        </w:rPr>
        <w:t xml:space="preserve"> MBL or L-ficolin</w:t>
      </w:r>
      <w:r w:rsidR="002A3C67">
        <w:rPr>
          <w:color w:val="auto"/>
          <w:szCs w:val="24"/>
          <w:shd w:val="clear" w:color="auto" w:fill="auto"/>
          <w:lang w:eastAsia="sv-SE"/>
        </w:rPr>
        <w:t>)</w:t>
      </w:r>
      <w:r w:rsidR="003B0DB6">
        <w:rPr>
          <w:color w:val="auto"/>
          <w:szCs w:val="24"/>
          <w:shd w:val="clear" w:color="auto" w:fill="auto"/>
          <w:lang w:eastAsia="sv-SE"/>
        </w:rPr>
        <w:t xml:space="preserve"> and </w:t>
      </w:r>
      <w:r w:rsidR="002A3C67">
        <w:rPr>
          <w:color w:val="auto"/>
          <w:szCs w:val="24"/>
          <w:shd w:val="clear" w:color="auto" w:fill="auto"/>
          <w:lang w:eastAsia="sv-SE"/>
        </w:rPr>
        <w:t xml:space="preserve">triggering of alternative amplification loop </w:t>
      </w:r>
      <w:r w:rsidRPr="00AE323E">
        <w:rPr>
          <w:szCs w:val="24"/>
        </w:rPr>
        <w:t xml:space="preserve">(Banda </w:t>
      </w:r>
      <w:r w:rsidR="00EC06FF" w:rsidRPr="00EC06FF">
        <w:rPr>
          <w:i/>
          <w:szCs w:val="24"/>
        </w:rPr>
        <w:t>et al</w:t>
      </w:r>
      <w:r w:rsidRPr="00AE323E">
        <w:rPr>
          <w:i/>
          <w:szCs w:val="24"/>
        </w:rPr>
        <w:t>,</w:t>
      </w:r>
      <w:r w:rsidRPr="00AE323E">
        <w:rPr>
          <w:szCs w:val="24"/>
        </w:rPr>
        <w:t xml:space="preserve"> 2014</w:t>
      </w:r>
      <w:r>
        <w:rPr>
          <w:szCs w:val="24"/>
        </w:rPr>
        <w:t>)</w:t>
      </w:r>
      <w:r w:rsidRPr="00AE323E">
        <w:rPr>
          <w:color w:val="auto"/>
          <w:szCs w:val="24"/>
          <w:shd w:val="clear" w:color="auto" w:fill="auto"/>
          <w:lang w:eastAsia="sv-SE"/>
        </w:rPr>
        <w:t>.</w:t>
      </w:r>
      <w:r w:rsidRPr="00AE323E">
        <w:rPr>
          <w:szCs w:val="24"/>
        </w:rPr>
        <w:t xml:space="preserve"> </w:t>
      </w:r>
      <w:r>
        <w:rPr>
          <w:szCs w:val="24"/>
        </w:rPr>
        <w:t xml:space="preserve"> Because the </w:t>
      </w:r>
      <w:r>
        <w:t>SPIO</w:t>
      </w:r>
      <w:r w:rsidRPr="0077723F">
        <w:t xml:space="preserve"> nanoparticles</w:t>
      </w:r>
      <w:r>
        <w:t xml:space="preserve"> in the above study also caused major HSRs in patients, and because the</w:t>
      </w:r>
      <w:r>
        <w:rPr>
          <w:szCs w:val="24"/>
        </w:rPr>
        <w:t xml:space="preserve"> basic structure of all IV-iron medicines and iron-oxide core/dextran shell containing MRI contrast agents are very similar, </w:t>
      </w:r>
      <w:r>
        <w:t xml:space="preserve">it is highly likely that C activation by IV-iron can occur in man via the same </w:t>
      </w:r>
      <w:r w:rsidR="003B0DB6">
        <w:t xml:space="preserve">or similar </w:t>
      </w:r>
      <w:r>
        <w:t xml:space="preserve">mechanism and may cause or contribute to the rare occurrence of non-IgE-mediated HSRs.  </w:t>
      </w:r>
    </w:p>
    <w:p w14:paraId="3026E7C3" w14:textId="77777777" w:rsidR="001016D3" w:rsidRDefault="001016D3" w:rsidP="000B0D9A">
      <w:pPr>
        <w:autoSpaceDE w:val="0"/>
        <w:autoSpaceDN w:val="0"/>
        <w:adjustRightInd w:val="0"/>
        <w:spacing w:after="0"/>
      </w:pPr>
    </w:p>
    <w:p w14:paraId="5F95FBE1" w14:textId="77777777" w:rsidR="001016D3" w:rsidRDefault="00527441" w:rsidP="000B0D9A">
      <w:pPr>
        <w:rPr>
          <w:szCs w:val="24"/>
        </w:rPr>
      </w:pPr>
      <w:r>
        <w:rPr>
          <w:szCs w:val="24"/>
        </w:rPr>
        <w:t>T</w:t>
      </w:r>
      <w:r w:rsidR="001016D3" w:rsidRPr="00C953D0">
        <w:rPr>
          <w:szCs w:val="24"/>
        </w:rPr>
        <w:t>he</w:t>
      </w:r>
      <w:r>
        <w:rPr>
          <w:szCs w:val="24"/>
        </w:rPr>
        <w:t xml:space="preserve"> above facts and</w:t>
      </w:r>
      <w:r w:rsidR="001016D3" w:rsidRPr="00C953D0">
        <w:rPr>
          <w:szCs w:val="24"/>
        </w:rPr>
        <w:t xml:space="preserve"> consideration</w:t>
      </w:r>
      <w:r w:rsidR="001016D3">
        <w:rPr>
          <w:szCs w:val="24"/>
        </w:rPr>
        <w:t>s</w:t>
      </w:r>
      <w:r>
        <w:rPr>
          <w:szCs w:val="24"/>
        </w:rPr>
        <w:t xml:space="preserve">, taken together with the reported success of slow infusion protocols in preventing life-threatening reactions to IV-iron </w:t>
      </w:r>
      <w:r w:rsidRPr="008770C7">
        <w:t>(</w:t>
      </w:r>
      <w:r w:rsidRPr="008770C7">
        <w:rPr>
          <w:noProof/>
        </w:rPr>
        <w:t xml:space="preserve">Altman and Petersen 1988; Monaghan </w:t>
      </w:r>
      <w:r w:rsidR="00EC06FF" w:rsidRPr="00EC06FF">
        <w:rPr>
          <w:i/>
        </w:rPr>
        <w:t>et al</w:t>
      </w:r>
      <w:r w:rsidRPr="008770C7">
        <w:rPr>
          <w:i/>
        </w:rPr>
        <w:t>.</w:t>
      </w:r>
      <w:r w:rsidRPr="008770C7">
        <w:t>, 1994</w:t>
      </w:r>
      <w:r>
        <w:t>,</w:t>
      </w:r>
      <w:r w:rsidRPr="009302CF">
        <w:rPr>
          <w:noProof/>
        </w:rPr>
        <w:t xml:space="preserve"> </w:t>
      </w:r>
      <w:r w:rsidRPr="008770C7">
        <w:rPr>
          <w:noProof/>
        </w:rPr>
        <w:t xml:space="preserve">Hickman </w:t>
      </w:r>
      <w:r w:rsidR="00EC06FF" w:rsidRPr="00EC06FF">
        <w:rPr>
          <w:i/>
          <w:noProof/>
        </w:rPr>
        <w:t>et al</w:t>
      </w:r>
      <w:r w:rsidRPr="008770C7">
        <w:rPr>
          <w:i/>
          <w:noProof/>
        </w:rPr>
        <w:t>.,</w:t>
      </w:r>
      <w:r>
        <w:rPr>
          <w:noProof/>
        </w:rPr>
        <w:t xml:space="preserve"> 2000)</w:t>
      </w:r>
      <w:r>
        <w:rPr>
          <w:szCs w:val="24"/>
        </w:rPr>
        <w:t xml:space="preserve"> suggest </w:t>
      </w:r>
      <w:r w:rsidR="001016D3" w:rsidRPr="00C953D0">
        <w:rPr>
          <w:szCs w:val="24"/>
        </w:rPr>
        <w:t xml:space="preserve">that CARPA, the </w:t>
      </w:r>
      <w:r w:rsidR="00A62CD3" w:rsidRPr="00C953D0">
        <w:rPr>
          <w:szCs w:val="24"/>
        </w:rPr>
        <w:t>proposed</w:t>
      </w:r>
      <w:r w:rsidR="001016D3" w:rsidRPr="00C953D0">
        <w:rPr>
          <w:szCs w:val="24"/>
        </w:rPr>
        <w:t xml:space="preserve"> mechanism of very frequent liposome and antibody and taxane reactions, also represents the most likely mechanism of IV-iron reactions.  The difference in prevalence might arise from differences in the extent of C activation and/or the general sensitivity of patients for activation by these agents.  </w:t>
      </w:r>
    </w:p>
    <w:p w14:paraId="17ECD0FD" w14:textId="77777777" w:rsidR="001016D3" w:rsidRDefault="00964757" w:rsidP="000B0D9A">
      <w:pPr>
        <w:rPr>
          <w:szCs w:val="24"/>
        </w:rPr>
      </w:pPr>
      <w:r>
        <w:rPr>
          <w:noProof/>
          <w:shd w:val="clear" w:color="auto" w:fill="auto"/>
          <w:lang w:val="en-GB" w:eastAsia="en-GB"/>
        </w:rPr>
        <w:drawing>
          <wp:anchor distT="0" distB="0" distL="114300" distR="114300" simplePos="0" relativeHeight="251657216" behindDoc="1" locked="0" layoutInCell="1" allowOverlap="1" wp14:anchorId="4206FB13" wp14:editId="20DAEC3C">
            <wp:simplePos x="0" y="0"/>
            <wp:positionH relativeFrom="column">
              <wp:posOffset>25400</wp:posOffset>
            </wp:positionH>
            <wp:positionV relativeFrom="paragraph">
              <wp:posOffset>855980</wp:posOffset>
            </wp:positionV>
            <wp:extent cx="5034280" cy="3040380"/>
            <wp:effectExtent l="19050" t="19050" r="13970" b="26670"/>
            <wp:wrapTight wrapText="bothSides">
              <wp:wrapPolygon edited="0">
                <wp:start x="-82" y="-135"/>
                <wp:lineTo x="-82" y="21654"/>
                <wp:lineTo x="21578" y="21654"/>
                <wp:lineTo x="21578" y="-135"/>
                <wp:lineTo x="-82" y="-135"/>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034280" cy="3040380"/>
                    </a:xfrm>
                    <a:prstGeom prst="rect">
                      <a:avLst/>
                    </a:prstGeom>
                    <a:noFill/>
                    <a:ln w="9525">
                      <a:solidFill>
                        <a:srgbClr val="000000"/>
                      </a:solidFill>
                      <a:miter lim="800000"/>
                      <a:headEnd/>
                      <a:tailEnd/>
                    </a:ln>
                  </pic:spPr>
                </pic:pic>
              </a:graphicData>
            </a:graphic>
          </wp:anchor>
        </w:drawing>
      </w:r>
      <w:r w:rsidR="001016D3" w:rsidRPr="00C953D0">
        <w:rPr>
          <w:szCs w:val="24"/>
        </w:rPr>
        <w:t xml:space="preserve">As for the chain of events leading from C activation to HSRs, the anaphylatoxins C3a and C5a bind to mast cells (and basophil leukocytes and macrophages) via specific receptors </w:t>
      </w:r>
      <w:r w:rsidR="001016D3" w:rsidRPr="00EA6750">
        <w:rPr>
          <w:szCs w:val="24"/>
        </w:rPr>
        <w:t xml:space="preserve">on these cells, and trigger the release of a great number of vasoactive mediators that cause the symptoms of HSRs (Fig </w:t>
      </w:r>
      <w:r w:rsidR="00376CC5">
        <w:rPr>
          <w:szCs w:val="24"/>
        </w:rPr>
        <w:t>2</w:t>
      </w:r>
      <w:r w:rsidR="001016D3" w:rsidRPr="00EA6750">
        <w:rPr>
          <w:szCs w:val="24"/>
        </w:rPr>
        <w:t xml:space="preserve">). </w:t>
      </w:r>
    </w:p>
    <w:p w14:paraId="731A431D" w14:textId="77777777" w:rsidR="001016D3" w:rsidRPr="008770C7" w:rsidRDefault="001016D3" w:rsidP="00EB6C28"/>
    <w:p w14:paraId="518D9B22" w14:textId="77777777" w:rsidR="001016D3" w:rsidRPr="008770C7" w:rsidRDefault="001016D3" w:rsidP="00EB6C28">
      <w:pPr>
        <w:pStyle w:val="Style1"/>
      </w:pPr>
      <w:bookmarkStart w:id="2" w:name="_Toc383779195"/>
    </w:p>
    <w:p w14:paraId="40853AE6" w14:textId="77777777" w:rsidR="001016D3" w:rsidRPr="008770C7" w:rsidRDefault="001016D3" w:rsidP="00EB6C28">
      <w:pPr>
        <w:pStyle w:val="Style1"/>
      </w:pPr>
    </w:p>
    <w:p w14:paraId="52315156" w14:textId="77777777" w:rsidR="001016D3" w:rsidRPr="008770C7" w:rsidRDefault="001016D3" w:rsidP="00EB6C28">
      <w:pPr>
        <w:pStyle w:val="Style1"/>
      </w:pPr>
    </w:p>
    <w:p w14:paraId="490A2A88" w14:textId="77777777" w:rsidR="001016D3" w:rsidRPr="008770C7" w:rsidRDefault="001016D3" w:rsidP="00EB6C28">
      <w:pPr>
        <w:pStyle w:val="Style1"/>
      </w:pPr>
    </w:p>
    <w:p w14:paraId="260E7887" w14:textId="77777777" w:rsidR="001016D3" w:rsidRPr="008770C7" w:rsidRDefault="001016D3" w:rsidP="00EB6C28">
      <w:pPr>
        <w:pStyle w:val="Style1"/>
      </w:pPr>
    </w:p>
    <w:p w14:paraId="143293B6" w14:textId="77777777" w:rsidR="001016D3" w:rsidRPr="008770C7" w:rsidRDefault="001016D3" w:rsidP="00EB6C28">
      <w:pPr>
        <w:pStyle w:val="Style1"/>
      </w:pPr>
    </w:p>
    <w:p w14:paraId="73595739" w14:textId="77777777" w:rsidR="001016D3" w:rsidRPr="008770C7" w:rsidRDefault="001016D3" w:rsidP="00EB6C28">
      <w:pPr>
        <w:pStyle w:val="Style1"/>
      </w:pPr>
    </w:p>
    <w:p w14:paraId="4574290E" w14:textId="77777777" w:rsidR="001016D3" w:rsidRPr="008770C7" w:rsidRDefault="001016D3" w:rsidP="00EB6C28">
      <w:pPr>
        <w:pStyle w:val="Style1"/>
      </w:pPr>
    </w:p>
    <w:p w14:paraId="1457E7F6" w14:textId="77777777" w:rsidR="001016D3" w:rsidRPr="008770C7" w:rsidRDefault="001016D3" w:rsidP="00EB6C28">
      <w:pPr>
        <w:pStyle w:val="Style1"/>
      </w:pPr>
    </w:p>
    <w:p w14:paraId="0B6A9519" w14:textId="77777777" w:rsidR="001016D3" w:rsidRDefault="001016D3" w:rsidP="00EB6C28">
      <w:pPr>
        <w:pStyle w:val="Style1"/>
      </w:pPr>
    </w:p>
    <w:p w14:paraId="12E69390" w14:textId="77777777" w:rsidR="001016D3" w:rsidRPr="00660554" w:rsidRDefault="001016D3" w:rsidP="009A66C0">
      <w:pPr>
        <w:pStyle w:val="Style1"/>
        <w:ind w:left="450" w:right="990"/>
        <w:jc w:val="both"/>
        <w:rPr>
          <w:i w:val="0"/>
          <w:sz w:val="22"/>
          <w:szCs w:val="22"/>
        </w:rPr>
      </w:pPr>
      <w:r w:rsidRPr="00660554">
        <w:rPr>
          <w:i w:val="0"/>
          <w:sz w:val="22"/>
          <w:szCs w:val="22"/>
        </w:rPr>
        <w:t xml:space="preserve">Fig. </w:t>
      </w:r>
      <w:r w:rsidR="001B384A">
        <w:rPr>
          <w:i w:val="0"/>
          <w:sz w:val="22"/>
          <w:szCs w:val="22"/>
        </w:rPr>
        <w:t>2</w:t>
      </w:r>
      <w:r w:rsidRPr="00660554">
        <w:rPr>
          <w:i w:val="0"/>
          <w:sz w:val="22"/>
          <w:szCs w:val="22"/>
        </w:rPr>
        <w:t>. Scheme illustrating the anaphylatoxin concept of HSRs</w:t>
      </w:r>
      <w:r w:rsidR="00602A93">
        <w:rPr>
          <w:i w:val="0"/>
          <w:sz w:val="22"/>
          <w:szCs w:val="22"/>
        </w:rPr>
        <w:t xml:space="preserve"> caused by </w:t>
      </w:r>
      <w:r w:rsidR="00383985">
        <w:rPr>
          <w:i w:val="0"/>
          <w:sz w:val="22"/>
          <w:szCs w:val="22"/>
        </w:rPr>
        <w:t>drug particles</w:t>
      </w:r>
      <w:r w:rsidRPr="00660554">
        <w:rPr>
          <w:i w:val="0"/>
          <w:sz w:val="22"/>
          <w:szCs w:val="22"/>
        </w:rPr>
        <w:t xml:space="preserve">.  </w:t>
      </w:r>
      <w:r w:rsidR="00F81692" w:rsidRPr="00660554">
        <w:rPr>
          <w:i w:val="0"/>
          <w:sz w:val="22"/>
          <w:szCs w:val="22"/>
        </w:rPr>
        <w:t>I</w:t>
      </w:r>
      <w:r w:rsidR="00602A93">
        <w:rPr>
          <w:i w:val="0"/>
          <w:sz w:val="22"/>
          <w:szCs w:val="22"/>
        </w:rPr>
        <w:t xml:space="preserve">n the </w:t>
      </w:r>
      <w:r w:rsidR="00602A93" w:rsidRPr="00376CC5">
        <w:rPr>
          <w:i w:val="0"/>
          <w:color w:val="FF0000"/>
          <w:sz w:val="22"/>
          <w:szCs w:val="22"/>
        </w:rPr>
        <w:t>rare</w:t>
      </w:r>
      <w:r w:rsidR="00602A93">
        <w:rPr>
          <w:i w:val="0"/>
          <w:sz w:val="22"/>
          <w:szCs w:val="22"/>
        </w:rPr>
        <w:t xml:space="preserve"> patients developing these reactions, i</w:t>
      </w:r>
      <w:r w:rsidR="00F81692" w:rsidRPr="00660554">
        <w:rPr>
          <w:i w:val="0"/>
          <w:sz w:val="22"/>
          <w:szCs w:val="22"/>
        </w:rPr>
        <w:t xml:space="preserve">ron, </w:t>
      </w:r>
      <w:r w:rsidR="00602A93" w:rsidRPr="001B384A">
        <w:rPr>
          <w:i w:val="0"/>
          <w:color w:val="FF0000"/>
          <w:sz w:val="22"/>
          <w:szCs w:val="22"/>
        </w:rPr>
        <w:t>or</w:t>
      </w:r>
      <w:r w:rsidR="00F81692" w:rsidRPr="001B384A">
        <w:rPr>
          <w:i w:val="0"/>
          <w:color w:val="FF0000"/>
          <w:sz w:val="22"/>
          <w:szCs w:val="22"/>
        </w:rPr>
        <w:t xml:space="preserve"> other nanoparticle</w:t>
      </w:r>
      <w:r w:rsidR="00383985" w:rsidRPr="001B384A">
        <w:rPr>
          <w:i w:val="0"/>
          <w:color w:val="FF0000"/>
          <w:sz w:val="22"/>
          <w:szCs w:val="22"/>
        </w:rPr>
        <w:t>-based drug</w:t>
      </w:r>
      <w:r w:rsidR="001B384A" w:rsidRPr="001B384A">
        <w:rPr>
          <w:i w:val="0"/>
          <w:color w:val="FF0000"/>
          <w:sz w:val="22"/>
          <w:szCs w:val="22"/>
        </w:rPr>
        <w:t>s</w:t>
      </w:r>
      <w:r w:rsidR="00602A93" w:rsidRPr="001B384A">
        <w:rPr>
          <w:i w:val="0"/>
          <w:color w:val="FF0000"/>
          <w:sz w:val="22"/>
          <w:szCs w:val="22"/>
        </w:rPr>
        <w:t>,</w:t>
      </w:r>
      <w:r w:rsidR="00F81692" w:rsidRPr="00660554">
        <w:rPr>
          <w:i w:val="0"/>
          <w:sz w:val="22"/>
          <w:szCs w:val="22"/>
        </w:rPr>
        <w:t xml:space="preserve"> activate the C system (upper red arrow) that leads to the formation of anaphylatoxins.  Their blood level is determined by generation via this activation process, and by consumption, due partly to cellular uptake and partly to metabolism by carboxypeptidases (green).  The level in blood determines whether or not anaphylatoxin</w:t>
      </w:r>
      <w:r w:rsidR="00660554" w:rsidRPr="00660554">
        <w:rPr>
          <w:i w:val="0"/>
          <w:sz w:val="22"/>
          <w:szCs w:val="22"/>
        </w:rPr>
        <w:t>s trigger mast cells for release reaction (lower red arrow).  A scheme of C activation (left insert) and the main vasoactive mediators released from mast cells are also shown.</w:t>
      </w:r>
    </w:p>
    <w:p w14:paraId="32B7A69F" w14:textId="77777777" w:rsidR="009302CF" w:rsidRDefault="001016D3" w:rsidP="00F0058B">
      <w:r w:rsidRPr="00EA6750">
        <w:rPr>
          <w:szCs w:val="24"/>
          <w:shd w:val="clear" w:color="auto" w:fill="auto"/>
          <w:lang w:eastAsia="sv-SE"/>
        </w:rPr>
        <w:t xml:space="preserve">Fig </w:t>
      </w:r>
      <w:r w:rsidR="00756F9D">
        <w:rPr>
          <w:szCs w:val="24"/>
          <w:shd w:val="clear" w:color="auto" w:fill="auto"/>
          <w:lang w:eastAsia="sv-SE"/>
        </w:rPr>
        <w:t>1</w:t>
      </w:r>
      <w:r w:rsidRPr="00EA6750">
        <w:rPr>
          <w:szCs w:val="24"/>
          <w:shd w:val="clear" w:color="auto" w:fill="auto"/>
          <w:lang w:eastAsia="sv-SE"/>
        </w:rPr>
        <w:t xml:space="preserve"> also explains why </w:t>
      </w:r>
      <w:r>
        <w:rPr>
          <w:szCs w:val="24"/>
          <w:shd w:val="clear" w:color="auto" w:fill="auto"/>
          <w:lang w:eastAsia="sv-SE"/>
        </w:rPr>
        <w:t>a low</w:t>
      </w:r>
      <w:r w:rsidRPr="00EA6750">
        <w:rPr>
          <w:szCs w:val="24"/>
          <w:shd w:val="clear" w:color="auto" w:fill="auto"/>
          <w:lang w:eastAsia="sv-SE"/>
        </w:rPr>
        <w:t xml:space="preserve"> speed of infusion is an effective way </w:t>
      </w:r>
      <w:r>
        <w:rPr>
          <w:szCs w:val="24"/>
          <w:shd w:val="clear" w:color="auto" w:fill="auto"/>
          <w:lang w:eastAsia="sv-SE"/>
        </w:rPr>
        <w:t>of</w:t>
      </w:r>
      <w:r w:rsidRPr="00EA6750">
        <w:rPr>
          <w:szCs w:val="24"/>
          <w:shd w:val="clear" w:color="auto" w:fill="auto"/>
          <w:lang w:eastAsia="sv-SE"/>
        </w:rPr>
        <w:t xml:space="preserve"> prevent</w:t>
      </w:r>
      <w:r>
        <w:rPr>
          <w:szCs w:val="24"/>
          <w:shd w:val="clear" w:color="auto" w:fill="auto"/>
          <w:lang w:eastAsia="sv-SE"/>
        </w:rPr>
        <w:t>ing</w:t>
      </w:r>
      <w:r w:rsidRPr="00EA6750">
        <w:rPr>
          <w:szCs w:val="24"/>
          <w:shd w:val="clear" w:color="auto" w:fill="auto"/>
          <w:lang w:eastAsia="sv-SE"/>
        </w:rPr>
        <w:t xml:space="preserve"> HSRs to all reactogenic drugs, including IV-iron</w:t>
      </w:r>
      <w:r>
        <w:rPr>
          <w:szCs w:val="24"/>
          <w:shd w:val="clear" w:color="auto" w:fill="auto"/>
          <w:lang w:eastAsia="sv-SE"/>
        </w:rPr>
        <w:t xml:space="preserve">.  Namely, </w:t>
      </w:r>
      <w:r w:rsidRPr="00EA6750">
        <w:rPr>
          <w:szCs w:val="24"/>
          <w:shd w:val="clear" w:color="auto" w:fill="auto"/>
          <w:lang w:eastAsia="sv-SE"/>
        </w:rPr>
        <w:t xml:space="preserve">anaphylatoxin levels in blood are determined by their production </w:t>
      </w:r>
      <w:r>
        <w:rPr>
          <w:szCs w:val="24"/>
          <w:shd w:val="clear" w:color="auto" w:fill="auto"/>
          <w:lang w:eastAsia="sv-SE"/>
        </w:rPr>
        <w:t xml:space="preserve">via C activation </w:t>
      </w:r>
      <w:r w:rsidRPr="00EA6750">
        <w:rPr>
          <w:szCs w:val="24"/>
          <w:shd w:val="clear" w:color="auto" w:fill="auto"/>
          <w:lang w:eastAsia="sv-SE"/>
        </w:rPr>
        <w:t xml:space="preserve">and </w:t>
      </w:r>
      <w:r>
        <w:rPr>
          <w:szCs w:val="24"/>
          <w:shd w:val="clear" w:color="auto" w:fill="auto"/>
          <w:lang w:eastAsia="sv-SE"/>
        </w:rPr>
        <w:t xml:space="preserve">their </w:t>
      </w:r>
      <w:r w:rsidRPr="00EA6750">
        <w:rPr>
          <w:szCs w:val="24"/>
          <w:shd w:val="clear" w:color="auto" w:fill="auto"/>
          <w:lang w:eastAsia="sv-SE"/>
        </w:rPr>
        <w:t>clearance by carboxyp</w:t>
      </w:r>
      <w:r>
        <w:rPr>
          <w:szCs w:val="24"/>
          <w:shd w:val="clear" w:color="auto" w:fill="auto"/>
          <w:lang w:eastAsia="sv-SE"/>
        </w:rPr>
        <w:t>e</w:t>
      </w:r>
      <w:r w:rsidRPr="00EA6750">
        <w:rPr>
          <w:szCs w:val="24"/>
          <w:shd w:val="clear" w:color="auto" w:fill="auto"/>
          <w:lang w:eastAsia="sv-SE"/>
        </w:rPr>
        <w:t xml:space="preserve">ptidases </w:t>
      </w:r>
      <w:r w:rsidRPr="008770C7">
        <w:t xml:space="preserve">(Campbell </w:t>
      </w:r>
      <w:r w:rsidR="00EC06FF" w:rsidRPr="00EC06FF">
        <w:rPr>
          <w:i/>
        </w:rPr>
        <w:t>et al</w:t>
      </w:r>
      <w:r w:rsidRPr="008770C7">
        <w:rPr>
          <w:i/>
        </w:rPr>
        <w:t>.</w:t>
      </w:r>
      <w:r w:rsidRPr="008770C7">
        <w:t xml:space="preserve"> 2002) </w:t>
      </w:r>
      <w:r w:rsidRPr="00EA6750">
        <w:rPr>
          <w:szCs w:val="24"/>
          <w:shd w:val="clear" w:color="auto" w:fill="auto"/>
          <w:lang w:eastAsia="sv-SE"/>
        </w:rPr>
        <w:t xml:space="preserve">and </w:t>
      </w:r>
      <w:r>
        <w:rPr>
          <w:szCs w:val="24"/>
          <w:shd w:val="clear" w:color="auto" w:fill="auto"/>
          <w:lang w:eastAsia="sv-SE"/>
        </w:rPr>
        <w:t xml:space="preserve">by </w:t>
      </w:r>
      <w:r w:rsidRPr="00EA6750">
        <w:rPr>
          <w:szCs w:val="24"/>
          <w:shd w:val="clear" w:color="auto" w:fill="auto"/>
          <w:lang w:eastAsia="sv-SE"/>
        </w:rPr>
        <w:t>cellular uptake</w:t>
      </w:r>
      <w:r>
        <w:rPr>
          <w:szCs w:val="24"/>
          <w:shd w:val="clear" w:color="auto" w:fill="auto"/>
          <w:lang w:eastAsia="sv-SE"/>
        </w:rPr>
        <w:t xml:space="preserve">.  </w:t>
      </w:r>
      <w:r w:rsidRPr="008770C7">
        <w:t xml:space="preserve">Changes in </w:t>
      </w:r>
      <w:r>
        <w:t xml:space="preserve">this </w:t>
      </w:r>
      <w:r w:rsidRPr="008770C7">
        <w:t xml:space="preserve">equilibrium </w:t>
      </w:r>
      <w:r>
        <w:t>are</w:t>
      </w:r>
      <w:r w:rsidRPr="008770C7">
        <w:t xml:space="preserve"> fast, so that slow infusion may keep the concentration of anaphylatoxins below the </w:t>
      </w:r>
      <w:r>
        <w:t xml:space="preserve">HSR </w:t>
      </w:r>
      <w:r w:rsidRPr="008770C7">
        <w:t>threshold of allergy-mediatin</w:t>
      </w:r>
      <w:r w:rsidR="00C866FF">
        <w:t xml:space="preserve">g cells (mast cells, basophils </w:t>
      </w:r>
      <w:r w:rsidR="00C866FF" w:rsidRPr="008770C7">
        <w:t>and certain</w:t>
      </w:r>
      <w:r w:rsidRPr="008770C7">
        <w:t xml:space="preserve"> macrophages), </w:t>
      </w:r>
      <w:r>
        <w:t xml:space="preserve">while </w:t>
      </w:r>
      <w:r w:rsidRPr="008770C7">
        <w:t xml:space="preserve">massive and rapid exposure to a C activator may tip the balance towards anaphylatoxin build-up, and hence </w:t>
      </w:r>
      <w:r>
        <w:t xml:space="preserve">surpass the HSR threshold (Fig. </w:t>
      </w:r>
      <w:r w:rsidR="00756F9D">
        <w:t>1</w:t>
      </w:r>
      <w:r>
        <w:t>).</w:t>
      </w:r>
      <w:bookmarkEnd w:id="0"/>
      <w:bookmarkEnd w:id="2"/>
    </w:p>
    <w:p w14:paraId="4A7FFB27" w14:textId="77777777" w:rsidR="00964757" w:rsidRPr="00F0058B" w:rsidRDefault="00964757" w:rsidP="00F0058B">
      <w:pPr>
        <w:rPr>
          <w:szCs w:val="24"/>
          <w:shd w:val="clear" w:color="auto" w:fill="auto"/>
          <w:lang w:eastAsia="sv-SE"/>
        </w:rPr>
      </w:pPr>
    </w:p>
    <w:p w14:paraId="2AD2D565" w14:textId="77777777" w:rsidR="001016D3" w:rsidRPr="00E62B17" w:rsidRDefault="001016D3" w:rsidP="00EB6C28">
      <w:pPr>
        <w:pStyle w:val="Style1"/>
        <w:rPr>
          <w:sz w:val="28"/>
        </w:rPr>
      </w:pPr>
      <w:r w:rsidRPr="00E62B17">
        <w:rPr>
          <w:sz w:val="28"/>
        </w:rPr>
        <w:t>Conclusions and Outlook</w:t>
      </w:r>
    </w:p>
    <w:p w14:paraId="75514F71" w14:textId="77777777" w:rsidR="001016D3" w:rsidRDefault="001016D3" w:rsidP="00EB6C28">
      <w:r>
        <w:t xml:space="preserve">This paper represents an extension of a previous review of IV-iron reactions, which focused on </w:t>
      </w:r>
      <w:r w:rsidRPr="008770C7">
        <w:t>risk minimization and management</w:t>
      </w:r>
      <w:r>
        <w:t xml:space="preserve"> (Rampton </w:t>
      </w:r>
      <w:r w:rsidR="00EC06FF" w:rsidRPr="00EC06FF">
        <w:rPr>
          <w:i/>
        </w:rPr>
        <w:t>et al</w:t>
      </w:r>
      <w:r>
        <w:t>, 2014).  Here we compare the various features of IV-iron and other IV drug-induced HSRs in order to uncover possible clues regarding their mechanism and how to improve therapy.  O</w:t>
      </w:r>
      <w:r w:rsidRPr="008770C7">
        <w:t xml:space="preserve">ur particular scientific question was: “What </w:t>
      </w:r>
      <w:r>
        <w:t>is the</w:t>
      </w:r>
      <w:r w:rsidRPr="008770C7">
        <w:t xml:space="preserve"> available direct </w:t>
      </w:r>
      <w:r>
        <w:t>or</w:t>
      </w:r>
      <w:r w:rsidRPr="008770C7">
        <w:t xml:space="preserve"> indirect evidence for shared molecular mechanisms</w:t>
      </w:r>
      <w:r>
        <w:t xml:space="preserve"> that have implications for the prevention and treatment of HSRs in general, and of IV-iron reactions, in particular?”  The comparison focused </w:t>
      </w:r>
      <w:r w:rsidRPr="008770C7">
        <w:t>on the symptoms</w:t>
      </w:r>
      <w:r>
        <w:t>,</w:t>
      </w:r>
      <w:r w:rsidRPr="008770C7">
        <w:t xml:space="preserve"> prevalence, </w:t>
      </w:r>
      <w:r>
        <w:t xml:space="preserve">kinetics, duration, tolerance and </w:t>
      </w:r>
      <w:r w:rsidRPr="008770C7">
        <w:t>molecular mechanisms of HSRs</w:t>
      </w:r>
      <w:r>
        <w:t xml:space="preserve"> and came to the conclusion that C activation and subsequent anaphylatoxin production may be a common underlying cause for many HSRs to IV drugs, including IV-iron.  The review addresses the difficulties of nomenclature and clinical studies in allergy research, and points out that the treatment of IV-iron reactions is based on empiric </w:t>
      </w:r>
      <w:r w:rsidRPr="008770C7">
        <w:t>traditions</w:t>
      </w:r>
      <w:r>
        <w:t xml:space="preserve"> rather than clinical research.  It is also emphasized that, as further evidence becomes available, the recent</w:t>
      </w:r>
      <w:r w:rsidRPr="008770C7">
        <w:t xml:space="preserve"> EMA </w:t>
      </w:r>
      <w:r>
        <w:t>guidance on</w:t>
      </w:r>
      <w:r w:rsidRPr="008770C7">
        <w:t xml:space="preserve"> risk minimization for </w:t>
      </w:r>
      <w:r>
        <w:t>very rare IV-</w:t>
      </w:r>
      <w:r w:rsidRPr="008770C7">
        <w:t xml:space="preserve">iron </w:t>
      </w:r>
      <w:r>
        <w:t>reactions should be extended or revised with recommendations for specific and effective new interventions against HSRs to iron, for example by using slow infusion-based LRPs that are known to attenuate CARPA.  In this context, the anaphylatoxin concept may spur many more C-focused desensitization or treatment ideas.</w:t>
      </w:r>
    </w:p>
    <w:p w14:paraId="4B619464" w14:textId="77777777" w:rsidR="006155A8" w:rsidRPr="00AE20D3" w:rsidRDefault="006155A8" w:rsidP="006155A8">
      <w:pPr>
        <w:pStyle w:val="Style1"/>
        <w:rPr>
          <w:szCs w:val="24"/>
          <w:lang w:val="en-GB"/>
        </w:rPr>
      </w:pPr>
    </w:p>
    <w:p w14:paraId="7986A15B" w14:textId="77777777" w:rsidR="00004D01" w:rsidRPr="00964757" w:rsidRDefault="00004D01" w:rsidP="00004D01">
      <w:pPr>
        <w:pStyle w:val="Style1"/>
        <w:rPr>
          <w:szCs w:val="24"/>
          <w:lang w:val="en-GB"/>
        </w:rPr>
      </w:pPr>
      <w:r w:rsidRPr="00964757">
        <w:rPr>
          <w:szCs w:val="24"/>
          <w:lang w:val="en-GB"/>
        </w:rPr>
        <w:t>Acknowledgments</w:t>
      </w:r>
    </w:p>
    <w:p w14:paraId="3CE928E1" w14:textId="77777777" w:rsidR="00004D01" w:rsidRPr="00964757" w:rsidRDefault="00004D01" w:rsidP="00004D01">
      <w:pPr>
        <w:autoSpaceDE w:val="0"/>
        <w:autoSpaceDN w:val="0"/>
        <w:adjustRightInd w:val="0"/>
        <w:spacing w:after="0"/>
        <w:rPr>
          <w:color w:val="auto"/>
          <w:szCs w:val="24"/>
          <w:shd w:val="clear" w:color="auto" w:fill="auto"/>
          <w:lang w:eastAsia="en-GB"/>
        </w:rPr>
      </w:pPr>
      <w:r w:rsidRPr="00964757">
        <w:rPr>
          <w:color w:val="auto"/>
          <w:szCs w:val="24"/>
          <w:shd w:val="clear" w:color="auto" w:fill="auto"/>
          <w:lang w:eastAsia="en-GB"/>
        </w:rPr>
        <w:t>Financial support from the following grantors are acknowledged: JS, TÁMOP-4.2.1.B to the “Applied Materials and Nanotechnology Center of Excel</w:t>
      </w:r>
      <w:r w:rsidR="007E310C" w:rsidRPr="00964757">
        <w:rPr>
          <w:color w:val="auto"/>
          <w:szCs w:val="24"/>
          <w:shd w:val="clear" w:color="auto" w:fill="auto"/>
          <w:lang w:eastAsia="en-GB"/>
        </w:rPr>
        <w:t>l</w:t>
      </w:r>
      <w:r w:rsidRPr="00964757">
        <w:rPr>
          <w:color w:val="auto"/>
          <w:szCs w:val="24"/>
          <w:shd w:val="clear" w:color="auto" w:fill="auto"/>
          <w:lang w:eastAsia="en-GB"/>
        </w:rPr>
        <w:t xml:space="preserve">ence”, Miskolc University; EU project FP7-NMP-2012-LARGE-6-309820 (NanoAthero); Gedeon Richter NyRT, to the Nanomedicine Research and Education Center at Semmelweis University.  </w:t>
      </w:r>
    </w:p>
    <w:p w14:paraId="57D20D4A" w14:textId="77777777" w:rsidR="00004D01" w:rsidRPr="00964757" w:rsidRDefault="00004D01" w:rsidP="00004D01">
      <w:pPr>
        <w:autoSpaceDE w:val="0"/>
        <w:autoSpaceDN w:val="0"/>
        <w:adjustRightInd w:val="0"/>
        <w:spacing w:after="0"/>
        <w:rPr>
          <w:color w:val="auto"/>
          <w:szCs w:val="24"/>
          <w:shd w:val="clear" w:color="auto" w:fill="auto"/>
          <w:lang w:eastAsia="en-GB"/>
        </w:rPr>
      </w:pPr>
    </w:p>
    <w:p w14:paraId="3054A9A6" w14:textId="77777777" w:rsidR="00004D01" w:rsidRPr="00964757" w:rsidRDefault="00004D01" w:rsidP="00004D01">
      <w:pPr>
        <w:pStyle w:val="Style1"/>
        <w:rPr>
          <w:szCs w:val="24"/>
          <w:lang w:val="en-GB"/>
        </w:rPr>
      </w:pPr>
    </w:p>
    <w:p w14:paraId="3AFD1002" w14:textId="77777777" w:rsidR="00004D01" w:rsidRPr="00964757" w:rsidRDefault="00004D01" w:rsidP="00004D01">
      <w:pPr>
        <w:pStyle w:val="Style1"/>
        <w:rPr>
          <w:szCs w:val="24"/>
          <w:lang w:val="en-GB"/>
        </w:rPr>
      </w:pPr>
      <w:r w:rsidRPr="00964757">
        <w:rPr>
          <w:szCs w:val="24"/>
          <w:lang w:val="en-GB"/>
        </w:rPr>
        <w:t>Potential Conflict of Interest</w:t>
      </w:r>
    </w:p>
    <w:p w14:paraId="195BFA3D" w14:textId="77777777" w:rsidR="00004D01" w:rsidRPr="00004D01" w:rsidRDefault="00004D01" w:rsidP="00004D01">
      <w:pPr>
        <w:autoSpaceDE w:val="0"/>
        <w:autoSpaceDN w:val="0"/>
        <w:adjustRightInd w:val="0"/>
        <w:spacing w:after="0"/>
        <w:rPr>
          <w:color w:val="auto"/>
          <w:szCs w:val="24"/>
          <w:shd w:val="clear" w:color="auto" w:fill="auto"/>
          <w:lang w:eastAsia="en-GB"/>
        </w:rPr>
      </w:pPr>
      <w:r w:rsidRPr="00964757">
        <w:rPr>
          <w:color w:val="auto"/>
          <w:szCs w:val="24"/>
          <w:shd w:val="clear" w:color="auto" w:fill="auto"/>
          <w:lang w:eastAsia="en-GB"/>
        </w:rPr>
        <w:t>JS and SF have nothing to disclose; MH reports minor speaker honoraria from Vifor, Takeda and Pharmacosmos;</w:t>
      </w:r>
      <w:r w:rsidRPr="00964757">
        <w:rPr>
          <w:szCs w:val="24"/>
        </w:rPr>
        <w:t xml:space="preserve"> SH </w:t>
      </w:r>
      <w:r w:rsidRPr="00964757">
        <w:rPr>
          <w:color w:val="auto"/>
          <w:szCs w:val="24"/>
          <w:shd w:val="clear" w:color="auto" w:fill="auto"/>
          <w:lang w:eastAsia="en-GB"/>
        </w:rPr>
        <w:t>reports personal fees from Pharmacosmos and Vifor, FL reports memberships of advisory boards and/or speaker invitations at symposia supported by Abbvie, Amgen, Pharmacosmos, Keryx, Rockwell, Sanofi, Takeda, Vifor-Fresenius Pharma; SP reports personal fees from Pharmacosmos, outside the submitted work; D</w:t>
      </w:r>
      <w:r w:rsidR="007E310C" w:rsidRPr="00964757">
        <w:rPr>
          <w:color w:val="auto"/>
          <w:szCs w:val="24"/>
          <w:shd w:val="clear" w:color="auto" w:fill="auto"/>
          <w:lang w:eastAsia="en-GB"/>
        </w:rPr>
        <w:t>S</w:t>
      </w:r>
      <w:r w:rsidRPr="00964757">
        <w:rPr>
          <w:color w:val="auto"/>
          <w:szCs w:val="24"/>
          <w:shd w:val="clear" w:color="auto" w:fill="auto"/>
          <w:lang w:eastAsia="en-GB"/>
        </w:rPr>
        <w:t>R reports personal fees from Pharmacosmos and Vifor outside the submitted work; GW reports personal fees from Pharmacosmos and Vifor outside the submitted work; JF reports personal fees from Pharmacosmos outside the submitted work.</w:t>
      </w:r>
    </w:p>
    <w:p w14:paraId="789BC402" w14:textId="77777777" w:rsidR="001016D3" w:rsidRDefault="001016D3">
      <w:pPr>
        <w:spacing w:after="0"/>
      </w:pPr>
      <w:r>
        <w:br w:type="page"/>
      </w:r>
    </w:p>
    <w:p w14:paraId="0ABB765E" w14:textId="77777777" w:rsidR="001016D3" w:rsidRPr="003860F3" w:rsidRDefault="001016D3" w:rsidP="00EB6C28">
      <w:pPr>
        <w:pStyle w:val="Style1"/>
        <w:rPr>
          <w:sz w:val="28"/>
          <w:lang w:val="da-DK"/>
        </w:rPr>
      </w:pPr>
      <w:r w:rsidRPr="003860F3">
        <w:rPr>
          <w:sz w:val="28"/>
          <w:lang w:val="da-DK"/>
        </w:rPr>
        <w:t>References</w:t>
      </w:r>
    </w:p>
    <w:p w14:paraId="54B8AE84" w14:textId="77777777" w:rsidR="001016D3" w:rsidRDefault="001016D3" w:rsidP="0080065B">
      <w:pPr>
        <w:pStyle w:val="ListParagraph"/>
        <w:numPr>
          <w:ilvl w:val="0"/>
          <w:numId w:val="10"/>
        </w:numPr>
      </w:pPr>
      <w:r w:rsidRPr="0080065B">
        <w:rPr>
          <w:lang w:val="da-DK"/>
        </w:rPr>
        <w:t>Adkinson NFJ, Essayan D, Gruchalla R, Haggerty H</w:t>
      </w:r>
      <w:r w:rsidR="000F3EDF" w:rsidRPr="0080065B">
        <w:rPr>
          <w:lang w:val="da-DK"/>
        </w:rPr>
        <w:t xml:space="preserve">, Kawabata T, Sandler JD, </w:t>
      </w:r>
      <w:r w:rsidR="00EC06FF" w:rsidRPr="0080065B">
        <w:rPr>
          <w:i/>
          <w:lang w:val="da-DK"/>
        </w:rPr>
        <w:t>et al</w:t>
      </w:r>
      <w:r w:rsidRPr="0080065B">
        <w:rPr>
          <w:lang w:val="da-DK"/>
        </w:rPr>
        <w:t xml:space="preserve"> </w:t>
      </w:r>
      <w:r w:rsidRPr="00AE20D3">
        <w:rPr>
          <w:lang w:val="da-DK"/>
        </w:rPr>
        <w:t xml:space="preserve">(2002). </w:t>
      </w:r>
      <w:r w:rsidRPr="008770C7">
        <w:t>Task force report: future research needs for the prevention and management of immune-mediated drug hypersensitivity reactions. J Allergy Clin Immunol. 109: S461-478.</w:t>
      </w:r>
    </w:p>
    <w:p w14:paraId="4C0BEAE6" w14:textId="77777777" w:rsidR="001016D3" w:rsidRPr="008770C7" w:rsidRDefault="000F3EDF" w:rsidP="0080065B">
      <w:pPr>
        <w:pStyle w:val="ListParagraph"/>
        <w:numPr>
          <w:ilvl w:val="0"/>
          <w:numId w:val="10"/>
        </w:numPr>
      </w:pPr>
      <w:r>
        <w:rPr>
          <w:noProof/>
        </w:rPr>
        <w:t>Altman LC, Petersen PE</w:t>
      </w:r>
      <w:r w:rsidR="001016D3" w:rsidRPr="008770C7">
        <w:rPr>
          <w:noProof/>
        </w:rPr>
        <w:t xml:space="preserve"> </w:t>
      </w:r>
      <w:r>
        <w:rPr>
          <w:noProof/>
        </w:rPr>
        <w:t xml:space="preserve">(1988).  </w:t>
      </w:r>
      <w:r w:rsidR="001016D3" w:rsidRPr="008770C7">
        <w:rPr>
          <w:noProof/>
        </w:rPr>
        <w:t>Successful prevention of an anaphylactoid reaction to iron dext</w:t>
      </w:r>
      <w:r>
        <w:rPr>
          <w:noProof/>
        </w:rPr>
        <w:t>ran. Ann Intern Med; 109</w:t>
      </w:r>
      <w:r w:rsidR="001016D3" w:rsidRPr="008770C7">
        <w:rPr>
          <w:noProof/>
        </w:rPr>
        <w:t>:346-347.</w:t>
      </w:r>
    </w:p>
    <w:p w14:paraId="003F5772" w14:textId="77777777" w:rsidR="001016D3" w:rsidRPr="008770C7" w:rsidRDefault="001016D3" w:rsidP="0080065B">
      <w:pPr>
        <w:pStyle w:val="ListParagraph"/>
        <w:numPr>
          <w:ilvl w:val="0"/>
          <w:numId w:val="10"/>
        </w:numPr>
      </w:pPr>
      <w:r w:rsidRPr="0080065B">
        <w:rPr>
          <w:rStyle w:val="Emphasis"/>
          <w:bCs/>
          <w:i w:val="0"/>
          <w:iCs w:val="0"/>
        </w:rPr>
        <w:t>Alving CR</w:t>
      </w:r>
      <w:r w:rsidRPr="008770C7">
        <w:t xml:space="preserve">, </w:t>
      </w:r>
      <w:r w:rsidRPr="0080065B">
        <w:rPr>
          <w:rStyle w:val="Emphasis"/>
          <w:bCs/>
          <w:i w:val="0"/>
          <w:iCs w:val="0"/>
        </w:rPr>
        <w:t>Kinsky SC</w:t>
      </w:r>
      <w:r w:rsidRPr="008770C7">
        <w:t>, Haxby JA,</w:t>
      </w:r>
      <w:r w:rsidRPr="008770C7">
        <w:rPr>
          <w:rStyle w:val="apple-converted-space"/>
        </w:rPr>
        <w:t xml:space="preserve"> </w:t>
      </w:r>
      <w:r w:rsidRPr="0080065B">
        <w:rPr>
          <w:rStyle w:val="Emphasis"/>
          <w:bCs/>
          <w:i w:val="0"/>
          <w:iCs w:val="0"/>
        </w:rPr>
        <w:t>Kinsky</w:t>
      </w:r>
      <w:r w:rsidRPr="008770C7">
        <w:rPr>
          <w:rStyle w:val="apple-converted-space"/>
        </w:rPr>
        <w:t xml:space="preserve"> </w:t>
      </w:r>
      <w:r w:rsidRPr="008770C7">
        <w:t>CB (1969)</w:t>
      </w:r>
      <w:r w:rsidR="000F3EDF">
        <w:t>.</w:t>
      </w:r>
      <w:r w:rsidRPr="008770C7">
        <w:t xml:space="preserve"> </w:t>
      </w:r>
      <w:r w:rsidRPr="0080065B">
        <w:rPr>
          <w:rStyle w:val="Emphasis"/>
          <w:bCs/>
          <w:i w:val="0"/>
          <w:iCs w:val="0"/>
        </w:rPr>
        <w:t>Antibody binding and complement fixation by a liposomal model membrane</w:t>
      </w:r>
      <w:r w:rsidR="000F3EDF" w:rsidRPr="0080065B">
        <w:rPr>
          <w:rStyle w:val="Emphasis"/>
          <w:bCs/>
          <w:i w:val="0"/>
          <w:iCs w:val="0"/>
        </w:rPr>
        <w:t>.</w:t>
      </w:r>
      <w:r w:rsidRPr="008770C7">
        <w:t xml:space="preserve"> Biochemistry 8: 1582-1587.</w:t>
      </w:r>
    </w:p>
    <w:p w14:paraId="190A5462" w14:textId="77777777" w:rsidR="001016D3" w:rsidRPr="008770C7" w:rsidRDefault="001016D3" w:rsidP="0080065B">
      <w:pPr>
        <w:pStyle w:val="ListParagraph"/>
        <w:numPr>
          <w:ilvl w:val="0"/>
          <w:numId w:val="10"/>
        </w:numPr>
      </w:pPr>
      <w:r w:rsidRPr="008770C7">
        <w:t>Ansell G, Tweedie MC, West CR, Evans P, Couch L (1980). The current status of reactions to intravenous contrast media. Invest Radiol. 15(6 Suppl): S32-S39.</w:t>
      </w:r>
    </w:p>
    <w:p w14:paraId="3C53EE46" w14:textId="77777777" w:rsidR="001016D3" w:rsidRPr="008770C7" w:rsidRDefault="001016D3" w:rsidP="0080065B">
      <w:pPr>
        <w:pStyle w:val="ListParagraph"/>
        <w:numPr>
          <w:ilvl w:val="0"/>
          <w:numId w:val="10"/>
        </w:numPr>
      </w:pPr>
      <w:r w:rsidRPr="008770C7">
        <w:t>Auerbach M, Ballard H (2010). Clinical use of intravenous iron: administration, efficacy, and safety. Hematology.</w:t>
      </w:r>
      <w:r w:rsidR="000F3EDF">
        <w:t xml:space="preserve"> </w:t>
      </w:r>
      <w:r w:rsidR="00B5323C">
        <w:t>Am</w:t>
      </w:r>
      <w:r w:rsidR="000F3EDF">
        <w:t xml:space="preserve"> </w:t>
      </w:r>
      <w:r w:rsidR="00B5323C">
        <w:t>Soc</w:t>
      </w:r>
      <w:r w:rsidR="000F3EDF">
        <w:t xml:space="preserve"> </w:t>
      </w:r>
      <w:r w:rsidR="00B5323C">
        <w:t>Hematol</w:t>
      </w:r>
      <w:r w:rsidR="000F3EDF">
        <w:t xml:space="preserve"> </w:t>
      </w:r>
      <w:r w:rsidR="00B5323C">
        <w:t>Educ</w:t>
      </w:r>
      <w:r w:rsidR="000F3EDF">
        <w:t xml:space="preserve"> </w:t>
      </w:r>
      <w:r w:rsidR="00B5323C">
        <w:t>Program</w:t>
      </w:r>
      <w:r w:rsidR="000F3EDF">
        <w:t xml:space="preserve"> 2010: </w:t>
      </w:r>
      <w:r w:rsidRPr="008770C7">
        <w:t>338-347.</w:t>
      </w:r>
    </w:p>
    <w:p w14:paraId="7AE8BDE3" w14:textId="77777777" w:rsidR="001016D3" w:rsidRPr="008770C7" w:rsidRDefault="001016D3" w:rsidP="0080065B">
      <w:pPr>
        <w:pStyle w:val="ListParagraph"/>
        <w:numPr>
          <w:ilvl w:val="0"/>
          <w:numId w:val="10"/>
        </w:numPr>
      </w:pPr>
      <w:r w:rsidRPr="008770C7">
        <w:t>Auerbach M, Chaudhry M, Goldman H, Ballard H (1998). Value of methylprednisolone in prevention of the arthralgia-myalgia syndrome associated with the total dose infusion of iron dextran: a double blind randomiz</w:t>
      </w:r>
      <w:r w:rsidR="00B5323C">
        <w:t>ed trial. J</w:t>
      </w:r>
      <w:r w:rsidR="000F3EDF">
        <w:t xml:space="preserve"> </w:t>
      </w:r>
      <w:r w:rsidR="00B5323C">
        <w:t>Lab Clin</w:t>
      </w:r>
      <w:r w:rsidR="000F3EDF">
        <w:t xml:space="preserve"> </w:t>
      </w:r>
      <w:r w:rsidR="00B5323C">
        <w:t>Med</w:t>
      </w:r>
      <w:r w:rsidR="000F3EDF">
        <w:t xml:space="preserve"> 131</w:t>
      </w:r>
      <w:r w:rsidRPr="008770C7">
        <w:t>: 257-260.</w:t>
      </w:r>
    </w:p>
    <w:p w14:paraId="4DC9A44D" w14:textId="77777777" w:rsidR="001016D3" w:rsidRPr="008770C7" w:rsidRDefault="001016D3" w:rsidP="0080065B">
      <w:pPr>
        <w:pStyle w:val="ListParagraph"/>
        <w:numPr>
          <w:ilvl w:val="0"/>
          <w:numId w:val="10"/>
        </w:numPr>
      </w:pPr>
      <w:r w:rsidRPr="008770C7">
        <w:t>Auerbach M, Pappadakis JA, Bahrain H, Auerbach SA, Ballard H, Dahl NV (2011). Safety and efficacy of rapidly administered (one hour) one gram of low molecular weight iron dextran (INFeD) for the treatment of iron defici</w:t>
      </w:r>
      <w:r w:rsidR="000F3EDF">
        <w:t>ent anemia. Am J Hem</w:t>
      </w:r>
      <w:r w:rsidR="00B5323C">
        <w:t>atol</w:t>
      </w:r>
      <w:r w:rsidR="000F3EDF">
        <w:t xml:space="preserve"> 86</w:t>
      </w:r>
      <w:r w:rsidRPr="008770C7">
        <w:t>: 860-862.</w:t>
      </w:r>
    </w:p>
    <w:p w14:paraId="4BB0FB1C" w14:textId="77777777" w:rsidR="001016D3" w:rsidRPr="008770C7" w:rsidRDefault="001016D3" w:rsidP="0080065B">
      <w:pPr>
        <w:pStyle w:val="ListParagraph"/>
        <w:numPr>
          <w:ilvl w:val="0"/>
          <w:numId w:val="10"/>
        </w:numPr>
      </w:pPr>
      <w:r w:rsidRPr="008770C7">
        <w:t>Bailie GR (2012). Comparison of rates of reported adverse events associated with i.v. iron products in the United State</w:t>
      </w:r>
      <w:r w:rsidR="00B5323C">
        <w:t>s. Am J Health Syst Pharm 69</w:t>
      </w:r>
      <w:r w:rsidRPr="008770C7">
        <w:t>: 310-320.</w:t>
      </w:r>
    </w:p>
    <w:p w14:paraId="5F9E328B" w14:textId="77777777" w:rsidR="001016D3" w:rsidRPr="008770C7" w:rsidRDefault="001016D3" w:rsidP="0080065B">
      <w:pPr>
        <w:pStyle w:val="ListParagraph"/>
        <w:numPr>
          <w:ilvl w:val="0"/>
          <w:numId w:val="10"/>
        </w:numPr>
      </w:pPr>
      <w:r w:rsidRPr="008770C7">
        <w:t>Bailie GR, Clark JA, Lane CE, Lane PL (2005). Hypersensitivity reactions and deaths associated with intrave</w:t>
      </w:r>
      <w:r w:rsidR="00B5323C">
        <w:t>nous iron preparations. Nephrol Dial Transplant. 20</w:t>
      </w:r>
      <w:r w:rsidRPr="008770C7">
        <w:t>: 1443-1449.</w:t>
      </w:r>
    </w:p>
    <w:p w14:paraId="5305E260" w14:textId="77777777" w:rsidR="001016D3" w:rsidRPr="008770C7" w:rsidRDefault="001016D3" w:rsidP="0080065B">
      <w:pPr>
        <w:pStyle w:val="ListParagraph"/>
        <w:numPr>
          <w:ilvl w:val="0"/>
          <w:numId w:val="10"/>
        </w:numPr>
      </w:pPr>
      <w:r w:rsidRPr="0080065B">
        <w:t xml:space="preserve">Bailie GR, Horl WH, Verhoef JJ (2011). </w:t>
      </w:r>
      <w:r w:rsidRPr="008770C7">
        <w:t>Differences in spontaneously reported hypersensitivity and serious adverse events for intravenous iron preparations: comparison of Europe and North Ameri</w:t>
      </w:r>
      <w:r w:rsidR="00B5323C">
        <w:t>ca. Arzneimittelforschung. 61</w:t>
      </w:r>
      <w:r w:rsidRPr="008770C7">
        <w:t>: 267-275.</w:t>
      </w:r>
    </w:p>
    <w:p w14:paraId="23CA5B96" w14:textId="77777777" w:rsidR="001016D3" w:rsidRPr="008770C7" w:rsidRDefault="001016D3" w:rsidP="0080065B">
      <w:pPr>
        <w:pStyle w:val="ListParagraph"/>
        <w:numPr>
          <w:ilvl w:val="0"/>
          <w:numId w:val="10"/>
        </w:numPr>
      </w:pPr>
      <w:r w:rsidRPr="008770C7">
        <w:t xml:space="preserve">Bailie GR, Verhoef JJ (2012). Differences in the reporting rates of serious allergic adverse events from intravenous iron </w:t>
      </w:r>
      <w:r w:rsidR="00B5323C">
        <w:t>by country and population. Clin Adv Hematol Oncol 10</w:t>
      </w:r>
      <w:r w:rsidRPr="008770C7">
        <w:t>: 101-108.</w:t>
      </w:r>
    </w:p>
    <w:p w14:paraId="252853C0" w14:textId="77777777" w:rsidR="001016D3" w:rsidRDefault="001016D3" w:rsidP="0080065B">
      <w:pPr>
        <w:pStyle w:val="ListParagraph"/>
        <w:numPr>
          <w:ilvl w:val="0"/>
          <w:numId w:val="10"/>
        </w:numPr>
      </w:pPr>
      <w:r w:rsidRPr="008770C7">
        <w:t>Ba</w:t>
      </w:r>
      <w:r w:rsidR="00B5323C">
        <w:t xml:space="preserve">ller D, Huchzermeyer H (1989). </w:t>
      </w:r>
      <w:r w:rsidRPr="008770C7">
        <w:t>Histamine effects on the heart with special reference to cardiac side effects of</w:t>
      </w:r>
      <w:r w:rsidR="00B5323C">
        <w:t xml:space="preserve"> H2 receptor antagonists. Klin Wochenschr 67</w:t>
      </w:r>
      <w:r w:rsidRPr="008770C7">
        <w:t>: 743-755.</w:t>
      </w:r>
    </w:p>
    <w:p w14:paraId="1721A074" w14:textId="77777777" w:rsidR="001016D3" w:rsidRDefault="001016D3" w:rsidP="0080065B">
      <w:pPr>
        <w:pStyle w:val="ListParagraph"/>
        <w:numPr>
          <w:ilvl w:val="0"/>
          <w:numId w:val="10"/>
        </w:numPr>
      </w:pPr>
      <w:r w:rsidRPr="00063A4B">
        <w:t>Banda NK, Mehta G, Chao Y, Wang G, Inturi S, F</w:t>
      </w:r>
      <w:r>
        <w:t xml:space="preserve">ossati-Jimack L, Botto M, Wu L, </w:t>
      </w:r>
      <w:r w:rsidRPr="00063A4B">
        <w:t>Mog</w:t>
      </w:r>
      <w:r w:rsidR="00B5323C">
        <w:t>himi S, Simberg D</w:t>
      </w:r>
      <w:r>
        <w:t xml:space="preserve"> (2014)</w:t>
      </w:r>
      <w:r w:rsidR="00B5323C">
        <w:t>.</w:t>
      </w:r>
      <w:r>
        <w:t xml:space="preserve"> </w:t>
      </w:r>
      <w:r w:rsidRPr="00063A4B">
        <w:t>Mechanisms of complement activation by dextra</w:t>
      </w:r>
      <w:r>
        <w:t xml:space="preserve">n-coated superparamagnetic iron </w:t>
      </w:r>
      <w:r w:rsidRPr="00063A4B">
        <w:t>oxide (SPIO) nanowor</w:t>
      </w:r>
      <w:r>
        <w:t>ms in mouse versus human serum. Part Fibre Toxicol.11</w:t>
      </w:r>
      <w:r w:rsidRPr="00063A4B">
        <w:t>:64</w:t>
      </w:r>
      <w:r>
        <w:t>-74</w:t>
      </w:r>
    </w:p>
    <w:p w14:paraId="0015425C" w14:textId="77777777" w:rsidR="001016D3" w:rsidRDefault="001016D3" w:rsidP="0080065B">
      <w:pPr>
        <w:pStyle w:val="ListParagraph"/>
        <w:numPr>
          <w:ilvl w:val="0"/>
          <w:numId w:val="10"/>
        </w:numPr>
      </w:pPr>
      <w:r w:rsidRPr="0080065B">
        <w:rPr>
          <w:shd w:val="clear" w:color="auto" w:fill="auto"/>
          <w:lang w:eastAsia="sv-SE"/>
        </w:rPr>
        <w:t>Baranyi L, Szebeni J, Savay S, Bodo M, Basta M, Bentley TB, Bunger R, Alving CR (2003)</w:t>
      </w:r>
      <w:r w:rsidR="00B5323C" w:rsidRPr="0080065B">
        <w:rPr>
          <w:shd w:val="clear" w:color="auto" w:fill="auto"/>
          <w:lang w:eastAsia="sv-SE"/>
        </w:rPr>
        <w:t>.</w:t>
      </w:r>
      <w:r w:rsidRPr="0080065B">
        <w:rPr>
          <w:shd w:val="clear" w:color="auto" w:fill="auto"/>
          <w:lang w:eastAsia="sv-SE"/>
        </w:rPr>
        <w:t xml:space="preserve"> Complement-dependent shock and tissue damage induced by intravenous injection of cholesterol-enriched liposomes in r</w:t>
      </w:r>
      <w:r w:rsidR="00B5323C" w:rsidRPr="0080065B">
        <w:rPr>
          <w:shd w:val="clear" w:color="auto" w:fill="auto"/>
          <w:lang w:eastAsia="sv-SE"/>
        </w:rPr>
        <w:t>ats. J Applied Res</w:t>
      </w:r>
      <w:r w:rsidRPr="0080065B">
        <w:rPr>
          <w:shd w:val="clear" w:color="auto" w:fill="auto"/>
          <w:lang w:eastAsia="sv-SE"/>
        </w:rPr>
        <w:t xml:space="preserve"> 3: </w:t>
      </w:r>
      <w:r w:rsidR="004B3E33" w:rsidRPr="0080065B">
        <w:rPr>
          <w:shd w:val="clear" w:color="auto" w:fill="auto"/>
          <w:lang w:eastAsia="sv-SE"/>
        </w:rPr>
        <w:t>221-231</w:t>
      </w:r>
      <w:r w:rsidR="00B5323C" w:rsidRPr="0080065B">
        <w:rPr>
          <w:shd w:val="clear" w:color="auto" w:fill="auto"/>
          <w:lang w:eastAsia="sv-SE"/>
        </w:rPr>
        <w:t>.</w:t>
      </w:r>
      <w:r w:rsidRPr="00E163B6">
        <w:t xml:space="preserve"> </w:t>
      </w:r>
    </w:p>
    <w:p w14:paraId="4A9F6A16" w14:textId="77777777" w:rsidR="001016D3" w:rsidRDefault="001016D3" w:rsidP="0080065B">
      <w:pPr>
        <w:pStyle w:val="ListParagraph"/>
        <w:numPr>
          <w:ilvl w:val="0"/>
          <w:numId w:val="10"/>
        </w:numPr>
      </w:pPr>
      <w:r w:rsidRPr="008770C7">
        <w:t>Bircher AJ, Auerbach M</w:t>
      </w:r>
      <w:r w:rsidR="00F111AA">
        <w:t xml:space="preserve"> (2014). Hypersensitivity from intravenous iron p</w:t>
      </w:r>
      <w:r w:rsidRPr="008770C7">
        <w:t>roducts. Immunol Allergy Clin North Am</w:t>
      </w:r>
      <w:r w:rsidR="00F111AA">
        <w:t>.</w:t>
      </w:r>
      <w:r w:rsidRPr="008770C7">
        <w:t xml:space="preserve"> 34: 707-723.</w:t>
      </w:r>
    </w:p>
    <w:p w14:paraId="60B59D57" w14:textId="77777777" w:rsidR="001016D3" w:rsidRPr="008770C7" w:rsidRDefault="001016D3" w:rsidP="0080065B">
      <w:pPr>
        <w:pStyle w:val="ListParagraph"/>
        <w:numPr>
          <w:ilvl w:val="0"/>
          <w:numId w:val="10"/>
        </w:numPr>
      </w:pPr>
      <w:r w:rsidRPr="008770C7">
        <w:t>Black N (1996). Why we need observational studies to evaluate the effectivene</w:t>
      </w:r>
      <w:r w:rsidR="00F111AA">
        <w:t>ss of health care. BMJ. 312</w:t>
      </w:r>
      <w:r w:rsidRPr="008770C7">
        <w:t>: 1215-1218.</w:t>
      </w:r>
    </w:p>
    <w:p w14:paraId="326207CB" w14:textId="77777777" w:rsidR="001016D3" w:rsidRPr="008770C7" w:rsidRDefault="00F111AA" w:rsidP="0080065B">
      <w:pPr>
        <w:pStyle w:val="ListParagraph"/>
        <w:numPr>
          <w:ilvl w:val="0"/>
          <w:numId w:val="10"/>
        </w:numPr>
      </w:pPr>
      <w:r>
        <w:t>Brannagan TH</w:t>
      </w:r>
      <w:r w:rsidR="001016D3" w:rsidRPr="008770C7">
        <w:t xml:space="preserve"> (2002). Intravenous gammaglobulin (IVIg) for treatment of CIDP and related immune-mediated neuropathies. Neurology. 59</w:t>
      </w:r>
      <w:r>
        <w:t xml:space="preserve"> (</w:t>
      </w:r>
      <w:r w:rsidR="001016D3" w:rsidRPr="008770C7">
        <w:t>Suppl 6): S33-S40.</w:t>
      </w:r>
    </w:p>
    <w:p w14:paraId="75D1D3E1" w14:textId="77777777" w:rsidR="001016D3" w:rsidRPr="008770C7" w:rsidRDefault="001016D3" w:rsidP="0080065B">
      <w:pPr>
        <w:pStyle w:val="ListParagraph"/>
        <w:numPr>
          <w:ilvl w:val="0"/>
          <w:numId w:val="10"/>
        </w:numPr>
      </w:pPr>
      <w:r w:rsidRPr="008770C7">
        <w:t>Brennan PJ, Rodriguez BT, Hsu FI, Sloane DE, Castells MC (2009). Hypersensitivity reactions to mAbs: 105 desensitizations in 23 patients, from evaluation to treatment. J Allergy Clin Immuno</w:t>
      </w:r>
      <w:r w:rsidR="00F111AA">
        <w:t>l. 124</w:t>
      </w:r>
      <w:r w:rsidRPr="008770C7">
        <w:t>: 1259-1266.</w:t>
      </w:r>
    </w:p>
    <w:p w14:paraId="0DBA567A" w14:textId="77777777" w:rsidR="001016D3" w:rsidRPr="008770C7" w:rsidRDefault="001016D3" w:rsidP="0080065B">
      <w:pPr>
        <w:pStyle w:val="ListParagraph"/>
        <w:numPr>
          <w:ilvl w:val="0"/>
          <w:numId w:val="10"/>
        </w:numPr>
      </w:pPr>
      <w:r w:rsidRPr="008770C7">
        <w:t>Brown SG (2004). Clinical features and severity grading of anaphylaxis</w:t>
      </w:r>
      <w:r w:rsidR="00F111AA">
        <w:t>. J Allergy Clin Immunol. 114</w:t>
      </w:r>
      <w:r w:rsidRPr="008770C7">
        <w:t>: 371-376.</w:t>
      </w:r>
    </w:p>
    <w:p w14:paraId="409443FD" w14:textId="77777777" w:rsidR="001016D3" w:rsidRPr="008770C7" w:rsidRDefault="00F111AA" w:rsidP="0080065B">
      <w:pPr>
        <w:pStyle w:val="ListParagraph"/>
        <w:numPr>
          <w:ilvl w:val="0"/>
          <w:numId w:val="10"/>
        </w:numPr>
      </w:pPr>
      <w:r w:rsidRPr="0080065B">
        <w:rPr>
          <w:lang w:val="da-DK"/>
        </w:rPr>
        <w:t xml:space="preserve">Campbell WD, </w:t>
      </w:r>
      <w:r w:rsidR="001016D3" w:rsidRPr="0080065B">
        <w:rPr>
          <w:lang w:val="da-DK"/>
        </w:rPr>
        <w:t>Lazoura</w:t>
      </w:r>
      <w:r w:rsidRPr="0080065B">
        <w:rPr>
          <w:lang w:val="da-DK"/>
        </w:rPr>
        <w:t xml:space="preserve"> E </w:t>
      </w:r>
      <w:r w:rsidR="00EC06FF" w:rsidRPr="0080065B">
        <w:rPr>
          <w:i/>
          <w:lang w:val="da-DK"/>
        </w:rPr>
        <w:t>et al</w:t>
      </w:r>
      <w:r w:rsidRPr="0080065B">
        <w:rPr>
          <w:lang w:val="da-DK"/>
        </w:rPr>
        <w:t xml:space="preserve"> </w:t>
      </w:r>
      <w:r w:rsidRPr="00AE20D3">
        <w:rPr>
          <w:lang w:val="da-DK"/>
        </w:rPr>
        <w:t xml:space="preserve">2002. </w:t>
      </w:r>
      <w:r w:rsidR="001016D3" w:rsidRPr="008770C7">
        <w:t xml:space="preserve">Inactivation of C3a and C5a octapeptides by carboxypeptidase R and carboxypeptidase N. </w:t>
      </w:r>
      <w:r w:rsidR="001016D3" w:rsidRPr="0080065B">
        <w:rPr>
          <w:u w:val="single"/>
        </w:rPr>
        <w:t>Microbiol Immunol</w:t>
      </w:r>
      <w:r w:rsidR="001016D3" w:rsidRPr="008770C7">
        <w:t xml:space="preserve"> 46: 131-134.</w:t>
      </w:r>
    </w:p>
    <w:p w14:paraId="13010732" w14:textId="77777777" w:rsidR="001016D3" w:rsidRPr="0080065B" w:rsidRDefault="001016D3" w:rsidP="0080065B">
      <w:pPr>
        <w:pStyle w:val="ListParagraph"/>
        <w:numPr>
          <w:ilvl w:val="0"/>
          <w:numId w:val="10"/>
        </w:numPr>
        <w:rPr>
          <w:lang w:val="fr-FR"/>
        </w:rPr>
      </w:pPr>
      <w:r w:rsidRPr="008770C7">
        <w:t xml:space="preserve">Castells MC (2008). Hypersensitivity to antineoplastic agents. </w:t>
      </w:r>
      <w:r w:rsidR="00F111AA" w:rsidRPr="0080065B">
        <w:rPr>
          <w:lang w:val="fr-FR"/>
        </w:rPr>
        <w:t>Curr. Pharm. Des. 14</w:t>
      </w:r>
      <w:r w:rsidRPr="0080065B">
        <w:rPr>
          <w:lang w:val="fr-FR"/>
        </w:rPr>
        <w:t>: 2892-2901.</w:t>
      </w:r>
    </w:p>
    <w:p w14:paraId="297DCB2D" w14:textId="77777777" w:rsidR="001016D3" w:rsidRPr="008770C7" w:rsidRDefault="001016D3" w:rsidP="0080065B">
      <w:pPr>
        <w:pStyle w:val="ListParagraph"/>
        <w:numPr>
          <w:ilvl w:val="0"/>
          <w:numId w:val="10"/>
        </w:numPr>
      </w:pPr>
      <w:r w:rsidRPr="0080065B">
        <w:rPr>
          <w:lang w:val="fr-FR"/>
        </w:rPr>
        <w:t>Castells MC, Tennant NM, Sloane DE, Hsu</w:t>
      </w:r>
      <w:r w:rsidR="00F111AA" w:rsidRPr="0080065B">
        <w:rPr>
          <w:lang w:val="fr-FR"/>
        </w:rPr>
        <w:t xml:space="preserve"> FI, Barrett NA, Hong DI, </w:t>
      </w:r>
      <w:r w:rsidR="00EC06FF" w:rsidRPr="0080065B">
        <w:rPr>
          <w:i/>
          <w:lang w:val="fr-FR"/>
        </w:rPr>
        <w:t>et al</w:t>
      </w:r>
      <w:r w:rsidRPr="0080065B">
        <w:rPr>
          <w:lang w:val="fr-FR"/>
        </w:rPr>
        <w:t xml:space="preserve"> </w:t>
      </w:r>
      <w:r w:rsidRPr="008770C7">
        <w:t>(2008). Hypersensitivity reactions to chemotherapy: outcomes and safety of rapid desensitization in 413 cases</w:t>
      </w:r>
      <w:r w:rsidR="00F111AA">
        <w:t>. J Allergy Clin Immunol. 122</w:t>
      </w:r>
      <w:r w:rsidRPr="008770C7">
        <w:t>: 574-580.</w:t>
      </w:r>
    </w:p>
    <w:p w14:paraId="59E85829" w14:textId="77777777" w:rsidR="001016D3" w:rsidRDefault="001016D3" w:rsidP="0080065B">
      <w:pPr>
        <w:pStyle w:val="ListParagraph"/>
        <w:numPr>
          <w:ilvl w:val="0"/>
          <w:numId w:val="10"/>
        </w:numPr>
      </w:pPr>
      <w:r w:rsidRPr="008770C7">
        <w:t xml:space="preserve">Chanan-Khan A, Szebeni J, Savay S, Liebes </w:t>
      </w:r>
      <w:r w:rsidR="00F111AA">
        <w:t xml:space="preserve">L, Rafique NM, Alving CR, </w:t>
      </w:r>
      <w:r w:rsidR="00EC06FF" w:rsidRPr="0080065B">
        <w:rPr>
          <w:i/>
        </w:rPr>
        <w:t>et al</w:t>
      </w:r>
      <w:r w:rsidRPr="008770C7">
        <w:t xml:space="preserve"> (2003). Complement activation following first exposure to pegylated liposomal doxorubicin (Doxil): possible role in hypersensitivity reactions. Ann Oncol 14: 1430-1437.</w:t>
      </w:r>
    </w:p>
    <w:p w14:paraId="418AFC6E" w14:textId="77777777" w:rsidR="001016D3" w:rsidRPr="008770C7" w:rsidRDefault="001016D3" w:rsidP="0080065B">
      <w:pPr>
        <w:pStyle w:val="ListParagraph"/>
        <w:numPr>
          <w:ilvl w:val="0"/>
          <w:numId w:val="10"/>
        </w:numPr>
      </w:pPr>
      <w:r w:rsidRPr="008770C7">
        <w:t>Chertow GM, Mason PD, Vaage-Nilsen O, Ahlmen J (2004). On the relative safety of parenteral iron formulations. Nephr</w:t>
      </w:r>
      <w:r w:rsidR="00F111AA">
        <w:t>ol Dial Transplant 19</w:t>
      </w:r>
      <w:r w:rsidRPr="008770C7">
        <w:t>: 1571-1575.</w:t>
      </w:r>
    </w:p>
    <w:p w14:paraId="0C02D225" w14:textId="77777777" w:rsidR="001016D3" w:rsidRPr="008770C7" w:rsidRDefault="001016D3" w:rsidP="0080065B">
      <w:pPr>
        <w:pStyle w:val="ListParagraph"/>
        <w:numPr>
          <w:ilvl w:val="0"/>
          <w:numId w:val="10"/>
        </w:numPr>
      </w:pPr>
      <w:r w:rsidRPr="008770C7">
        <w:t>Chertow GM, Mason PD, Vaage-Nilsen O, Ahlmen J (2006). Update on adverse drug events associate</w:t>
      </w:r>
      <w:r w:rsidR="00F111AA">
        <w:t>d with parenteral iron. Nephrol</w:t>
      </w:r>
      <w:r w:rsidR="001705BF">
        <w:t xml:space="preserve"> </w:t>
      </w:r>
      <w:r w:rsidR="00F111AA">
        <w:t>Dial</w:t>
      </w:r>
      <w:r w:rsidR="001705BF">
        <w:t xml:space="preserve"> </w:t>
      </w:r>
      <w:r w:rsidR="00F111AA">
        <w:t>Transplant 21</w:t>
      </w:r>
      <w:r w:rsidRPr="008770C7">
        <w:t>: 378-382.</w:t>
      </w:r>
    </w:p>
    <w:p w14:paraId="6344822C" w14:textId="77777777" w:rsidR="001016D3" w:rsidRPr="0080065B" w:rsidRDefault="001016D3" w:rsidP="0080065B">
      <w:pPr>
        <w:pStyle w:val="ListParagraph"/>
        <w:numPr>
          <w:ilvl w:val="0"/>
          <w:numId w:val="10"/>
        </w:numPr>
      </w:pPr>
      <w:r w:rsidRPr="008770C7">
        <w:t xml:space="preserve">Coombs RRA, Gell PGH (1968). Classification of allergic reactions responsible for drug hypersensitivity reactions. In: Coombs RRA, Gell PGH (eds). Clinical Aspects of Immunology, 2nd </w:t>
      </w:r>
      <w:r w:rsidRPr="0080065B">
        <w:t xml:space="preserve">Ed., </w:t>
      </w:r>
      <w:r w:rsidR="00E44386" w:rsidRPr="0080065B">
        <w:t xml:space="preserve">edn. Philadelphia, PA: Davis. </w:t>
      </w:r>
      <w:r w:rsidRPr="0080065B">
        <w:t>pp 575-596.</w:t>
      </w:r>
    </w:p>
    <w:p w14:paraId="5642BCAE" w14:textId="77777777" w:rsidR="00E44386" w:rsidRPr="0080065B" w:rsidRDefault="001705BF" w:rsidP="0080065B">
      <w:pPr>
        <w:pStyle w:val="ListParagraph"/>
        <w:numPr>
          <w:ilvl w:val="0"/>
          <w:numId w:val="10"/>
        </w:numPr>
      </w:pPr>
      <w:r w:rsidRPr="0080065B">
        <w:t>Critchly JU</w:t>
      </w:r>
      <w:r w:rsidR="001016D3" w:rsidRPr="0080065B">
        <w:t>, Dunbar Y</w:t>
      </w:r>
      <w:r w:rsidRPr="0080065B">
        <w:t>E</w:t>
      </w:r>
      <w:r w:rsidR="001016D3" w:rsidRPr="0080065B">
        <w:t xml:space="preserve"> (2007). Adverse events associated with intravenous iron infusion (low-molecular-weight iron dextran and iron sucrose): a syst</w:t>
      </w:r>
      <w:r w:rsidR="00F111AA" w:rsidRPr="0080065B">
        <w:t>ematic review. TATM 9</w:t>
      </w:r>
      <w:r w:rsidR="00E44386" w:rsidRPr="0080065B">
        <w:t>: 8-36.</w:t>
      </w:r>
    </w:p>
    <w:p w14:paraId="594D523A" w14:textId="77777777" w:rsidR="00E44386" w:rsidRPr="0080065B" w:rsidRDefault="00E44386" w:rsidP="0080065B">
      <w:pPr>
        <w:pStyle w:val="ListParagraph"/>
        <w:numPr>
          <w:ilvl w:val="0"/>
          <w:numId w:val="10"/>
        </w:numPr>
      </w:pPr>
      <w:r w:rsidRPr="0080065B">
        <w:rPr>
          <w:shd w:val="clear" w:color="auto" w:fill="auto"/>
          <w:lang w:eastAsia="en-GB"/>
        </w:rPr>
        <w:t>Demoly P, Lebel B, Messaad D, Sahla H, Rongier M, Daures JP</w:t>
      </w:r>
      <w:r w:rsidRPr="0080065B">
        <w:t xml:space="preserve">, </w:t>
      </w:r>
      <w:r w:rsidRPr="0080065B">
        <w:rPr>
          <w:shd w:val="clear" w:color="auto" w:fill="auto"/>
          <w:lang w:eastAsia="en-GB"/>
        </w:rPr>
        <w:t xml:space="preserve">Godard P, Bousquet J </w:t>
      </w:r>
      <w:r w:rsidR="00F111AA" w:rsidRPr="0080065B">
        <w:rPr>
          <w:shd w:val="clear" w:color="auto" w:fill="auto"/>
          <w:lang w:eastAsia="en-GB"/>
        </w:rPr>
        <w:t>(</w:t>
      </w:r>
      <w:r w:rsidRPr="0080065B">
        <w:rPr>
          <w:shd w:val="clear" w:color="auto" w:fill="auto"/>
          <w:lang w:eastAsia="en-GB"/>
        </w:rPr>
        <w:t>1999</w:t>
      </w:r>
      <w:r w:rsidR="00F111AA" w:rsidRPr="0080065B">
        <w:rPr>
          <w:shd w:val="clear" w:color="auto" w:fill="auto"/>
          <w:lang w:eastAsia="en-GB"/>
        </w:rPr>
        <w:t>)</w:t>
      </w:r>
      <w:r w:rsidRPr="0080065B">
        <w:rPr>
          <w:shd w:val="clear" w:color="auto" w:fill="auto"/>
          <w:lang w:eastAsia="en-GB"/>
        </w:rPr>
        <w:t>. Predictive capacity of histamine release for the diagnosis of drug allergy. Allergy 54:</w:t>
      </w:r>
      <w:r w:rsidR="00F111AA" w:rsidRPr="0080065B">
        <w:rPr>
          <w:shd w:val="clear" w:color="auto" w:fill="auto"/>
          <w:lang w:eastAsia="en-GB"/>
        </w:rPr>
        <w:t xml:space="preserve"> </w:t>
      </w:r>
      <w:r w:rsidRPr="0080065B">
        <w:rPr>
          <w:shd w:val="clear" w:color="auto" w:fill="auto"/>
          <w:lang w:eastAsia="en-GB"/>
        </w:rPr>
        <w:t>500–506</w:t>
      </w:r>
      <w:r w:rsidRPr="0080065B">
        <w:t xml:space="preserve">. </w:t>
      </w:r>
    </w:p>
    <w:p w14:paraId="06584DF2" w14:textId="77777777" w:rsidR="001016D3" w:rsidRPr="008770C7" w:rsidRDefault="001016D3" w:rsidP="0080065B">
      <w:pPr>
        <w:pStyle w:val="ListParagraph"/>
        <w:numPr>
          <w:ilvl w:val="0"/>
          <w:numId w:val="10"/>
        </w:numPr>
      </w:pPr>
      <w:r w:rsidRPr="00AE20D3">
        <w:rPr>
          <w:lang w:val="da-DK"/>
        </w:rPr>
        <w:t xml:space="preserve">Descotes J, Choquet-Kastylevsky G (2001). </w:t>
      </w:r>
      <w:r w:rsidRPr="008770C7">
        <w:t>Gell and Coombs's classification: is it still valid? Toxicology 158: 43-49.</w:t>
      </w:r>
    </w:p>
    <w:p w14:paraId="04B2EC59" w14:textId="77777777" w:rsidR="001016D3" w:rsidRPr="008770C7" w:rsidRDefault="001016D3" w:rsidP="0080065B">
      <w:pPr>
        <w:pStyle w:val="ListParagraph"/>
        <w:numPr>
          <w:ilvl w:val="0"/>
          <w:numId w:val="10"/>
        </w:numPr>
      </w:pPr>
      <w:r w:rsidRPr="008770C7">
        <w:t>Dézsi L, Fülöp T, Mészáros T, Szénási G, Urbanics R, Vázsonyi</w:t>
      </w:r>
      <w:r>
        <w:t xml:space="preserve"> C, </w:t>
      </w:r>
      <w:r w:rsidR="00EC06FF" w:rsidRPr="0080065B">
        <w:rPr>
          <w:i/>
        </w:rPr>
        <w:t>et al</w:t>
      </w:r>
      <w:r>
        <w:t>. (2014). Features of complement activation-related pseudoallergy to liposomes with d</w:t>
      </w:r>
      <w:r w:rsidRPr="008770C7">
        <w:t>iffere</w:t>
      </w:r>
      <w:r>
        <w:t>nt surface c</w:t>
      </w:r>
      <w:r w:rsidRPr="008770C7">
        <w:t>harge and</w:t>
      </w:r>
      <w:r>
        <w:t xml:space="preserve"> PEGylation: Comparison of the porcine and rat r</w:t>
      </w:r>
      <w:r w:rsidR="00F111AA">
        <w:t>esponses. J Contr Release.</w:t>
      </w:r>
      <w:r w:rsidRPr="008770C7">
        <w:t xml:space="preserve"> </w:t>
      </w:r>
      <w:r w:rsidR="00FE61AA" w:rsidRPr="0080065B">
        <w:rPr>
          <w:color w:val="000000" w:themeColor="text1"/>
          <w:shd w:val="clear" w:color="auto" w:fill="auto"/>
          <w:lang w:eastAsia="en-GB"/>
        </w:rPr>
        <w:t>195: 2-10.</w:t>
      </w:r>
    </w:p>
    <w:p w14:paraId="5F21C4FB" w14:textId="77777777" w:rsidR="001016D3" w:rsidRPr="0080065B" w:rsidRDefault="00F6264C" w:rsidP="00F6264C">
      <w:pPr>
        <w:pStyle w:val="ListParagraph"/>
        <w:numPr>
          <w:ilvl w:val="0"/>
          <w:numId w:val="10"/>
        </w:numPr>
        <w:jc w:val="left"/>
        <w:rPr>
          <w:lang w:val="fr-FR"/>
        </w:rPr>
      </w:pPr>
      <w:r>
        <w:rPr>
          <w:lang w:val="fr-FR"/>
        </w:rPr>
        <w:t xml:space="preserve">Doxil </w:t>
      </w:r>
      <w:r w:rsidR="00FE61AA" w:rsidRPr="0080065B">
        <w:rPr>
          <w:lang w:val="fr-FR"/>
        </w:rPr>
        <w:t xml:space="preserve">prescribing information, </w:t>
      </w:r>
      <w:r w:rsidR="001016D3" w:rsidRPr="0080065B">
        <w:rPr>
          <w:lang w:val="fr-FR"/>
        </w:rPr>
        <w:t>Doxil.</w:t>
      </w:r>
      <w:r w:rsidR="00FE61AA" w:rsidRPr="0080065B">
        <w:rPr>
          <w:lang w:val="fr-FR"/>
        </w:rPr>
        <w:t xml:space="preserve">com (2014) </w:t>
      </w:r>
      <w:r w:rsidR="001016D3" w:rsidRPr="008770C7">
        <w:rPr>
          <w:lang w:eastAsia="sv-SE"/>
        </w:rPr>
        <w:t>https://www.doxil.com/shared/product/doxil/prescribing-information.pdf</w:t>
      </w:r>
    </w:p>
    <w:p w14:paraId="2D8EC94C" w14:textId="77777777" w:rsidR="001016D3" w:rsidRDefault="001016D3" w:rsidP="0080065B">
      <w:pPr>
        <w:pStyle w:val="ListParagraph"/>
        <w:numPr>
          <w:ilvl w:val="0"/>
          <w:numId w:val="10"/>
        </w:numPr>
      </w:pPr>
      <w:r w:rsidRPr="0080065B">
        <w:rPr>
          <w:lang w:val="fr-FR"/>
        </w:rPr>
        <w:t xml:space="preserve">Duburque C, Lelong J, Iacob R, Seddik M, </w:t>
      </w:r>
      <w:r w:rsidR="00FE61AA" w:rsidRPr="0080065B">
        <w:rPr>
          <w:lang w:val="fr-FR"/>
        </w:rPr>
        <w:t xml:space="preserve">Desreumaux P, Fournier C, </w:t>
      </w:r>
      <w:r w:rsidR="00EC06FF" w:rsidRPr="0080065B">
        <w:rPr>
          <w:i/>
          <w:lang w:val="fr-FR"/>
        </w:rPr>
        <w:t>et al</w:t>
      </w:r>
      <w:r w:rsidRPr="0080065B">
        <w:rPr>
          <w:lang w:val="fr-FR"/>
        </w:rPr>
        <w:t xml:space="preserve"> </w:t>
      </w:r>
      <w:r w:rsidRPr="008770C7">
        <w:t>(2006). Successful induction of tolerance to infliximab in patients with Crohn's disease and prior severe infusion reactions. Aliment</w:t>
      </w:r>
      <w:r w:rsidR="00FE61AA">
        <w:t xml:space="preserve"> Pharmacol Ther 24</w:t>
      </w:r>
      <w:r>
        <w:t>: 851-858.</w:t>
      </w:r>
    </w:p>
    <w:p w14:paraId="59CD229A" w14:textId="77777777" w:rsidR="001016D3" w:rsidRPr="0080065B" w:rsidRDefault="001016D3" w:rsidP="0080065B">
      <w:pPr>
        <w:pStyle w:val="ListParagraph"/>
        <w:numPr>
          <w:ilvl w:val="0"/>
          <w:numId w:val="10"/>
        </w:numPr>
        <w:rPr>
          <w:lang w:val="sv-SE"/>
        </w:rPr>
      </w:pPr>
      <w:r w:rsidRPr="008770C7">
        <w:t xml:space="preserve">EMA-CHMP (2013). New recommendations to manage risk of allergic reactions with intravenous iron-containing medicines Vol. </w:t>
      </w:r>
      <w:r w:rsidRPr="0080065B">
        <w:rPr>
          <w:lang w:val="sv-SE"/>
        </w:rPr>
        <w:t>EMA/579491/2013, pp 1-3: http://www.ema.europa.eu/docs/en_GB/document_library/Referrals_document/IV_iron_31/WC500151308.pdf.</w:t>
      </w:r>
    </w:p>
    <w:p w14:paraId="2DB55E6A" w14:textId="77777777" w:rsidR="001016D3" w:rsidRPr="008770C7" w:rsidRDefault="001016D3" w:rsidP="0080065B">
      <w:pPr>
        <w:pStyle w:val="ListParagraph"/>
        <w:numPr>
          <w:ilvl w:val="0"/>
          <w:numId w:val="10"/>
        </w:numPr>
      </w:pPr>
      <w:r w:rsidRPr="008770C7">
        <w:t>Enright T, Chua-Lim A, Duda E, Lim DT (1989). The role of a documented allergic profile as a risk factor for radiographic contrast media reactio</w:t>
      </w:r>
      <w:r w:rsidR="00FE61AA">
        <w:t>n. Ann Allergy 62</w:t>
      </w:r>
      <w:r>
        <w:t>: 302-305.</w:t>
      </w:r>
    </w:p>
    <w:p w14:paraId="21F3D4A3" w14:textId="77777777" w:rsidR="001016D3" w:rsidRPr="008770C7" w:rsidRDefault="001016D3" w:rsidP="0080065B">
      <w:pPr>
        <w:pStyle w:val="ListParagraph"/>
        <w:numPr>
          <w:ilvl w:val="0"/>
          <w:numId w:val="10"/>
        </w:numPr>
      </w:pPr>
      <w:r w:rsidRPr="008770C7">
        <w:t>Fishbane S (2003)</w:t>
      </w:r>
      <w:r w:rsidR="00FE61AA">
        <w:t xml:space="preserve">. Safety in iron management. Am J </w:t>
      </w:r>
      <w:r>
        <w:t>Kidney Dis. 41(5 Suppl): 18-26.</w:t>
      </w:r>
    </w:p>
    <w:p w14:paraId="223139AC" w14:textId="77777777" w:rsidR="001016D3" w:rsidRPr="008770C7" w:rsidRDefault="001016D3" w:rsidP="0080065B">
      <w:pPr>
        <w:pStyle w:val="ListParagraph"/>
        <w:numPr>
          <w:ilvl w:val="0"/>
          <w:numId w:val="10"/>
        </w:numPr>
      </w:pPr>
      <w:r w:rsidRPr="008770C7">
        <w:t>Fleming LW, Stewart WK, Parratt D (1992). Dextran antibodies, complement conversion and circulating immune complexes after intravenous iron dextran therapy in dialysed patients. Nephrol.Dial.Transplant. 7(1):</w:t>
      </w:r>
      <w:r>
        <w:t xml:space="preserve"> 35-39.</w:t>
      </w:r>
    </w:p>
    <w:p w14:paraId="557E47C3" w14:textId="77777777" w:rsidR="001016D3" w:rsidRDefault="001016D3" w:rsidP="0080065B">
      <w:pPr>
        <w:pStyle w:val="ListParagraph"/>
        <w:numPr>
          <w:ilvl w:val="0"/>
          <w:numId w:val="10"/>
        </w:numPr>
      </w:pPr>
      <w:r w:rsidRPr="008770C7">
        <w:t>Fletes R, Lazarus JM, Gage J, Chertow GM (2001). Suspected iron dextran-related adverse drug events in hemodialysis patients. A</w:t>
      </w:r>
      <w:r>
        <w:t>m.J.Kidney Dis. 37(4): 743-749.</w:t>
      </w:r>
    </w:p>
    <w:p w14:paraId="6893DA3B" w14:textId="77777777" w:rsidR="001016D3" w:rsidRPr="00631D1C" w:rsidRDefault="00ED3894" w:rsidP="0080065B">
      <w:pPr>
        <w:pStyle w:val="ListParagraph"/>
        <w:numPr>
          <w:ilvl w:val="0"/>
          <w:numId w:val="10"/>
        </w:numPr>
      </w:pPr>
      <w:hyperlink r:id="rId15" w:history="1">
        <w:r w:rsidR="001016D3" w:rsidRPr="00AE20D3">
          <w:rPr>
            <w:rStyle w:val="Hyperlink"/>
            <w:color w:val="000000"/>
            <w:u w:val="none"/>
            <w:lang w:val="da-DK"/>
          </w:rPr>
          <w:t>Fütterer S</w:t>
        </w:r>
      </w:hyperlink>
      <w:r w:rsidR="001016D3" w:rsidRPr="00AE20D3">
        <w:rPr>
          <w:lang w:val="da-DK"/>
        </w:rPr>
        <w:t>,</w:t>
      </w:r>
      <w:r w:rsidR="001016D3" w:rsidRPr="00AE20D3">
        <w:rPr>
          <w:rStyle w:val="apple-converted-space"/>
          <w:lang w:val="da-DK"/>
        </w:rPr>
        <w:t xml:space="preserve"> </w:t>
      </w:r>
      <w:hyperlink r:id="rId16" w:history="1">
        <w:r w:rsidR="001016D3" w:rsidRPr="00AE20D3">
          <w:rPr>
            <w:rStyle w:val="Hyperlink"/>
            <w:color w:val="000000"/>
            <w:u w:val="none"/>
            <w:lang w:val="da-DK"/>
          </w:rPr>
          <w:t>Andrusenko I</w:t>
        </w:r>
      </w:hyperlink>
      <w:r w:rsidR="001016D3" w:rsidRPr="00AE20D3">
        <w:rPr>
          <w:lang w:val="da-DK"/>
        </w:rPr>
        <w:t>,</w:t>
      </w:r>
      <w:r w:rsidR="001016D3" w:rsidRPr="00AE20D3">
        <w:rPr>
          <w:rStyle w:val="apple-converted-space"/>
          <w:lang w:val="da-DK"/>
        </w:rPr>
        <w:t xml:space="preserve"> </w:t>
      </w:r>
      <w:hyperlink r:id="rId17" w:history="1">
        <w:r w:rsidR="001016D3" w:rsidRPr="00AE20D3">
          <w:rPr>
            <w:rStyle w:val="Hyperlink"/>
            <w:color w:val="000000"/>
            <w:u w:val="none"/>
            <w:lang w:val="da-DK"/>
          </w:rPr>
          <w:t>Kolb U</w:t>
        </w:r>
      </w:hyperlink>
      <w:r w:rsidR="001016D3" w:rsidRPr="00AE20D3">
        <w:rPr>
          <w:lang w:val="da-DK"/>
        </w:rPr>
        <w:t>,</w:t>
      </w:r>
      <w:r w:rsidR="001016D3" w:rsidRPr="00AE20D3">
        <w:rPr>
          <w:rStyle w:val="apple-converted-space"/>
          <w:lang w:val="da-DK"/>
        </w:rPr>
        <w:t xml:space="preserve"> </w:t>
      </w:r>
      <w:hyperlink r:id="rId18" w:history="1">
        <w:r w:rsidR="001016D3" w:rsidRPr="00AE20D3">
          <w:rPr>
            <w:rStyle w:val="Hyperlink"/>
            <w:color w:val="000000"/>
            <w:u w:val="none"/>
            <w:lang w:val="da-DK"/>
          </w:rPr>
          <w:t>Hofmeister W</w:t>
        </w:r>
      </w:hyperlink>
      <w:r w:rsidR="001016D3" w:rsidRPr="00AE20D3">
        <w:rPr>
          <w:lang w:val="da-DK"/>
        </w:rPr>
        <w:t>,</w:t>
      </w:r>
      <w:r w:rsidR="001016D3" w:rsidRPr="00AE20D3">
        <w:rPr>
          <w:rStyle w:val="apple-converted-space"/>
          <w:lang w:val="da-DK"/>
        </w:rPr>
        <w:t xml:space="preserve"> </w:t>
      </w:r>
      <w:hyperlink r:id="rId19" w:history="1">
        <w:r w:rsidR="001016D3" w:rsidRPr="00AE20D3">
          <w:rPr>
            <w:rStyle w:val="Hyperlink"/>
            <w:color w:val="000000"/>
            <w:u w:val="none"/>
            <w:lang w:val="da-DK"/>
          </w:rPr>
          <w:t>Langguth P</w:t>
        </w:r>
      </w:hyperlink>
      <w:r w:rsidR="001016D3" w:rsidRPr="00AE20D3">
        <w:rPr>
          <w:lang w:val="da-DK"/>
        </w:rPr>
        <w:t xml:space="preserve">. </w:t>
      </w:r>
      <w:r w:rsidR="001016D3" w:rsidRPr="0080065B">
        <w:t xml:space="preserve">(2013) Structural characterization of iron oxide/hydroxide nanoparticles in nine different parenteral drugs for the treatment of iron deficiency anaemia by electron diffraction (ED) and X-ray powder diffraction (XRPD). </w:t>
      </w:r>
      <w:hyperlink r:id="rId20" w:tooltip="Journal of pharmaceutical and biomedical analysis." w:history="1">
        <w:r w:rsidR="001016D3" w:rsidRPr="0080065B">
          <w:rPr>
            <w:rStyle w:val="Hyperlink"/>
            <w:color w:val="000000"/>
            <w:u w:val="none"/>
          </w:rPr>
          <w:t>J Pharm Biomed Anal.</w:t>
        </w:r>
      </w:hyperlink>
      <w:r w:rsidR="001016D3" w:rsidRPr="0080065B">
        <w:t xml:space="preserve"> 86:151-60</w:t>
      </w:r>
    </w:p>
    <w:p w14:paraId="0B27F3D6" w14:textId="77777777" w:rsidR="001016D3" w:rsidRPr="008770C7" w:rsidRDefault="001016D3" w:rsidP="0080065B">
      <w:pPr>
        <w:pStyle w:val="ListParagraph"/>
        <w:numPr>
          <w:ilvl w:val="0"/>
          <w:numId w:val="10"/>
        </w:numPr>
      </w:pPr>
      <w:r w:rsidRPr="008770C7">
        <w:t>Gabizon AA, Muggia FM (1998). Initial clinical evaluation of pegylated liposomal doxorubicin in solid tumors. In: Woodle MC, G. S (eds). Long-Circulating Liposomes: Old Drugs, New Therapeutics, edn. A</w:t>
      </w:r>
      <w:r w:rsidR="0038502C">
        <w:t xml:space="preserve">ustin, TX: Landes Bioscience. </w:t>
      </w:r>
      <w:r w:rsidRPr="008770C7">
        <w:t>pp 155-174.</w:t>
      </w:r>
    </w:p>
    <w:p w14:paraId="16C20986" w14:textId="77777777" w:rsidR="001016D3" w:rsidRPr="008770C7" w:rsidRDefault="001016D3" w:rsidP="0080065B">
      <w:pPr>
        <w:pStyle w:val="ListParagraph"/>
        <w:numPr>
          <w:ilvl w:val="0"/>
          <w:numId w:val="10"/>
        </w:numPr>
      </w:pPr>
      <w:r w:rsidRPr="008770C7">
        <w:t>Gell PGH, Coombs RRA (1963). Classification of allergic reactions underlying disease. edn. Blackwell: Oxford.</w:t>
      </w:r>
    </w:p>
    <w:p w14:paraId="2CF416AC" w14:textId="77777777" w:rsidR="001016D3" w:rsidRPr="008770C7" w:rsidRDefault="001016D3" w:rsidP="0080065B">
      <w:pPr>
        <w:pStyle w:val="ListParagraph"/>
        <w:numPr>
          <w:ilvl w:val="0"/>
          <w:numId w:val="10"/>
        </w:numPr>
      </w:pPr>
      <w:r w:rsidRPr="008770C7">
        <w:t>Goss JE, Chambers CE, Heupler FA, Jr. (1995). Systemic anaphylactoid reactions to iodinated contrast media during cardiac catheterization procedures: guidelines for prevention, diagnosis, and treatment. Laboratory Performance Standards Committee of the Society for Cardiac Angiography and Interventions. Cathet.Cardiovasc.Diagn. 34(2): 99-104.</w:t>
      </w:r>
    </w:p>
    <w:p w14:paraId="2B1698C8" w14:textId="77777777" w:rsidR="001016D3" w:rsidRPr="008770C7" w:rsidRDefault="001016D3" w:rsidP="0080065B">
      <w:pPr>
        <w:pStyle w:val="ListParagraph"/>
        <w:numPr>
          <w:ilvl w:val="0"/>
          <w:numId w:val="10"/>
        </w:numPr>
        <w:rPr>
          <w:noProof/>
        </w:rPr>
      </w:pPr>
      <w:r w:rsidRPr="00AE20D3">
        <w:rPr>
          <w:noProof/>
          <w:lang w:val="da-DK"/>
        </w:rPr>
        <w:t xml:space="preserve">Hickman MA, Bernstein IL, Palascak JE. </w:t>
      </w:r>
      <w:r w:rsidRPr="008770C7">
        <w:rPr>
          <w:noProof/>
        </w:rPr>
        <w:t>Successful administration of iron dextran in a patient who experienced a life threatening reaction to intravenous iron dextran. Ann Allergy Asthma Immunol 2000; 84(2):262-263</w:t>
      </w:r>
    </w:p>
    <w:p w14:paraId="1CEFF166" w14:textId="77777777" w:rsidR="001016D3" w:rsidRPr="008770C7" w:rsidRDefault="001016D3" w:rsidP="0080065B">
      <w:pPr>
        <w:pStyle w:val="ListParagraph"/>
        <w:numPr>
          <w:ilvl w:val="0"/>
          <w:numId w:val="10"/>
        </w:numPr>
      </w:pPr>
      <w:r w:rsidRPr="008770C7">
        <w:t>Hong DI, Bankova L, Cahill KN, Kyin T, Castells MC (2012). Allergy to monoclonal antibodies: cutting-edge desensitization methods for cutting-edge therapies. Expert.Rev.Clin.Immunol. 8(1): 43-52.</w:t>
      </w:r>
    </w:p>
    <w:p w14:paraId="3C0C8722" w14:textId="77777777" w:rsidR="001016D3" w:rsidRPr="008770C7" w:rsidRDefault="001016D3" w:rsidP="0080065B">
      <w:pPr>
        <w:pStyle w:val="ListParagraph"/>
        <w:numPr>
          <w:ilvl w:val="0"/>
          <w:numId w:val="10"/>
        </w:numPr>
      </w:pPr>
      <w:r w:rsidRPr="008770C7">
        <w:t xml:space="preserve">Johansson SG, Bieber T, Dahl R, Friedmann PS, Lanier BQ, Lockey RF, </w:t>
      </w:r>
      <w:r w:rsidR="00EC06FF" w:rsidRPr="0080065B">
        <w:rPr>
          <w:i/>
        </w:rPr>
        <w:t>et al</w:t>
      </w:r>
      <w:r w:rsidRPr="008770C7">
        <w:t>. (2004). Revised nomenclature for allergy for global use: Report of the Nomenclature Review Committee of the World Allergy Organization, October 2003. J.Allergy Clin.Immunol. 113(5): 832-836.</w:t>
      </w:r>
    </w:p>
    <w:p w14:paraId="47A8FC37" w14:textId="77777777" w:rsidR="001016D3" w:rsidRPr="008770C7" w:rsidRDefault="001016D3" w:rsidP="0080065B">
      <w:pPr>
        <w:pStyle w:val="ListParagraph"/>
        <w:numPr>
          <w:ilvl w:val="0"/>
          <w:numId w:val="10"/>
        </w:numPr>
      </w:pPr>
      <w:r w:rsidRPr="008770C7">
        <w:t>Kdigo, Improving Global O, Anemia Work G (2012). KDIGO Clinical Practice Guideline for Anemia in Chronic Kidney Disease. Kidney inter., Suppl. 2012; 2: 279-335.</w:t>
      </w:r>
    </w:p>
    <w:p w14:paraId="38E0B428" w14:textId="77777777" w:rsidR="001016D3" w:rsidRPr="008770C7" w:rsidRDefault="001016D3" w:rsidP="0080065B">
      <w:pPr>
        <w:pStyle w:val="ListParagraph"/>
        <w:numPr>
          <w:ilvl w:val="0"/>
          <w:numId w:val="10"/>
        </w:numPr>
      </w:pPr>
      <w:r w:rsidRPr="0080065B">
        <w:rPr>
          <w:lang w:val="da-DK"/>
        </w:rPr>
        <w:t xml:space="preserve">Kelsall J, Rogers P, Galindo G, De Vera MA (2012). </w:t>
      </w:r>
      <w:r w:rsidRPr="008770C7">
        <w:t>Safety of infliximab treatment in patients with rheumatoid arthritis in a real-world clinical setting: description and evaluation of infusion reactions. J Rheumatol. 39(8): 1539-1545.</w:t>
      </w:r>
    </w:p>
    <w:p w14:paraId="1F6C24C5" w14:textId="77777777" w:rsidR="001016D3" w:rsidRPr="008770C7" w:rsidRDefault="001016D3" w:rsidP="0080065B">
      <w:pPr>
        <w:pStyle w:val="ListParagraph"/>
        <w:numPr>
          <w:ilvl w:val="0"/>
          <w:numId w:val="10"/>
        </w:numPr>
      </w:pPr>
      <w:r w:rsidRPr="008770C7">
        <w:t>Kemp SF, Lockey RF, Simons FE (2008). Epinephrine: the drug of choice for anaphylaxis. A statement of the World Allergy Organization. Allergy 63(8): 1061-1070.</w:t>
      </w:r>
    </w:p>
    <w:p w14:paraId="12CB62ED" w14:textId="77777777" w:rsidR="001016D3" w:rsidRPr="008770C7" w:rsidRDefault="001016D3" w:rsidP="0080065B">
      <w:pPr>
        <w:pStyle w:val="ListParagraph"/>
        <w:numPr>
          <w:ilvl w:val="0"/>
          <w:numId w:val="10"/>
        </w:numPr>
      </w:pPr>
      <w:r w:rsidRPr="0080065B">
        <w:rPr>
          <w:lang w:val="da-DK"/>
        </w:rPr>
        <w:t xml:space="preserve">Keshavarzian A, Mayer L, Salzberg B, Garone M, Finkelstein W, Cappa J, </w:t>
      </w:r>
      <w:r w:rsidR="00EC06FF" w:rsidRPr="0080065B">
        <w:rPr>
          <w:i/>
          <w:lang w:val="da-DK"/>
        </w:rPr>
        <w:t>et al</w:t>
      </w:r>
      <w:r w:rsidRPr="0080065B">
        <w:rPr>
          <w:lang w:val="da-DK"/>
        </w:rPr>
        <w:t xml:space="preserve">. </w:t>
      </w:r>
      <w:r w:rsidRPr="008770C7">
        <w:t>(2007). A multicenter retrospective experience of infliximab in Crohn's disease patients: infusion reaction rates and treatment persistency. Gastroenterol.Hepatol.(N.Y.). 3(5): 381-390.</w:t>
      </w:r>
    </w:p>
    <w:p w14:paraId="1F9ECAE8" w14:textId="77777777" w:rsidR="001016D3" w:rsidRPr="008770C7" w:rsidRDefault="001016D3" w:rsidP="0080065B">
      <w:pPr>
        <w:pStyle w:val="ListParagraph"/>
        <w:numPr>
          <w:ilvl w:val="0"/>
          <w:numId w:val="10"/>
        </w:numPr>
      </w:pPr>
      <w:r w:rsidRPr="008770C7">
        <w:t>Lalli AF (1974). Urographic contrast media reactions and anxiety. Radiology. 112(2): 267-271.</w:t>
      </w:r>
    </w:p>
    <w:p w14:paraId="29DAF196" w14:textId="77777777" w:rsidR="001016D3" w:rsidRPr="008770C7" w:rsidRDefault="001016D3" w:rsidP="0080065B">
      <w:pPr>
        <w:pStyle w:val="ListParagraph"/>
        <w:numPr>
          <w:ilvl w:val="0"/>
          <w:numId w:val="10"/>
        </w:numPr>
      </w:pPr>
      <w:r w:rsidRPr="0080065B">
        <w:t xml:space="preserve">Laman CA, Silverstein SB, Rodgers GM (2005). </w:t>
      </w:r>
      <w:r w:rsidRPr="008770C7">
        <w:t>Parenteral iron therapy: a single institution's experience over a 5-year period. J Natl.Compr.Canc.Netw. 3(6): 791-795.</w:t>
      </w:r>
    </w:p>
    <w:p w14:paraId="4F72D006" w14:textId="77777777" w:rsidR="001016D3" w:rsidRPr="008770C7" w:rsidRDefault="001016D3" w:rsidP="0080065B">
      <w:pPr>
        <w:pStyle w:val="ListParagraph"/>
        <w:numPr>
          <w:ilvl w:val="0"/>
          <w:numId w:val="10"/>
        </w:numPr>
      </w:pPr>
      <w:r w:rsidRPr="008770C7">
        <w:t>Lang DM, Alpern MB, Visintainer PF, Smith ST (1991). Increased risk for anaphylactoid reaction from contrast media in patients on beta-adrenergic blockers or with asthma. Ann.Intern.Med. 115(4): 270-276.</w:t>
      </w:r>
    </w:p>
    <w:p w14:paraId="02A3496E" w14:textId="77777777" w:rsidR="001016D3" w:rsidRPr="008770C7" w:rsidRDefault="001016D3" w:rsidP="0080065B">
      <w:pPr>
        <w:pStyle w:val="ListParagraph"/>
        <w:numPr>
          <w:ilvl w:val="0"/>
          <w:numId w:val="10"/>
        </w:numPr>
      </w:pPr>
      <w:r w:rsidRPr="008770C7">
        <w:t>Lazarou J, Pomeranz BH, Corey PN (1998). Incidence of adverse drug reactions in hospitalized patients.  A meta-analysis of prospective studies. JAMA 279: 1200-1205.</w:t>
      </w:r>
    </w:p>
    <w:p w14:paraId="4D44ACDE" w14:textId="77777777" w:rsidR="001016D3" w:rsidRPr="008770C7" w:rsidRDefault="001016D3" w:rsidP="0080065B">
      <w:pPr>
        <w:pStyle w:val="ListParagraph"/>
        <w:numPr>
          <w:ilvl w:val="0"/>
          <w:numId w:val="10"/>
        </w:numPr>
      </w:pPr>
      <w:r w:rsidRPr="0080065B">
        <w:rPr>
          <w:lang w:val="da-DK"/>
        </w:rPr>
        <w:t xml:space="preserve">Lequerre T, Vittecoq O, Klemmer N, Goeb V, Pouplin S, Menard JF, </w:t>
      </w:r>
      <w:r w:rsidR="00EC06FF" w:rsidRPr="0080065B">
        <w:rPr>
          <w:i/>
          <w:lang w:val="da-DK"/>
        </w:rPr>
        <w:t>et al</w:t>
      </w:r>
      <w:r w:rsidRPr="0080065B">
        <w:rPr>
          <w:lang w:val="da-DK"/>
        </w:rPr>
        <w:t xml:space="preserve">. </w:t>
      </w:r>
      <w:r w:rsidRPr="008770C7">
        <w:t>(2006). Management of infusion reactions to infliximab in patients with rheumatoid arthritis or spondyloarthritis: experience from an immunotherapy unit of rheumatology. J Rheumatol. 33(7): 1307-1314.</w:t>
      </w:r>
    </w:p>
    <w:p w14:paraId="5EA8AB6C" w14:textId="77777777" w:rsidR="001016D3" w:rsidRPr="008770C7" w:rsidRDefault="001016D3" w:rsidP="0080065B">
      <w:pPr>
        <w:pStyle w:val="ListParagraph"/>
        <w:numPr>
          <w:ilvl w:val="0"/>
          <w:numId w:val="10"/>
        </w:numPr>
      </w:pPr>
      <w:r w:rsidRPr="008770C7">
        <w:t>Lorenz W, Doenicke A (1985). H1 and H2 blockade: a prophylactic principle in anesthesia and surgery against histamine-release responses of any degree of severity: Part 1. N.Engl.Reg Allergy Proc. 6(1): 37-57.</w:t>
      </w:r>
    </w:p>
    <w:p w14:paraId="07C538DC" w14:textId="77777777" w:rsidR="001016D3" w:rsidRPr="008770C7" w:rsidRDefault="001016D3" w:rsidP="0080065B">
      <w:pPr>
        <w:pStyle w:val="ListParagraph"/>
        <w:numPr>
          <w:ilvl w:val="0"/>
          <w:numId w:val="10"/>
        </w:numPr>
      </w:pPr>
      <w:r w:rsidRPr="008770C7">
        <w:t>Mayer L, Young Y (2006). Infusion reactions and their management. Gastroenterol.Clin.North Am. 35(4): 857-866.</w:t>
      </w:r>
    </w:p>
    <w:p w14:paraId="3423159B" w14:textId="77777777" w:rsidR="001016D3" w:rsidRPr="008770C7" w:rsidRDefault="001016D3" w:rsidP="0080065B">
      <w:pPr>
        <w:pStyle w:val="ListParagraph"/>
        <w:numPr>
          <w:ilvl w:val="0"/>
          <w:numId w:val="10"/>
        </w:numPr>
      </w:pPr>
      <w:r w:rsidRPr="00AE20D3">
        <w:rPr>
          <w:lang w:val="da-DK"/>
        </w:rPr>
        <w:t xml:space="preserve">Merkel OM, Urbanics R, Bedőcs P, Rozsnyay Z, Rosivall L, Toth M, </w:t>
      </w:r>
      <w:r w:rsidR="00EC06FF" w:rsidRPr="00AE20D3">
        <w:rPr>
          <w:i/>
          <w:lang w:val="da-DK"/>
        </w:rPr>
        <w:t>et al</w:t>
      </w:r>
      <w:r w:rsidRPr="00AE20D3">
        <w:rPr>
          <w:lang w:val="da-DK"/>
        </w:rPr>
        <w:t xml:space="preserve">. </w:t>
      </w:r>
      <w:r w:rsidRPr="008770C7">
        <w:t>(2011). In vitro and in vivo complement activation and related anaphylactic effects associated with polyethylenimine and polyethylenimine-grafted-poly (ethylene glycol) block copolymer</w:t>
      </w:r>
      <w:r>
        <w:t>s. Biomaterials 32</w:t>
      </w:r>
      <w:r w:rsidRPr="008770C7">
        <w:t>: 4936-4942.</w:t>
      </w:r>
    </w:p>
    <w:p w14:paraId="4100B24D" w14:textId="77777777" w:rsidR="001016D3" w:rsidRPr="008770C7" w:rsidRDefault="001016D3" w:rsidP="0080065B">
      <w:pPr>
        <w:pStyle w:val="ListParagraph"/>
        <w:numPr>
          <w:ilvl w:val="0"/>
          <w:numId w:val="10"/>
        </w:numPr>
      </w:pPr>
      <w:r w:rsidRPr="008770C7">
        <w:t>Misbah SA, Chapel HM (1993). Adverse effects of intravenou</w:t>
      </w:r>
      <w:r>
        <w:t>s immunoglobulin. Drug Saf. 9: 254-262.</w:t>
      </w:r>
    </w:p>
    <w:p w14:paraId="52C50964" w14:textId="77777777" w:rsidR="001016D3" w:rsidRPr="0080065B" w:rsidRDefault="001016D3" w:rsidP="0080065B">
      <w:pPr>
        <w:pStyle w:val="ListParagraph"/>
        <w:numPr>
          <w:ilvl w:val="0"/>
          <w:numId w:val="10"/>
        </w:numPr>
      </w:pPr>
      <w:r w:rsidRPr="0080065B">
        <w:t xml:space="preserve">Monaghan MS, Glasco G, St John G, Bradsher RW, Olsen KM. (1994). Safe administration of iron dextran to a patient who reacted to the test dose. </w:t>
      </w:r>
      <w:r w:rsidRPr="0080065B">
        <w:rPr>
          <w:iCs/>
        </w:rPr>
        <w:t>South Med J</w:t>
      </w:r>
      <w:r w:rsidRPr="0080065B">
        <w:t>. 87:1010-2.</w:t>
      </w:r>
    </w:p>
    <w:p w14:paraId="6C061DDD" w14:textId="77777777" w:rsidR="001016D3" w:rsidRPr="008770C7" w:rsidRDefault="001016D3" w:rsidP="0080065B">
      <w:pPr>
        <w:pStyle w:val="ListParagraph"/>
        <w:numPr>
          <w:ilvl w:val="0"/>
          <w:numId w:val="10"/>
        </w:numPr>
      </w:pPr>
      <w:r w:rsidRPr="0080065B">
        <w:rPr>
          <w:lang w:val="da-DK"/>
        </w:rPr>
        <w:t xml:space="preserve">Nauta AJ, Engels F, Knippels LM, Garssen J, Nijkamp FP, Redegeld FA (2008). </w:t>
      </w:r>
      <w:r w:rsidRPr="008770C7">
        <w:t>Mechanisms of allergy and asthma. European Journal of Pharmacology 585: 354–360.</w:t>
      </w:r>
    </w:p>
    <w:p w14:paraId="41B48DA3" w14:textId="77777777" w:rsidR="001016D3" w:rsidRPr="008770C7" w:rsidRDefault="001016D3" w:rsidP="0080065B">
      <w:pPr>
        <w:pStyle w:val="ListParagraph"/>
        <w:numPr>
          <w:ilvl w:val="0"/>
          <w:numId w:val="10"/>
        </w:numPr>
      </w:pPr>
      <w:r w:rsidRPr="0080065B">
        <w:rPr>
          <w:lang w:val="da-DK"/>
        </w:rPr>
        <w:t xml:space="preserve">Novey HS, Pahl M, Haydik I, Vaziri ND (1994). </w:t>
      </w:r>
      <w:r w:rsidRPr="008770C7">
        <w:t>Immunologic studies of anaphylaxis to iron dextran in patients on renal dialysis. Ann.Allergy 72(3): 224-228.</w:t>
      </w:r>
    </w:p>
    <w:p w14:paraId="46AA84D9" w14:textId="77777777" w:rsidR="001016D3" w:rsidRPr="008770C7" w:rsidRDefault="001016D3" w:rsidP="0080065B">
      <w:pPr>
        <w:pStyle w:val="ListParagraph"/>
        <w:numPr>
          <w:ilvl w:val="0"/>
          <w:numId w:val="10"/>
        </w:numPr>
      </w:pPr>
      <w:r w:rsidRPr="008770C7">
        <w:t>Pichler WJ (2006). Adverse side-effects to biological agents. Allergy 61: 912-920.</w:t>
      </w:r>
    </w:p>
    <w:p w14:paraId="16B7627C" w14:textId="77777777" w:rsidR="001016D3" w:rsidRPr="008770C7" w:rsidRDefault="001016D3" w:rsidP="0080065B">
      <w:pPr>
        <w:pStyle w:val="ListParagraph"/>
        <w:numPr>
          <w:ilvl w:val="0"/>
          <w:numId w:val="10"/>
        </w:numPr>
      </w:pPr>
      <w:r w:rsidRPr="008770C7">
        <w:t>Puchner TC, Kugathasan S, Kelly KJ, Binion DG (2001). Successful desensitization and therapeutic use of infliximab in adult and pediatric Crohn's disease patients with prior anaphylactic reaction. Inflamm Bowel Dis 7(1): 34-37.</w:t>
      </w:r>
    </w:p>
    <w:p w14:paraId="1449E6DF" w14:textId="77777777" w:rsidR="001016D3" w:rsidRPr="008770C7" w:rsidRDefault="001016D3" w:rsidP="0080065B">
      <w:pPr>
        <w:pStyle w:val="ListParagraph"/>
        <w:numPr>
          <w:ilvl w:val="0"/>
          <w:numId w:val="10"/>
        </w:numPr>
      </w:pPr>
      <w:r w:rsidRPr="008770C7">
        <w:t>Rajan TV (2003). The Gell–Coombs classification of hypersensitivity reactions: a re-interpretati</w:t>
      </w:r>
      <w:r>
        <w:t xml:space="preserve">on. </w:t>
      </w:r>
      <w:r w:rsidRPr="008770C7">
        <w:t>Trends in Immunol 24: 376-379.</w:t>
      </w:r>
    </w:p>
    <w:p w14:paraId="722AB8D9" w14:textId="77777777" w:rsidR="001016D3" w:rsidRPr="008770C7" w:rsidRDefault="001016D3" w:rsidP="0080065B">
      <w:pPr>
        <w:pStyle w:val="ListParagraph"/>
        <w:numPr>
          <w:ilvl w:val="0"/>
          <w:numId w:val="10"/>
        </w:numPr>
      </w:pPr>
      <w:r w:rsidRPr="008770C7">
        <w:t xml:space="preserve">Rampton G, Folkersen J, Fishbane S, Hedenus M, Howaldt S, Locatelli F, </w:t>
      </w:r>
      <w:r w:rsidR="00EC06FF" w:rsidRPr="0080065B">
        <w:rPr>
          <w:i/>
        </w:rPr>
        <w:t>et al</w:t>
      </w:r>
      <w:r w:rsidRPr="008770C7">
        <w:t>. (2014). Hypersensitivity reactions to intravenous iron: guidance for risk minimisation and management. Haematologica 99: 1671-1676.</w:t>
      </w:r>
    </w:p>
    <w:p w14:paraId="6C0253BE" w14:textId="77777777" w:rsidR="001016D3" w:rsidRPr="008770C7" w:rsidRDefault="001016D3" w:rsidP="0080065B">
      <w:pPr>
        <w:pStyle w:val="ListParagraph"/>
        <w:numPr>
          <w:ilvl w:val="0"/>
          <w:numId w:val="10"/>
        </w:numPr>
      </w:pPr>
      <w:r w:rsidRPr="008770C7">
        <w:t>Ranft A, Kochs EF (2004). [Treatment of anaphylactic reactions: a review of guidelines and recommendations]. Anasthesiol.Intensivmed.Notfallmed.Schmerzther. 39(1): 2-9.</w:t>
      </w:r>
    </w:p>
    <w:p w14:paraId="3053840E" w14:textId="77777777" w:rsidR="001016D3" w:rsidRPr="008770C7" w:rsidRDefault="001016D3" w:rsidP="0080065B">
      <w:pPr>
        <w:pStyle w:val="ListParagraph"/>
        <w:numPr>
          <w:ilvl w:val="0"/>
          <w:numId w:val="10"/>
        </w:numPr>
      </w:pPr>
      <w:r w:rsidRPr="0080065B">
        <w:rPr>
          <w:lang w:val="da-DK"/>
        </w:rPr>
        <w:t xml:space="preserve">Ring J, Grosber M, Mohrenschlager M, Brockow K (2010). </w:t>
      </w:r>
      <w:r w:rsidRPr="008770C7">
        <w:t>Anaphylaxis: acute treatment and management. Chem.Immunol.Allergy. 95:201-10. doi: 10.1159/000315953. Epub;%2010 Jun 1.: 201-210.</w:t>
      </w:r>
    </w:p>
    <w:p w14:paraId="0EFDD372" w14:textId="77777777" w:rsidR="001016D3" w:rsidRPr="008770C7" w:rsidRDefault="001016D3" w:rsidP="0080065B">
      <w:pPr>
        <w:pStyle w:val="ListParagraph"/>
        <w:numPr>
          <w:ilvl w:val="0"/>
          <w:numId w:val="10"/>
        </w:numPr>
      </w:pPr>
      <w:r w:rsidRPr="008770C7">
        <w:t>Ring J, Messmer K (1977). Incidence and severity of anaphylactoid reactions to colloid volume substitutes. Lancet 1(8009): 466-469.</w:t>
      </w:r>
    </w:p>
    <w:p w14:paraId="3AA58565" w14:textId="77777777" w:rsidR="001016D3" w:rsidRPr="008770C7" w:rsidRDefault="001016D3" w:rsidP="0080065B">
      <w:pPr>
        <w:pStyle w:val="ListParagraph"/>
        <w:numPr>
          <w:ilvl w:val="0"/>
          <w:numId w:val="10"/>
        </w:numPr>
      </w:pPr>
      <w:r w:rsidRPr="008770C7">
        <w:t>Scott S, Thompson J (2014). Adverse drug reactions. Anest Intens Care Med 15: 245-249.</w:t>
      </w:r>
    </w:p>
    <w:p w14:paraId="7AFB4A61" w14:textId="77777777" w:rsidR="001016D3" w:rsidRPr="0080065B" w:rsidRDefault="001016D3" w:rsidP="0080065B">
      <w:pPr>
        <w:pStyle w:val="ListParagraph"/>
        <w:numPr>
          <w:ilvl w:val="0"/>
          <w:numId w:val="10"/>
        </w:numPr>
        <w:rPr>
          <w:lang w:val="da-DK"/>
        </w:rPr>
      </w:pPr>
      <w:r w:rsidRPr="008770C7">
        <w:t xml:space="preserve">Shehadi WH (1982). Contrast media adverse reactions: occurrence, recurrence, and distribution patterns. </w:t>
      </w:r>
      <w:r w:rsidR="00197A32" w:rsidRPr="0080065B">
        <w:rPr>
          <w:lang w:val="da-DK"/>
        </w:rPr>
        <w:t>Radiology</w:t>
      </w:r>
      <w:r w:rsidRPr="0080065B">
        <w:rPr>
          <w:lang w:val="da-DK"/>
        </w:rPr>
        <w:t xml:space="preserve"> 143(1): 11-17.</w:t>
      </w:r>
    </w:p>
    <w:p w14:paraId="15617183" w14:textId="77777777" w:rsidR="001016D3" w:rsidRPr="008770C7" w:rsidRDefault="001016D3" w:rsidP="0080065B">
      <w:pPr>
        <w:pStyle w:val="ListParagraph"/>
        <w:numPr>
          <w:ilvl w:val="0"/>
          <w:numId w:val="10"/>
        </w:numPr>
      </w:pPr>
      <w:r w:rsidRPr="0080065B">
        <w:rPr>
          <w:lang w:val="da-DK"/>
        </w:rPr>
        <w:t xml:space="preserve">Simons FE, Ardusso LR, Bilo MB, El-Gamal YM, Ledford DK, Ring J, </w:t>
      </w:r>
      <w:r w:rsidR="00EC06FF" w:rsidRPr="0080065B">
        <w:rPr>
          <w:i/>
          <w:lang w:val="da-DK"/>
        </w:rPr>
        <w:t>et al</w:t>
      </w:r>
      <w:r w:rsidRPr="0080065B">
        <w:rPr>
          <w:lang w:val="da-DK"/>
        </w:rPr>
        <w:t xml:space="preserve">. </w:t>
      </w:r>
      <w:r w:rsidRPr="008770C7">
        <w:t>(2011). World allergy organization guidelines for the assessment and management of anaphylaxis. World Allergy Organ J. 4(2): 13-37.</w:t>
      </w:r>
    </w:p>
    <w:p w14:paraId="564C753F" w14:textId="77777777" w:rsidR="00197A32" w:rsidRPr="00F6264C" w:rsidRDefault="00197A32" w:rsidP="00197A32">
      <w:pPr>
        <w:pStyle w:val="ListParagraph"/>
        <w:numPr>
          <w:ilvl w:val="0"/>
          <w:numId w:val="10"/>
        </w:numPr>
        <w:rPr>
          <w:shd w:val="clear" w:color="auto" w:fill="auto"/>
          <w:lang w:eastAsia="en-GB"/>
        </w:rPr>
      </w:pPr>
      <w:r w:rsidRPr="0080065B">
        <w:rPr>
          <w:shd w:val="clear" w:color="auto" w:fill="auto"/>
          <w:lang w:eastAsia="en-GB"/>
        </w:rPr>
        <w:t>Szebeni J, Alving CR, Savay S, Barenholz Y, Priev A, Danino D, Talmon</w:t>
      </w:r>
      <w:r w:rsidRPr="00197A32">
        <w:t xml:space="preserve"> Y. (2001) </w:t>
      </w:r>
      <w:r w:rsidRPr="0080065B">
        <w:rPr>
          <w:shd w:val="clear" w:color="auto" w:fill="auto"/>
          <w:lang w:eastAsia="en-GB"/>
        </w:rPr>
        <w:t>Formation of complement-activating particles in aqueous solutions of Taxol: possible role in hypersensitivity reactions.  International Immunopharmacology 1: 721–735</w:t>
      </w:r>
    </w:p>
    <w:p w14:paraId="4E3AD6BD" w14:textId="77777777" w:rsidR="001016D3" w:rsidRPr="008770C7" w:rsidRDefault="001016D3" w:rsidP="0080065B">
      <w:pPr>
        <w:pStyle w:val="ListParagraph"/>
        <w:numPr>
          <w:ilvl w:val="0"/>
          <w:numId w:val="10"/>
        </w:numPr>
      </w:pPr>
      <w:r w:rsidRPr="008770C7">
        <w:t>Szebeni J (2005). Complement activation-related pseudoallergy: a new class of drug-induced immune toxicity. Toxicology 216: 106-121.Szebeni J (2012). Hemocompatibility testing for nanomedicines and biologicals: predictive assays for complement mediated infusion reactions. Eur. J. Nanomed. 5: 33-53.</w:t>
      </w:r>
    </w:p>
    <w:p w14:paraId="424CFD3B" w14:textId="77777777" w:rsidR="001016D3" w:rsidRPr="008770C7" w:rsidRDefault="001016D3" w:rsidP="0080065B">
      <w:pPr>
        <w:pStyle w:val="ListParagraph"/>
        <w:numPr>
          <w:ilvl w:val="0"/>
          <w:numId w:val="10"/>
        </w:numPr>
      </w:pPr>
      <w:r w:rsidRPr="008770C7">
        <w:t>Szebeni J (2014). Complement activation-related pseudoallergy:  A stress reaction in blood triggered by nanomedicines and biologicals. Mol. Immunol. 61: 163-173.</w:t>
      </w:r>
    </w:p>
    <w:p w14:paraId="1E9BA1D8" w14:textId="77777777" w:rsidR="001016D3" w:rsidRPr="008770C7" w:rsidRDefault="001016D3" w:rsidP="0080065B">
      <w:pPr>
        <w:pStyle w:val="ListParagraph"/>
        <w:numPr>
          <w:ilvl w:val="0"/>
          <w:numId w:val="10"/>
        </w:numPr>
      </w:pPr>
      <w:r w:rsidRPr="0080065B">
        <w:rPr>
          <w:lang w:val="da-DK"/>
        </w:rPr>
        <w:t xml:space="preserve">Szebeni J, Alving CR, Rosivall L, Bünger R, Baranyi L, Bedöcs P, </w:t>
      </w:r>
      <w:r w:rsidR="00EC06FF" w:rsidRPr="0080065B">
        <w:rPr>
          <w:i/>
          <w:lang w:val="da-DK"/>
        </w:rPr>
        <w:t>et al</w:t>
      </w:r>
      <w:r w:rsidRPr="0080065B">
        <w:rPr>
          <w:lang w:val="da-DK"/>
        </w:rPr>
        <w:t xml:space="preserve">. </w:t>
      </w:r>
      <w:r w:rsidRPr="008770C7">
        <w:t>(2007). Animal models of complement-mediated hypersensitivity reactions to liposomes and other lipid-based nanoparticles. Journal of liposome research 17(2): 107-117.</w:t>
      </w:r>
    </w:p>
    <w:p w14:paraId="539C940A" w14:textId="77777777" w:rsidR="001016D3" w:rsidRPr="008770C7" w:rsidRDefault="001016D3" w:rsidP="0080065B">
      <w:pPr>
        <w:pStyle w:val="ListParagraph"/>
        <w:numPr>
          <w:ilvl w:val="0"/>
          <w:numId w:val="10"/>
        </w:numPr>
      </w:pPr>
      <w:r w:rsidRPr="008770C7">
        <w:t xml:space="preserve">Szebeni J, Baranyi L, Sávay S, Bodó M, Milosevits J, Alving CR, </w:t>
      </w:r>
      <w:r w:rsidR="00EC06FF" w:rsidRPr="0080065B">
        <w:rPr>
          <w:i/>
        </w:rPr>
        <w:t>et al</w:t>
      </w:r>
      <w:r w:rsidRPr="008770C7">
        <w:t>. (2006). Complement activation-related cardiac anaphylaxis in pigs: role of C5a anaphylatoxin and adenosine in liposome-induced abnormalities in ECG and heart function. Am. J. Physiol. 290: H1050-1058.</w:t>
      </w:r>
    </w:p>
    <w:p w14:paraId="38E822CB" w14:textId="77777777" w:rsidR="001016D3" w:rsidRPr="008770C7" w:rsidRDefault="001016D3" w:rsidP="0080065B">
      <w:pPr>
        <w:pStyle w:val="ListParagraph"/>
        <w:numPr>
          <w:ilvl w:val="0"/>
          <w:numId w:val="10"/>
        </w:numPr>
      </w:pPr>
      <w:r w:rsidRPr="008770C7">
        <w:t xml:space="preserve">Szebeni J, Baranyi L, Savay S, Bodo M, Morse DS, Basta M, </w:t>
      </w:r>
      <w:r w:rsidR="00EC06FF" w:rsidRPr="0080065B">
        <w:rPr>
          <w:i/>
        </w:rPr>
        <w:t>et al</w:t>
      </w:r>
      <w:r w:rsidRPr="008770C7">
        <w:t>. (2000). Liposome-induced pulmonary hypertension: properties and mechanism of a complement-mediated pseudoallergic reaction. Am.J.Physiol Heart Circ.Physiol. 279(3): H1319-H1328.</w:t>
      </w:r>
    </w:p>
    <w:p w14:paraId="3C8B9373" w14:textId="77777777" w:rsidR="001016D3" w:rsidRPr="008770C7" w:rsidRDefault="001016D3" w:rsidP="0080065B">
      <w:pPr>
        <w:pStyle w:val="ListParagraph"/>
        <w:numPr>
          <w:ilvl w:val="0"/>
          <w:numId w:val="10"/>
        </w:numPr>
      </w:pPr>
      <w:r w:rsidRPr="008770C7">
        <w:t>Szebeni J, Bedőcs P, Csukás D, Rosivall L, Bunger R, Urbanics R (2012a). A porcine model of complement-mediated infusion reactions to drug carrier nanosystems and other medicines. Adv Drug Deliv Rev. 64: 1706-1716.</w:t>
      </w:r>
    </w:p>
    <w:p w14:paraId="51A4641D" w14:textId="77777777" w:rsidR="001016D3" w:rsidRPr="008770C7" w:rsidRDefault="001016D3" w:rsidP="0080065B">
      <w:pPr>
        <w:pStyle w:val="ListParagraph"/>
        <w:numPr>
          <w:ilvl w:val="0"/>
          <w:numId w:val="10"/>
        </w:numPr>
      </w:pPr>
      <w:r w:rsidRPr="008770C7">
        <w:t xml:space="preserve">Szebeni J, Bedőcs P, Rozsnyay Z, Weiszhár Z, Urbanics R, Rosivall L, </w:t>
      </w:r>
      <w:r w:rsidR="00EC06FF" w:rsidRPr="0080065B">
        <w:rPr>
          <w:i/>
        </w:rPr>
        <w:t>et al</w:t>
      </w:r>
      <w:r w:rsidRPr="008770C7">
        <w:t>. (2012b). Liposome-induced complement activation and related cardiopulmonary distress in pigs: factors promoting reactogenicity of Doxil and AmBisome. Nanomedicine NBM 8: 176-184.</w:t>
      </w:r>
    </w:p>
    <w:p w14:paraId="2AA1955D" w14:textId="77777777" w:rsidR="001016D3" w:rsidRPr="0080065B" w:rsidRDefault="001016D3" w:rsidP="0080065B">
      <w:pPr>
        <w:pStyle w:val="ListParagraph"/>
        <w:numPr>
          <w:ilvl w:val="0"/>
          <w:numId w:val="10"/>
        </w:numPr>
        <w:rPr>
          <w:lang w:val="da-DK"/>
        </w:rPr>
      </w:pPr>
      <w:r w:rsidRPr="008770C7">
        <w:t xml:space="preserve">Szebeni J, Bedőcs P, Urbanics R, Bunger R, Rosivall L, Tóth M, </w:t>
      </w:r>
      <w:r w:rsidR="00EC06FF" w:rsidRPr="0080065B">
        <w:rPr>
          <w:i/>
        </w:rPr>
        <w:t>et al</w:t>
      </w:r>
      <w:r w:rsidRPr="008770C7">
        <w:t xml:space="preserve">. (2012c). Prevention of infusion reactions to PEGylated liposomal doxorubicin via tachyphylaxis induction by placebo vesicles: a porcine model. </w:t>
      </w:r>
      <w:r w:rsidRPr="0080065B">
        <w:rPr>
          <w:lang w:val="da-DK"/>
        </w:rPr>
        <w:t>J. Contr. Rel. 160: 382-387.</w:t>
      </w:r>
    </w:p>
    <w:p w14:paraId="13EBC8AF" w14:textId="77777777" w:rsidR="001016D3" w:rsidRPr="008770C7" w:rsidRDefault="001016D3" w:rsidP="0080065B">
      <w:pPr>
        <w:pStyle w:val="ListParagraph"/>
        <w:numPr>
          <w:ilvl w:val="0"/>
          <w:numId w:val="10"/>
        </w:numPr>
      </w:pPr>
      <w:r w:rsidRPr="0080065B">
        <w:rPr>
          <w:lang w:val="da-DK"/>
        </w:rPr>
        <w:t xml:space="preserve">Szebeni J, Fontana JL, Wassef NM, Mongan PD, Morse DS, Dobbins DE, </w:t>
      </w:r>
      <w:r w:rsidR="00EC06FF" w:rsidRPr="0080065B">
        <w:rPr>
          <w:i/>
          <w:lang w:val="da-DK"/>
        </w:rPr>
        <w:t>et al</w:t>
      </w:r>
      <w:r w:rsidRPr="0080065B">
        <w:rPr>
          <w:lang w:val="da-DK"/>
        </w:rPr>
        <w:t xml:space="preserve">. </w:t>
      </w:r>
      <w:r w:rsidRPr="008770C7">
        <w:t>(1999a). Hemodynamic changes induced by liposomes and liposome-encapsulated hemoglobin in pigs: a model for pseudoallergic cardiopulmonary reactions to liposomes. Role of complement and inhibition by soluble CR1 and anti-C5a antibody. Circulation. 99(17): 2302-2309.</w:t>
      </w:r>
    </w:p>
    <w:p w14:paraId="577EA861" w14:textId="77777777" w:rsidR="001016D3" w:rsidRPr="008770C7" w:rsidRDefault="001016D3" w:rsidP="0080065B">
      <w:pPr>
        <w:pStyle w:val="ListParagraph"/>
        <w:numPr>
          <w:ilvl w:val="0"/>
          <w:numId w:val="10"/>
        </w:numPr>
      </w:pPr>
      <w:r w:rsidRPr="008770C7">
        <w:t>Szebeni J, Muggia F, Gabizon A, Barenholz Y (2011a). Activation of complement by therapeutic liposomes and other lipid excipient-based therapeutic products: prediction and prevention. Advanced drug delivery reviews 63(12): 1020-1030.</w:t>
      </w:r>
    </w:p>
    <w:p w14:paraId="310E8408" w14:textId="77777777" w:rsidR="001016D3" w:rsidRPr="008770C7" w:rsidRDefault="001016D3" w:rsidP="0080065B">
      <w:pPr>
        <w:pStyle w:val="ListParagraph"/>
        <w:numPr>
          <w:ilvl w:val="0"/>
          <w:numId w:val="10"/>
        </w:numPr>
      </w:pPr>
      <w:r w:rsidRPr="008770C7">
        <w:t>Szebeni J, Wassef NM, Spielberg H, Rudolph AS, Alving CR (1994). Complement activation in rats by liposomes and liposome-encapsulated hemoglobin: evidence for anti-lipid antibodies and alternative pathway activation. Biochem Biophys Res Comm 205: 255-263.</w:t>
      </w:r>
    </w:p>
    <w:p w14:paraId="14EBE4E0" w14:textId="77777777" w:rsidR="001016D3" w:rsidRPr="0080065B" w:rsidRDefault="001016D3" w:rsidP="0080065B">
      <w:pPr>
        <w:pStyle w:val="ListParagraph"/>
        <w:numPr>
          <w:ilvl w:val="0"/>
          <w:numId w:val="10"/>
        </w:numPr>
        <w:rPr>
          <w:lang w:val="da-DK"/>
        </w:rPr>
      </w:pPr>
      <w:r w:rsidRPr="008770C7">
        <w:t xml:space="preserve">Tramer MR, von EE, Loubeyre P, Hauser C (2006). Pharmacological prevention of serious anaphylactic reactions due to iodinated contrast media: systematic review. </w:t>
      </w:r>
      <w:r w:rsidRPr="0080065B">
        <w:rPr>
          <w:lang w:val="da-DK"/>
        </w:rPr>
        <w:t>BMJ. 333(7570): 675.</w:t>
      </w:r>
    </w:p>
    <w:p w14:paraId="38B8212B" w14:textId="77777777" w:rsidR="001016D3" w:rsidRPr="0080065B" w:rsidRDefault="001016D3" w:rsidP="0080065B">
      <w:pPr>
        <w:pStyle w:val="ListParagraph"/>
        <w:numPr>
          <w:ilvl w:val="0"/>
          <w:numId w:val="10"/>
        </w:numPr>
        <w:rPr>
          <w:lang w:val="de-DE"/>
        </w:rPr>
      </w:pPr>
      <w:r w:rsidRPr="0080065B">
        <w:rPr>
          <w:lang w:val="da-DK"/>
        </w:rPr>
        <w:t xml:space="preserve">van der Kolk LE, Grillo-López AJ, Baars JW, Hack CE, van Oers MH (2001 ). </w:t>
      </w:r>
      <w:r w:rsidRPr="008770C7">
        <w:t xml:space="preserve">Complement activation plays a key role in the side-effects of rituximab treatment. </w:t>
      </w:r>
      <w:r w:rsidRPr="0080065B">
        <w:rPr>
          <w:lang w:val="de-DE"/>
        </w:rPr>
        <w:t>Br J Haematol 115: 807-811.</w:t>
      </w:r>
    </w:p>
    <w:p w14:paraId="0ADD4684" w14:textId="77777777" w:rsidR="001016D3" w:rsidRPr="008770C7" w:rsidRDefault="001016D3" w:rsidP="0080065B">
      <w:pPr>
        <w:pStyle w:val="ListParagraph"/>
        <w:numPr>
          <w:ilvl w:val="0"/>
          <w:numId w:val="10"/>
        </w:numPr>
      </w:pPr>
      <w:r w:rsidRPr="0080065B">
        <w:rPr>
          <w:lang w:val="de-DE"/>
        </w:rPr>
        <w:t xml:space="preserve">Wasserman MJ, Weber DA, Guthrie JA, Bykerk VP, Lee P, Keystone EC (2004). </w:t>
      </w:r>
      <w:r w:rsidRPr="008770C7">
        <w:t>Infusion-related reactions to infliximab in patients with rheumatoid arthritis in a clinical practice setting: relationship to dose, antihistamine pretreatment, and infusion number. J Rheumatol. 31(10): 1912-1917.</w:t>
      </w:r>
    </w:p>
    <w:p w14:paraId="65E6EBE6" w14:textId="77777777" w:rsidR="001016D3" w:rsidRPr="003543C1" w:rsidRDefault="001016D3" w:rsidP="0080065B">
      <w:pPr>
        <w:pStyle w:val="ListParagraph"/>
        <w:numPr>
          <w:ilvl w:val="0"/>
          <w:numId w:val="10"/>
        </w:numPr>
      </w:pPr>
      <w:r w:rsidRPr="003543C1">
        <w:t xml:space="preserve">Working Group of the Resuscitation Committee? (2013). Emergency treatment of anaphylactic reactions - Guideline for health care providers. </w:t>
      </w:r>
      <w:r w:rsidRPr="0080065B">
        <w:rPr>
          <w:shd w:val="clear" w:color="auto" w:fill="auto"/>
          <w:lang w:eastAsia="sv-SE"/>
        </w:rPr>
        <w:t>Resuscitation Council (UK) http://www.resus.org.uk/pages/reaction.pdf</w:t>
      </w:r>
      <w:r w:rsidRPr="003543C1">
        <w:t xml:space="preserve"> </w:t>
      </w:r>
    </w:p>
    <w:p w14:paraId="66F4CE5D" w14:textId="77777777" w:rsidR="001016D3" w:rsidRPr="008770C7" w:rsidRDefault="001016D3" w:rsidP="0080065B">
      <w:pPr>
        <w:pStyle w:val="ListParagraph"/>
        <w:numPr>
          <w:ilvl w:val="0"/>
          <w:numId w:val="10"/>
        </w:numPr>
      </w:pPr>
      <w:r w:rsidRPr="008770C7">
        <w:t>Wysowski DK, Swartz L, Borders-Hemphill BV, Goulding MR, Dormitzer C (2010). Use of parenteral iron products and serious anaphylactic-type reactions. American Journal of Hematology 85(9): 650-654.</w:t>
      </w:r>
    </w:p>
    <w:p w14:paraId="589DB0A2" w14:textId="77777777" w:rsidR="001016D3" w:rsidRDefault="001016D3" w:rsidP="00EB6C28">
      <w:r w:rsidRPr="008770C7">
        <w:br w:type="page"/>
      </w:r>
    </w:p>
    <w:p w14:paraId="348E1171" w14:textId="77777777" w:rsidR="00197DC4" w:rsidRPr="00660554" w:rsidRDefault="00197DC4" w:rsidP="00197DC4">
      <w:pPr>
        <w:pStyle w:val="Style1"/>
        <w:rPr>
          <w:i w:val="0"/>
        </w:rPr>
      </w:pPr>
      <w:r w:rsidRPr="00660554">
        <w:rPr>
          <w:i w:val="0"/>
        </w:rPr>
        <w:t xml:space="preserve">Fig. 1. Hypersensitivity reaction parameters and their different classifications   </w:t>
      </w:r>
    </w:p>
    <w:p w14:paraId="493FE6AE" w14:textId="77777777" w:rsidR="00197DC4" w:rsidRPr="00660554" w:rsidRDefault="00197DC4" w:rsidP="00197DC4">
      <w:pPr>
        <w:pStyle w:val="Style1"/>
        <w:jc w:val="both"/>
        <w:rPr>
          <w:i w:val="0"/>
          <w:sz w:val="22"/>
          <w:szCs w:val="22"/>
        </w:rPr>
      </w:pPr>
      <w:r w:rsidRPr="00660554">
        <w:rPr>
          <w:i w:val="0"/>
          <w:sz w:val="22"/>
          <w:szCs w:val="22"/>
        </w:rPr>
        <w:t>Fig. 2. Scheme illustrating the anaphylatoxin concept of HSRs.  Iron, as well as other nanoparticles activate the C system (upper red arrow) that leads to the formation of anaphylatoxins.  Their blood level is determined by generation via this activation process, and by consumption, due partly to cellular uptake and partly to metabolism by carboxypeptidases (green).  The level in blood determines whether or not anaphylatoxins trigger mast cells for release reaction (lower red arrow).  A scheme of C activation (left insert) and the main vasoactive mediators released from mast cells are also shown.</w:t>
      </w:r>
    </w:p>
    <w:p w14:paraId="338177C1" w14:textId="77777777" w:rsidR="00197DC4" w:rsidRPr="008770C7" w:rsidRDefault="00197DC4" w:rsidP="00EB6C28"/>
    <w:sectPr w:rsidR="00197DC4" w:rsidRPr="008770C7" w:rsidSect="00312DB9">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2EA5D" w14:textId="77777777" w:rsidR="00ED3894" w:rsidRDefault="00ED3894" w:rsidP="00EB6C28">
      <w:r>
        <w:separator/>
      </w:r>
    </w:p>
  </w:endnote>
  <w:endnote w:type="continuationSeparator" w:id="0">
    <w:p w14:paraId="66A4FDC0" w14:textId="77777777" w:rsidR="00ED3894" w:rsidRDefault="00ED3894" w:rsidP="00EB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8589097"/>
      <w:docPartObj>
        <w:docPartGallery w:val="Page Numbers (Bottom of Page)"/>
        <w:docPartUnique/>
      </w:docPartObj>
    </w:sdtPr>
    <w:sdtEndPr>
      <w:rPr>
        <w:noProof/>
      </w:rPr>
    </w:sdtEndPr>
    <w:sdtContent>
      <w:p w14:paraId="1AE53116" w14:textId="77777777" w:rsidR="006F562F" w:rsidRDefault="00802F9E">
        <w:pPr>
          <w:pStyle w:val="Footer"/>
          <w:jc w:val="center"/>
        </w:pPr>
        <w:r>
          <w:fldChar w:fldCharType="begin"/>
        </w:r>
        <w:r w:rsidR="006F562F">
          <w:instrText xml:space="preserve"> PAGE   \* MERGEFORMAT </w:instrText>
        </w:r>
        <w:r>
          <w:fldChar w:fldCharType="separate"/>
        </w:r>
        <w:r w:rsidR="001B384A">
          <w:rPr>
            <w:noProof/>
          </w:rPr>
          <w:t>16</w:t>
        </w:r>
        <w:r>
          <w:rPr>
            <w:noProof/>
          </w:rPr>
          <w:fldChar w:fldCharType="end"/>
        </w:r>
      </w:p>
    </w:sdtContent>
  </w:sdt>
  <w:p w14:paraId="6598C87F" w14:textId="77777777" w:rsidR="006F562F" w:rsidRDefault="006F562F" w:rsidP="00EB6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0BAE6" w14:textId="77777777" w:rsidR="00ED3894" w:rsidRDefault="00ED3894" w:rsidP="00EB6C28">
      <w:r>
        <w:separator/>
      </w:r>
    </w:p>
  </w:footnote>
  <w:footnote w:type="continuationSeparator" w:id="0">
    <w:p w14:paraId="502A5AB2" w14:textId="77777777" w:rsidR="00ED3894" w:rsidRDefault="00ED3894" w:rsidP="00EB6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2D8E"/>
    <w:multiLevelType w:val="hybridMultilevel"/>
    <w:tmpl w:val="BEA2E756"/>
    <w:lvl w:ilvl="0" w:tplc="962A6A46">
      <w:start w:val="1"/>
      <w:numFmt w:val="upperRoman"/>
      <w:lvlText w:val="%1."/>
      <w:lvlJc w:val="left"/>
      <w:pPr>
        <w:ind w:left="720" w:hanging="360"/>
      </w:pPr>
      <w:rPr>
        <w:rFonts w:ascii="Calibri" w:eastAsia="Times New Roman" w:hAnsi="Calibri"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96E753A"/>
    <w:multiLevelType w:val="multilevel"/>
    <w:tmpl w:val="13448E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12BB44EE"/>
    <w:multiLevelType w:val="multilevel"/>
    <w:tmpl w:val="55A07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434CF"/>
    <w:multiLevelType w:val="multilevel"/>
    <w:tmpl w:val="56C2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1A1E71"/>
    <w:multiLevelType w:val="hybridMultilevel"/>
    <w:tmpl w:val="3886CECE"/>
    <w:lvl w:ilvl="0" w:tplc="40E4D64A">
      <w:start w:val="1"/>
      <w:numFmt w:val="bullet"/>
      <w:lvlText w:val="•"/>
      <w:lvlJc w:val="left"/>
      <w:pPr>
        <w:tabs>
          <w:tab w:val="num" w:pos="720"/>
        </w:tabs>
        <w:ind w:left="720" w:hanging="360"/>
      </w:pPr>
      <w:rPr>
        <w:rFonts w:ascii="Arial" w:hAnsi="Arial" w:hint="default"/>
      </w:rPr>
    </w:lvl>
    <w:lvl w:ilvl="1" w:tplc="88907E5A" w:tentative="1">
      <w:start w:val="1"/>
      <w:numFmt w:val="bullet"/>
      <w:lvlText w:val="•"/>
      <w:lvlJc w:val="left"/>
      <w:pPr>
        <w:tabs>
          <w:tab w:val="num" w:pos="1440"/>
        </w:tabs>
        <w:ind w:left="1440" w:hanging="360"/>
      </w:pPr>
      <w:rPr>
        <w:rFonts w:ascii="Arial" w:hAnsi="Arial" w:hint="default"/>
      </w:rPr>
    </w:lvl>
    <w:lvl w:ilvl="2" w:tplc="A9303416" w:tentative="1">
      <w:start w:val="1"/>
      <w:numFmt w:val="bullet"/>
      <w:lvlText w:val="•"/>
      <w:lvlJc w:val="left"/>
      <w:pPr>
        <w:tabs>
          <w:tab w:val="num" w:pos="2160"/>
        </w:tabs>
        <w:ind w:left="2160" w:hanging="360"/>
      </w:pPr>
      <w:rPr>
        <w:rFonts w:ascii="Arial" w:hAnsi="Arial" w:hint="default"/>
      </w:rPr>
    </w:lvl>
    <w:lvl w:ilvl="3" w:tplc="939EBD52" w:tentative="1">
      <w:start w:val="1"/>
      <w:numFmt w:val="bullet"/>
      <w:lvlText w:val="•"/>
      <w:lvlJc w:val="left"/>
      <w:pPr>
        <w:tabs>
          <w:tab w:val="num" w:pos="2880"/>
        </w:tabs>
        <w:ind w:left="2880" w:hanging="360"/>
      </w:pPr>
      <w:rPr>
        <w:rFonts w:ascii="Arial" w:hAnsi="Arial" w:hint="default"/>
      </w:rPr>
    </w:lvl>
    <w:lvl w:ilvl="4" w:tplc="9E4667B4" w:tentative="1">
      <w:start w:val="1"/>
      <w:numFmt w:val="bullet"/>
      <w:lvlText w:val="•"/>
      <w:lvlJc w:val="left"/>
      <w:pPr>
        <w:tabs>
          <w:tab w:val="num" w:pos="3600"/>
        </w:tabs>
        <w:ind w:left="3600" w:hanging="360"/>
      </w:pPr>
      <w:rPr>
        <w:rFonts w:ascii="Arial" w:hAnsi="Arial" w:hint="default"/>
      </w:rPr>
    </w:lvl>
    <w:lvl w:ilvl="5" w:tplc="05DE7CB6" w:tentative="1">
      <w:start w:val="1"/>
      <w:numFmt w:val="bullet"/>
      <w:lvlText w:val="•"/>
      <w:lvlJc w:val="left"/>
      <w:pPr>
        <w:tabs>
          <w:tab w:val="num" w:pos="4320"/>
        </w:tabs>
        <w:ind w:left="4320" w:hanging="360"/>
      </w:pPr>
      <w:rPr>
        <w:rFonts w:ascii="Arial" w:hAnsi="Arial" w:hint="default"/>
      </w:rPr>
    </w:lvl>
    <w:lvl w:ilvl="6" w:tplc="C61C9BEC" w:tentative="1">
      <w:start w:val="1"/>
      <w:numFmt w:val="bullet"/>
      <w:lvlText w:val="•"/>
      <w:lvlJc w:val="left"/>
      <w:pPr>
        <w:tabs>
          <w:tab w:val="num" w:pos="5040"/>
        </w:tabs>
        <w:ind w:left="5040" w:hanging="360"/>
      </w:pPr>
      <w:rPr>
        <w:rFonts w:ascii="Arial" w:hAnsi="Arial" w:hint="default"/>
      </w:rPr>
    </w:lvl>
    <w:lvl w:ilvl="7" w:tplc="29E0DDB0" w:tentative="1">
      <w:start w:val="1"/>
      <w:numFmt w:val="bullet"/>
      <w:lvlText w:val="•"/>
      <w:lvlJc w:val="left"/>
      <w:pPr>
        <w:tabs>
          <w:tab w:val="num" w:pos="5760"/>
        </w:tabs>
        <w:ind w:left="5760" w:hanging="360"/>
      </w:pPr>
      <w:rPr>
        <w:rFonts w:ascii="Arial" w:hAnsi="Arial" w:hint="default"/>
      </w:rPr>
    </w:lvl>
    <w:lvl w:ilvl="8" w:tplc="2E1657F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204BD4"/>
    <w:multiLevelType w:val="multilevel"/>
    <w:tmpl w:val="944C9C70"/>
    <w:lvl w:ilvl="0">
      <w:start w:val="1"/>
      <w:numFmt w:val="decimal"/>
      <w:pStyle w:val="TOCHeading"/>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2A326821"/>
    <w:multiLevelType w:val="multilevel"/>
    <w:tmpl w:val="312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1B28AA"/>
    <w:multiLevelType w:val="hybridMultilevel"/>
    <w:tmpl w:val="9298413C"/>
    <w:lvl w:ilvl="0" w:tplc="04060011">
      <w:start w:val="1"/>
      <w:numFmt w:val="decimal"/>
      <w:lvlText w:val="%1)"/>
      <w:lvlJc w:val="left"/>
      <w:pPr>
        <w:ind w:left="-108" w:hanging="360"/>
      </w:pPr>
      <w:rPr>
        <w:rFonts w:cs="Times New Roman" w:hint="default"/>
      </w:rPr>
    </w:lvl>
    <w:lvl w:ilvl="1" w:tplc="04060019" w:tentative="1">
      <w:start w:val="1"/>
      <w:numFmt w:val="lowerLetter"/>
      <w:lvlText w:val="%2."/>
      <w:lvlJc w:val="left"/>
      <w:pPr>
        <w:ind w:left="612" w:hanging="360"/>
      </w:pPr>
      <w:rPr>
        <w:rFonts w:cs="Times New Roman"/>
      </w:rPr>
    </w:lvl>
    <w:lvl w:ilvl="2" w:tplc="0406001B" w:tentative="1">
      <w:start w:val="1"/>
      <w:numFmt w:val="lowerRoman"/>
      <w:lvlText w:val="%3."/>
      <w:lvlJc w:val="right"/>
      <w:pPr>
        <w:ind w:left="1332" w:hanging="180"/>
      </w:pPr>
      <w:rPr>
        <w:rFonts w:cs="Times New Roman"/>
      </w:rPr>
    </w:lvl>
    <w:lvl w:ilvl="3" w:tplc="0406000F" w:tentative="1">
      <w:start w:val="1"/>
      <w:numFmt w:val="decimal"/>
      <w:lvlText w:val="%4."/>
      <w:lvlJc w:val="left"/>
      <w:pPr>
        <w:ind w:left="2052" w:hanging="360"/>
      </w:pPr>
      <w:rPr>
        <w:rFonts w:cs="Times New Roman"/>
      </w:rPr>
    </w:lvl>
    <w:lvl w:ilvl="4" w:tplc="04060019" w:tentative="1">
      <w:start w:val="1"/>
      <w:numFmt w:val="lowerLetter"/>
      <w:lvlText w:val="%5."/>
      <w:lvlJc w:val="left"/>
      <w:pPr>
        <w:ind w:left="2772" w:hanging="360"/>
      </w:pPr>
      <w:rPr>
        <w:rFonts w:cs="Times New Roman"/>
      </w:rPr>
    </w:lvl>
    <w:lvl w:ilvl="5" w:tplc="0406001B" w:tentative="1">
      <w:start w:val="1"/>
      <w:numFmt w:val="lowerRoman"/>
      <w:lvlText w:val="%6."/>
      <w:lvlJc w:val="right"/>
      <w:pPr>
        <w:ind w:left="3492" w:hanging="180"/>
      </w:pPr>
      <w:rPr>
        <w:rFonts w:cs="Times New Roman"/>
      </w:rPr>
    </w:lvl>
    <w:lvl w:ilvl="6" w:tplc="0406000F" w:tentative="1">
      <w:start w:val="1"/>
      <w:numFmt w:val="decimal"/>
      <w:lvlText w:val="%7."/>
      <w:lvlJc w:val="left"/>
      <w:pPr>
        <w:ind w:left="4212" w:hanging="360"/>
      </w:pPr>
      <w:rPr>
        <w:rFonts w:cs="Times New Roman"/>
      </w:rPr>
    </w:lvl>
    <w:lvl w:ilvl="7" w:tplc="04060019" w:tentative="1">
      <w:start w:val="1"/>
      <w:numFmt w:val="lowerLetter"/>
      <w:lvlText w:val="%8."/>
      <w:lvlJc w:val="left"/>
      <w:pPr>
        <w:ind w:left="4932" w:hanging="360"/>
      </w:pPr>
      <w:rPr>
        <w:rFonts w:cs="Times New Roman"/>
      </w:rPr>
    </w:lvl>
    <w:lvl w:ilvl="8" w:tplc="0406001B" w:tentative="1">
      <w:start w:val="1"/>
      <w:numFmt w:val="lowerRoman"/>
      <w:lvlText w:val="%9."/>
      <w:lvlJc w:val="right"/>
      <w:pPr>
        <w:ind w:left="5652" w:hanging="180"/>
      </w:pPr>
      <w:rPr>
        <w:rFonts w:cs="Times New Roman"/>
      </w:rPr>
    </w:lvl>
  </w:abstractNum>
  <w:abstractNum w:abstractNumId="8" w15:restartNumberingAfterBreak="0">
    <w:nsid w:val="5A2C090D"/>
    <w:multiLevelType w:val="hybridMultilevel"/>
    <w:tmpl w:val="B34AC732"/>
    <w:lvl w:ilvl="0" w:tplc="4B9E83B8">
      <w:start w:val="1"/>
      <w:numFmt w:val="decimal"/>
      <w:lvlText w:val="%1."/>
      <w:lvlJc w:val="left"/>
      <w:pPr>
        <w:tabs>
          <w:tab w:val="num" w:pos="720"/>
        </w:tabs>
        <w:ind w:left="720" w:hanging="360"/>
      </w:pPr>
      <w:rPr>
        <w:rFonts w:cs="Times New Roman"/>
      </w:rPr>
    </w:lvl>
    <w:lvl w:ilvl="1" w:tplc="AE78AF78">
      <w:start w:val="1"/>
      <w:numFmt w:val="decimal"/>
      <w:lvlText w:val="%2."/>
      <w:lvlJc w:val="left"/>
      <w:pPr>
        <w:tabs>
          <w:tab w:val="num" w:pos="1440"/>
        </w:tabs>
        <w:ind w:left="1440" w:hanging="360"/>
      </w:pPr>
      <w:rPr>
        <w:rFonts w:cs="Times New Roman"/>
      </w:rPr>
    </w:lvl>
    <w:lvl w:ilvl="2" w:tplc="3940A0CC" w:tentative="1">
      <w:start w:val="1"/>
      <w:numFmt w:val="decimal"/>
      <w:lvlText w:val="%3."/>
      <w:lvlJc w:val="left"/>
      <w:pPr>
        <w:tabs>
          <w:tab w:val="num" w:pos="2160"/>
        </w:tabs>
        <w:ind w:left="2160" w:hanging="360"/>
      </w:pPr>
      <w:rPr>
        <w:rFonts w:cs="Times New Roman"/>
      </w:rPr>
    </w:lvl>
    <w:lvl w:ilvl="3" w:tplc="390E27E6" w:tentative="1">
      <w:start w:val="1"/>
      <w:numFmt w:val="decimal"/>
      <w:lvlText w:val="%4."/>
      <w:lvlJc w:val="left"/>
      <w:pPr>
        <w:tabs>
          <w:tab w:val="num" w:pos="2880"/>
        </w:tabs>
        <w:ind w:left="2880" w:hanging="360"/>
      </w:pPr>
      <w:rPr>
        <w:rFonts w:cs="Times New Roman"/>
      </w:rPr>
    </w:lvl>
    <w:lvl w:ilvl="4" w:tplc="E8C2F836" w:tentative="1">
      <w:start w:val="1"/>
      <w:numFmt w:val="decimal"/>
      <w:lvlText w:val="%5."/>
      <w:lvlJc w:val="left"/>
      <w:pPr>
        <w:tabs>
          <w:tab w:val="num" w:pos="3600"/>
        </w:tabs>
        <w:ind w:left="3600" w:hanging="360"/>
      </w:pPr>
      <w:rPr>
        <w:rFonts w:cs="Times New Roman"/>
      </w:rPr>
    </w:lvl>
    <w:lvl w:ilvl="5" w:tplc="EC5C38A8" w:tentative="1">
      <w:start w:val="1"/>
      <w:numFmt w:val="decimal"/>
      <w:lvlText w:val="%6."/>
      <w:lvlJc w:val="left"/>
      <w:pPr>
        <w:tabs>
          <w:tab w:val="num" w:pos="4320"/>
        </w:tabs>
        <w:ind w:left="4320" w:hanging="360"/>
      </w:pPr>
      <w:rPr>
        <w:rFonts w:cs="Times New Roman"/>
      </w:rPr>
    </w:lvl>
    <w:lvl w:ilvl="6" w:tplc="E118FE48" w:tentative="1">
      <w:start w:val="1"/>
      <w:numFmt w:val="decimal"/>
      <w:lvlText w:val="%7."/>
      <w:lvlJc w:val="left"/>
      <w:pPr>
        <w:tabs>
          <w:tab w:val="num" w:pos="5040"/>
        </w:tabs>
        <w:ind w:left="5040" w:hanging="360"/>
      </w:pPr>
      <w:rPr>
        <w:rFonts w:cs="Times New Roman"/>
      </w:rPr>
    </w:lvl>
    <w:lvl w:ilvl="7" w:tplc="DA100F96" w:tentative="1">
      <w:start w:val="1"/>
      <w:numFmt w:val="decimal"/>
      <w:lvlText w:val="%8."/>
      <w:lvlJc w:val="left"/>
      <w:pPr>
        <w:tabs>
          <w:tab w:val="num" w:pos="5760"/>
        </w:tabs>
        <w:ind w:left="5760" w:hanging="360"/>
      </w:pPr>
      <w:rPr>
        <w:rFonts w:cs="Times New Roman"/>
      </w:rPr>
    </w:lvl>
    <w:lvl w:ilvl="8" w:tplc="72A4631C" w:tentative="1">
      <w:start w:val="1"/>
      <w:numFmt w:val="decimal"/>
      <w:lvlText w:val="%9."/>
      <w:lvlJc w:val="left"/>
      <w:pPr>
        <w:tabs>
          <w:tab w:val="num" w:pos="6480"/>
        </w:tabs>
        <w:ind w:left="6480" w:hanging="360"/>
      </w:pPr>
      <w:rPr>
        <w:rFonts w:cs="Times New Roman"/>
      </w:rPr>
    </w:lvl>
  </w:abstractNum>
  <w:abstractNum w:abstractNumId="9" w15:restartNumberingAfterBreak="0">
    <w:nsid w:val="6F2249AE"/>
    <w:multiLevelType w:val="hybridMultilevel"/>
    <w:tmpl w:val="ACC21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0"/>
  </w:num>
  <w:num w:numId="5">
    <w:abstractNumId w:val="4"/>
  </w:num>
  <w:num w:numId="6">
    <w:abstractNumId w:val="8"/>
  </w:num>
  <w:num w:numId="7">
    <w:abstractNumId w:val="1"/>
  </w:num>
  <w:num w:numId="8">
    <w:abstractNumId w:val="2"/>
  </w:num>
  <w:num w:numId="9">
    <w:abstractNumId w:val="3"/>
  </w:num>
  <w:num w:numId="1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982"/>
    <w:rsid w:val="00002B4B"/>
    <w:rsid w:val="000042AC"/>
    <w:rsid w:val="00004D01"/>
    <w:rsid w:val="00013051"/>
    <w:rsid w:val="00013382"/>
    <w:rsid w:val="00013783"/>
    <w:rsid w:val="00020556"/>
    <w:rsid w:val="00025DBA"/>
    <w:rsid w:val="0002675E"/>
    <w:rsid w:val="000313E5"/>
    <w:rsid w:val="000400FC"/>
    <w:rsid w:val="00050C42"/>
    <w:rsid w:val="00053713"/>
    <w:rsid w:val="000546B9"/>
    <w:rsid w:val="00062E8E"/>
    <w:rsid w:val="00063A4B"/>
    <w:rsid w:val="00066A3C"/>
    <w:rsid w:val="000702CF"/>
    <w:rsid w:val="00070D4E"/>
    <w:rsid w:val="00071C52"/>
    <w:rsid w:val="00077A49"/>
    <w:rsid w:val="000917BD"/>
    <w:rsid w:val="00092DC3"/>
    <w:rsid w:val="000931AD"/>
    <w:rsid w:val="0009600F"/>
    <w:rsid w:val="00097359"/>
    <w:rsid w:val="000A3D82"/>
    <w:rsid w:val="000A6D8A"/>
    <w:rsid w:val="000B0228"/>
    <w:rsid w:val="000B0991"/>
    <w:rsid w:val="000B0D9A"/>
    <w:rsid w:val="000B1D20"/>
    <w:rsid w:val="000B203A"/>
    <w:rsid w:val="000C2B52"/>
    <w:rsid w:val="000D0998"/>
    <w:rsid w:val="000D1F84"/>
    <w:rsid w:val="000D3232"/>
    <w:rsid w:val="000E0A30"/>
    <w:rsid w:val="000E23EA"/>
    <w:rsid w:val="000F2144"/>
    <w:rsid w:val="000F3EDF"/>
    <w:rsid w:val="000F4AFD"/>
    <w:rsid w:val="000F5C7F"/>
    <w:rsid w:val="00100B7A"/>
    <w:rsid w:val="001016D3"/>
    <w:rsid w:val="001038CB"/>
    <w:rsid w:val="00110192"/>
    <w:rsid w:val="00110E7F"/>
    <w:rsid w:val="00112C21"/>
    <w:rsid w:val="00113480"/>
    <w:rsid w:val="00117ADE"/>
    <w:rsid w:val="00127857"/>
    <w:rsid w:val="00136379"/>
    <w:rsid w:val="00142804"/>
    <w:rsid w:val="00147960"/>
    <w:rsid w:val="001514FC"/>
    <w:rsid w:val="00152257"/>
    <w:rsid w:val="001543CE"/>
    <w:rsid w:val="001549CA"/>
    <w:rsid w:val="00155B7D"/>
    <w:rsid w:val="00155FA3"/>
    <w:rsid w:val="00157982"/>
    <w:rsid w:val="00157C89"/>
    <w:rsid w:val="001606F8"/>
    <w:rsid w:val="00161923"/>
    <w:rsid w:val="001655C8"/>
    <w:rsid w:val="00167297"/>
    <w:rsid w:val="001705BF"/>
    <w:rsid w:val="00173331"/>
    <w:rsid w:val="00173F3B"/>
    <w:rsid w:val="00180C57"/>
    <w:rsid w:val="00183422"/>
    <w:rsid w:val="0018507C"/>
    <w:rsid w:val="00185E3D"/>
    <w:rsid w:val="001869EF"/>
    <w:rsid w:val="00190A1A"/>
    <w:rsid w:val="001943B0"/>
    <w:rsid w:val="00196714"/>
    <w:rsid w:val="00197A32"/>
    <w:rsid w:val="00197DC4"/>
    <w:rsid w:val="001A30BF"/>
    <w:rsid w:val="001A31E0"/>
    <w:rsid w:val="001A514D"/>
    <w:rsid w:val="001A7AD6"/>
    <w:rsid w:val="001B0B0D"/>
    <w:rsid w:val="001B0B70"/>
    <w:rsid w:val="001B35C4"/>
    <w:rsid w:val="001B384A"/>
    <w:rsid w:val="001B39B0"/>
    <w:rsid w:val="001B439A"/>
    <w:rsid w:val="001B4B6C"/>
    <w:rsid w:val="001C2C9E"/>
    <w:rsid w:val="001C38AF"/>
    <w:rsid w:val="001C4F5C"/>
    <w:rsid w:val="001D3A24"/>
    <w:rsid w:val="001D4998"/>
    <w:rsid w:val="001D4D99"/>
    <w:rsid w:val="001E046D"/>
    <w:rsid w:val="001E1B50"/>
    <w:rsid w:val="001E5B0C"/>
    <w:rsid w:val="001E6723"/>
    <w:rsid w:val="00200F29"/>
    <w:rsid w:val="00203959"/>
    <w:rsid w:val="00210326"/>
    <w:rsid w:val="0021234C"/>
    <w:rsid w:val="002141CD"/>
    <w:rsid w:val="00214F2E"/>
    <w:rsid w:val="0021533D"/>
    <w:rsid w:val="00215F1B"/>
    <w:rsid w:val="00232919"/>
    <w:rsid w:val="00232FFA"/>
    <w:rsid w:val="00240E1A"/>
    <w:rsid w:val="002437D3"/>
    <w:rsid w:val="0024653A"/>
    <w:rsid w:val="0024690F"/>
    <w:rsid w:val="00246AAB"/>
    <w:rsid w:val="0025175B"/>
    <w:rsid w:val="0025518A"/>
    <w:rsid w:val="00255629"/>
    <w:rsid w:val="00256FB2"/>
    <w:rsid w:val="0026303F"/>
    <w:rsid w:val="00263751"/>
    <w:rsid w:val="00264EBB"/>
    <w:rsid w:val="00266271"/>
    <w:rsid w:val="0026636C"/>
    <w:rsid w:val="00270A4E"/>
    <w:rsid w:val="002714B9"/>
    <w:rsid w:val="00273E57"/>
    <w:rsid w:val="00274D6B"/>
    <w:rsid w:val="0028035B"/>
    <w:rsid w:val="00281776"/>
    <w:rsid w:val="00285DA4"/>
    <w:rsid w:val="002944FA"/>
    <w:rsid w:val="002A024E"/>
    <w:rsid w:val="002A1454"/>
    <w:rsid w:val="002A3C67"/>
    <w:rsid w:val="002A56F7"/>
    <w:rsid w:val="002A666F"/>
    <w:rsid w:val="002A72BD"/>
    <w:rsid w:val="002B141D"/>
    <w:rsid w:val="002B2F4B"/>
    <w:rsid w:val="002B73AD"/>
    <w:rsid w:val="002C6119"/>
    <w:rsid w:val="002D6D4E"/>
    <w:rsid w:val="002D7126"/>
    <w:rsid w:val="002D7800"/>
    <w:rsid w:val="002E1E14"/>
    <w:rsid w:val="002E307C"/>
    <w:rsid w:val="002E58F2"/>
    <w:rsid w:val="002F32FC"/>
    <w:rsid w:val="002F7669"/>
    <w:rsid w:val="003012E9"/>
    <w:rsid w:val="00301C55"/>
    <w:rsid w:val="00302189"/>
    <w:rsid w:val="00303236"/>
    <w:rsid w:val="00303C70"/>
    <w:rsid w:val="003050D0"/>
    <w:rsid w:val="003055E6"/>
    <w:rsid w:val="00307572"/>
    <w:rsid w:val="0031282E"/>
    <w:rsid w:val="00312AD9"/>
    <w:rsid w:val="00312DB9"/>
    <w:rsid w:val="00316615"/>
    <w:rsid w:val="00316B8E"/>
    <w:rsid w:val="003222C8"/>
    <w:rsid w:val="00326A0E"/>
    <w:rsid w:val="00327814"/>
    <w:rsid w:val="003358A0"/>
    <w:rsid w:val="0033779F"/>
    <w:rsid w:val="00340B10"/>
    <w:rsid w:val="0034105F"/>
    <w:rsid w:val="003430B8"/>
    <w:rsid w:val="00344115"/>
    <w:rsid w:val="00347347"/>
    <w:rsid w:val="003502CE"/>
    <w:rsid w:val="00351D39"/>
    <w:rsid w:val="003520A9"/>
    <w:rsid w:val="003525BE"/>
    <w:rsid w:val="003543C1"/>
    <w:rsid w:val="0035442D"/>
    <w:rsid w:val="00354613"/>
    <w:rsid w:val="003565AE"/>
    <w:rsid w:val="003651BE"/>
    <w:rsid w:val="00367852"/>
    <w:rsid w:val="00376CC5"/>
    <w:rsid w:val="00383985"/>
    <w:rsid w:val="0038502C"/>
    <w:rsid w:val="003860F3"/>
    <w:rsid w:val="00387CC4"/>
    <w:rsid w:val="003906AA"/>
    <w:rsid w:val="0039145B"/>
    <w:rsid w:val="003A23ED"/>
    <w:rsid w:val="003A307F"/>
    <w:rsid w:val="003A4C28"/>
    <w:rsid w:val="003A52CA"/>
    <w:rsid w:val="003A5E00"/>
    <w:rsid w:val="003A701B"/>
    <w:rsid w:val="003A77F0"/>
    <w:rsid w:val="003A7F7B"/>
    <w:rsid w:val="003B0DB6"/>
    <w:rsid w:val="003B56A9"/>
    <w:rsid w:val="003C1567"/>
    <w:rsid w:val="003C1C3E"/>
    <w:rsid w:val="003C253A"/>
    <w:rsid w:val="003C2C0C"/>
    <w:rsid w:val="003C2E41"/>
    <w:rsid w:val="003C44DF"/>
    <w:rsid w:val="003C65AD"/>
    <w:rsid w:val="003C746B"/>
    <w:rsid w:val="003D025E"/>
    <w:rsid w:val="003D2C47"/>
    <w:rsid w:val="003D3ED6"/>
    <w:rsid w:val="003D4375"/>
    <w:rsid w:val="003D536A"/>
    <w:rsid w:val="003D6664"/>
    <w:rsid w:val="003E0093"/>
    <w:rsid w:val="003E0DBC"/>
    <w:rsid w:val="003E7845"/>
    <w:rsid w:val="003F2D0B"/>
    <w:rsid w:val="00400A76"/>
    <w:rsid w:val="004038C8"/>
    <w:rsid w:val="00406821"/>
    <w:rsid w:val="00407E88"/>
    <w:rsid w:val="00412AF5"/>
    <w:rsid w:val="00412E64"/>
    <w:rsid w:val="00414A91"/>
    <w:rsid w:val="00425ECB"/>
    <w:rsid w:val="004268B1"/>
    <w:rsid w:val="0042716A"/>
    <w:rsid w:val="00432317"/>
    <w:rsid w:val="0043409A"/>
    <w:rsid w:val="004357C1"/>
    <w:rsid w:val="00437634"/>
    <w:rsid w:val="004379F1"/>
    <w:rsid w:val="00440504"/>
    <w:rsid w:val="004405A1"/>
    <w:rsid w:val="004440AD"/>
    <w:rsid w:val="00445617"/>
    <w:rsid w:val="00446091"/>
    <w:rsid w:val="00450FF2"/>
    <w:rsid w:val="00453840"/>
    <w:rsid w:val="004546C9"/>
    <w:rsid w:val="004556C5"/>
    <w:rsid w:val="004606D0"/>
    <w:rsid w:val="00461445"/>
    <w:rsid w:val="00461668"/>
    <w:rsid w:val="0046224D"/>
    <w:rsid w:val="00467DC9"/>
    <w:rsid w:val="00472DE3"/>
    <w:rsid w:val="00474A41"/>
    <w:rsid w:val="00476B6F"/>
    <w:rsid w:val="00477104"/>
    <w:rsid w:val="00481A64"/>
    <w:rsid w:val="00483FE1"/>
    <w:rsid w:val="00491381"/>
    <w:rsid w:val="00492260"/>
    <w:rsid w:val="004975EE"/>
    <w:rsid w:val="004A161F"/>
    <w:rsid w:val="004A19BF"/>
    <w:rsid w:val="004A21BB"/>
    <w:rsid w:val="004A2BA1"/>
    <w:rsid w:val="004A4FFF"/>
    <w:rsid w:val="004A7502"/>
    <w:rsid w:val="004B2612"/>
    <w:rsid w:val="004B3E33"/>
    <w:rsid w:val="004C450B"/>
    <w:rsid w:val="004C5DF2"/>
    <w:rsid w:val="004D2187"/>
    <w:rsid w:val="004D2573"/>
    <w:rsid w:val="004D5D97"/>
    <w:rsid w:val="004E363A"/>
    <w:rsid w:val="004E3747"/>
    <w:rsid w:val="004E7A75"/>
    <w:rsid w:val="004F039B"/>
    <w:rsid w:val="004F231E"/>
    <w:rsid w:val="00502B73"/>
    <w:rsid w:val="005068AB"/>
    <w:rsid w:val="00506B28"/>
    <w:rsid w:val="00506F84"/>
    <w:rsid w:val="00513407"/>
    <w:rsid w:val="005135DD"/>
    <w:rsid w:val="005174B1"/>
    <w:rsid w:val="005206D6"/>
    <w:rsid w:val="0052440F"/>
    <w:rsid w:val="0052473F"/>
    <w:rsid w:val="00526191"/>
    <w:rsid w:val="00527441"/>
    <w:rsid w:val="00527721"/>
    <w:rsid w:val="00533D8F"/>
    <w:rsid w:val="00536414"/>
    <w:rsid w:val="00541643"/>
    <w:rsid w:val="005459F8"/>
    <w:rsid w:val="00546575"/>
    <w:rsid w:val="0054793F"/>
    <w:rsid w:val="00553271"/>
    <w:rsid w:val="005548D7"/>
    <w:rsid w:val="00555BC4"/>
    <w:rsid w:val="00562B7A"/>
    <w:rsid w:val="00567C3C"/>
    <w:rsid w:val="0057040A"/>
    <w:rsid w:val="0057072D"/>
    <w:rsid w:val="00570767"/>
    <w:rsid w:val="00571E86"/>
    <w:rsid w:val="0057277A"/>
    <w:rsid w:val="00572BA0"/>
    <w:rsid w:val="00573FA3"/>
    <w:rsid w:val="00574552"/>
    <w:rsid w:val="005803DF"/>
    <w:rsid w:val="00582ADA"/>
    <w:rsid w:val="00584591"/>
    <w:rsid w:val="00584AF2"/>
    <w:rsid w:val="00584AFB"/>
    <w:rsid w:val="0058788C"/>
    <w:rsid w:val="00591085"/>
    <w:rsid w:val="00591A6F"/>
    <w:rsid w:val="005A2348"/>
    <w:rsid w:val="005B4064"/>
    <w:rsid w:val="005B4185"/>
    <w:rsid w:val="005B6553"/>
    <w:rsid w:val="005B6BEF"/>
    <w:rsid w:val="005C4AD4"/>
    <w:rsid w:val="005D0DEB"/>
    <w:rsid w:val="005E0068"/>
    <w:rsid w:val="005E28D7"/>
    <w:rsid w:val="005E5ED9"/>
    <w:rsid w:val="005E62CA"/>
    <w:rsid w:val="005F0EB5"/>
    <w:rsid w:val="00602A93"/>
    <w:rsid w:val="00602BB4"/>
    <w:rsid w:val="00605D85"/>
    <w:rsid w:val="00605DC6"/>
    <w:rsid w:val="00607C3E"/>
    <w:rsid w:val="00607DF0"/>
    <w:rsid w:val="0061217F"/>
    <w:rsid w:val="00612981"/>
    <w:rsid w:val="006155A8"/>
    <w:rsid w:val="00616DC4"/>
    <w:rsid w:val="006221B3"/>
    <w:rsid w:val="006230E3"/>
    <w:rsid w:val="00624DCB"/>
    <w:rsid w:val="00631D1C"/>
    <w:rsid w:val="0063668A"/>
    <w:rsid w:val="00636FF2"/>
    <w:rsid w:val="0064080C"/>
    <w:rsid w:val="00641DC2"/>
    <w:rsid w:val="00641EEA"/>
    <w:rsid w:val="00643127"/>
    <w:rsid w:val="00644945"/>
    <w:rsid w:val="006475AE"/>
    <w:rsid w:val="00653041"/>
    <w:rsid w:val="00653BB0"/>
    <w:rsid w:val="00655124"/>
    <w:rsid w:val="00660554"/>
    <w:rsid w:val="00662C0A"/>
    <w:rsid w:val="006653A1"/>
    <w:rsid w:val="00666A8D"/>
    <w:rsid w:val="006718A7"/>
    <w:rsid w:val="006764B6"/>
    <w:rsid w:val="00677DCC"/>
    <w:rsid w:val="00681304"/>
    <w:rsid w:val="00683F4A"/>
    <w:rsid w:val="0068727C"/>
    <w:rsid w:val="00694B92"/>
    <w:rsid w:val="0069657A"/>
    <w:rsid w:val="006A5C5C"/>
    <w:rsid w:val="006A65B2"/>
    <w:rsid w:val="006C36B4"/>
    <w:rsid w:val="006C4C5F"/>
    <w:rsid w:val="006C56A5"/>
    <w:rsid w:val="006C58FF"/>
    <w:rsid w:val="006C6616"/>
    <w:rsid w:val="006D21D2"/>
    <w:rsid w:val="006D22E7"/>
    <w:rsid w:val="006E10F0"/>
    <w:rsid w:val="006E5223"/>
    <w:rsid w:val="006E63C7"/>
    <w:rsid w:val="006F038E"/>
    <w:rsid w:val="006F37D6"/>
    <w:rsid w:val="006F562F"/>
    <w:rsid w:val="00701765"/>
    <w:rsid w:val="00703460"/>
    <w:rsid w:val="007073E9"/>
    <w:rsid w:val="00707F15"/>
    <w:rsid w:val="00712F70"/>
    <w:rsid w:val="007130EE"/>
    <w:rsid w:val="00714258"/>
    <w:rsid w:val="00714881"/>
    <w:rsid w:val="00717FA4"/>
    <w:rsid w:val="00721727"/>
    <w:rsid w:val="00721A21"/>
    <w:rsid w:val="007255C2"/>
    <w:rsid w:val="00726CAB"/>
    <w:rsid w:val="00726D14"/>
    <w:rsid w:val="00726DC3"/>
    <w:rsid w:val="0073384A"/>
    <w:rsid w:val="007406E8"/>
    <w:rsid w:val="00740DF6"/>
    <w:rsid w:val="007412EF"/>
    <w:rsid w:val="00756F9D"/>
    <w:rsid w:val="00760CD5"/>
    <w:rsid w:val="00762B99"/>
    <w:rsid w:val="0076332C"/>
    <w:rsid w:val="00763A09"/>
    <w:rsid w:val="007648A2"/>
    <w:rsid w:val="00765D57"/>
    <w:rsid w:val="00765EDB"/>
    <w:rsid w:val="00770452"/>
    <w:rsid w:val="00775880"/>
    <w:rsid w:val="007763F9"/>
    <w:rsid w:val="0077723F"/>
    <w:rsid w:val="0077729D"/>
    <w:rsid w:val="00777A8B"/>
    <w:rsid w:val="00780A26"/>
    <w:rsid w:val="00780C79"/>
    <w:rsid w:val="007902D0"/>
    <w:rsid w:val="007914B0"/>
    <w:rsid w:val="0079591F"/>
    <w:rsid w:val="00796603"/>
    <w:rsid w:val="007A1A4E"/>
    <w:rsid w:val="007A35A9"/>
    <w:rsid w:val="007A3653"/>
    <w:rsid w:val="007A5F4C"/>
    <w:rsid w:val="007A7CA3"/>
    <w:rsid w:val="007B2769"/>
    <w:rsid w:val="007B791A"/>
    <w:rsid w:val="007B7EB7"/>
    <w:rsid w:val="007C1E21"/>
    <w:rsid w:val="007C7D9F"/>
    <w:rsid w:val="007C7E6B"/>
    <w:rsid w:val="007D4004"/>
    <w:rsid w:val="007D5E30"/>
    <w:rsid w:val="007E310C"/>
    <w:rsid w:val="007F001C"/>
    <w:rsid w:val="007F0FC0"/>
    <w:rsid w:val="007F1D5A"/>
    <w:rsid w:val="007F3481"/>
    <w:rsid w:val="007F39AD"/>
    <w:rsid w:val="007F3BD2"/>
    <w:rsid w:val="007F4A90"/>
    <w:rsid w:val="007F6014"/>
    <w:rsid w:val="0080065B"/>
    <w:rsid w:val="00802F9E"/>
    <w:rsid w:val="00803023"/>
    <w:rsid w:val="0082065F"/>
    <w:rsid w:val="00826ECC"/>
    <w:rsid w:val="00830B79"/>
    <w:rsid w:val="00833FC8"/>
    <w:rsid w:val="00834FCA"/>
    <w:rsid w:val="008377E4"/>
    <w:rsid w:val="00841035"/>
    <w:rsid w:val="00846A96"/>
    <w:rsid w:val="008500B6"/>
    <w:rsid w:val="00856CD0"/>
    <w:rsid w:val="0085744B"/>
    <w:rsid w:val="00860E11"/>
    <w:rsid w:val="0086627A"/>
    <w:rsid w:val="00866DC7"/>
    <w:rsid w:val="008709F2"/>
    <w:rsid w:val="00871093"/>
    <w:rsid w:val="008722F7"/>
    <w:rsid w:val="00874E38"/>
    <w:rsid w:val="008770C7"/>
    <w:rsid w:val="00877B41"/>
    <w:rsid w:val="008864C0"/>
    <w:rsid w:val="00897680"/>
    <w:rsid w:val="008978B6"/>
    <w:rsid w:val="008979D5"/>
    <w:rsid w:val="008A04A3"/>
    <w:rsid w:val="008A061D"/>
    <w:rsid w:val="008A103B"/>
    <w:rsid w:val="008A2E98"/>
    <w:rsid w:val="008A6DCC"/>
    <w:rsid w:val="008B3717"/>
    <w:rsid w:val="008B7614"/>
    <w:rsid w:val="008B78E4"/>
    <w:rsid w:val="008C08D8"/>
    <w:rsid w:val="008C32DE"/>
    <w:rsid w:val="008C7BDF"/>
    <w:rsid w:val="008D3309"/>
    <w:rsid w:val="008D3616"/>
    <w:rsid w:val="008D5740"/>
    <w:rsid w:val="008E1235"/>
    <w:rsid w:val="008E1520"/>
    <w:rsid w:val="008E1FBB"/>
    <w:rsid w:val="008F1273"/>
    <w:rsid w:val="008F4051"/>
    <w:rsid w:val="00901EFA"/>
    <w:rsid w:val="00902AEA"/>
    <w:rsid w:val="009047D0"/>
    <w:rsid w:val="00905AF0"/>
    <w:rsid w:val="00906BAC"/>
    <w:rsid w:val="00912838"/>
    <w:rsid w:val="00915F4B"/>
    <w:rsid w:val="00916762"/>
    <w:rsid w:val="0092006A"/>
    <w:rsid w:val="00920230"/>
    <w:rsid w:val="00924BCC"/>
    <w:rsid w:val="00927576"/>
    <w:rsid w:val="009302CF"/>
    <w:rsid w:val="00930A8A"/>
    <w:rsid w:val="00931223"/>
    <w:rsid w:val="00933107"/>
    <w:rsid w:val="00935932"/>
    <w:rsid w:val="00937C8A"/>
    <w:rsid w:val="00943337"/>
    <w:rsid w:val="009458F5"/>
    <w:rsid w:val="00951CE1"/>
    <w:rsid w:val="0095323C"/>
    <w:rsid w:val="00955D71"/>
    <w:rsid w:val="009626A2"/>
    <w:rsid w:val="00962D27"/>
    <w:rsid w:val="00964757"/>
    <w:rsid w:val="00965098"/>
    <w:rsid w:val="00966C63"/>
    <w:rsid w:val="0097151A"/>
    <w:rsid w:val="00980E66"/>
    <w:rsid w:val="00982FBB"/>
    <w:rsid w:val="009844E3"/>
    <w:rsid w:val="00984D24"/>
    <w:rsid w:val="00987369"/>
    <w:rsid w:val="00993572"/>
    <w:rsid w:val="0099391A"/>
    <w:rsid w:val="00996C48"/>
    <w:rsid w:val="009974D0"/>
    <w:rsid w:val="009A0087"/>
    <w:rsid w:val="009A66C0"/>
    <w:rsid w:val="009B6437"/>
    <w:rsid w:val="009C0949"/>
    <w:rsid w:val="009C311B"/>
    <w:rsid w:val="009C3A2E"/>
    <w:rsid w:val="009C5898"/>
    <w:rsid w:val="009D2C72"/>
    <w:rsid w:val="009D3C37"/>
    <w:rsid w:val="009D4B69"/>
    <w:rsid w:val="009D4E7F"/>
    <w:rsid w:val="009E21FD"/>
    <w:rsid w:val="009E4462"/>
    <w:rsid w:val="009E6427"/>
    <w:rsid w:val="009E753F"/>
    <w:rsid w:val="009E7CCF"/>
    <w:rsid w:val="009F0017"/>
    <w:rsid w:val="009F5E0F"/>
    <w:rsid w:val="009F6CF4"/>
    <w:rsid w:val="00A00C78"/>
    <w:rsid w:val="00A1132A"/>
    <w:rsid w:val="00A12E86"/>
    <w:rsid w:val="00A21FA8"/>
    <w:rsid w:val="00A227CD"/>
    <w:rsid w:val="00A3066B"/>
    <w:rsid w:val="00A3214B"/>
    <w:rsid w:val="00A40600"/>
    <w:rsid w:val="00A445C9"/>
    <w:rsid w:val="00A44BA0"/>
    <w:rsid w:val="00A45ECA"/>
    <w:rsid w:val="00A4798B"/>
    <w:rsid w:val="00A47E6E"/>
    <w:rsid w:val="00A5255E"/>
    <w:rsid w:val="00A62CD3"/>
    <w:rsid w:val="00A62D54"/>
    <w:rsid w:val="00A66994"/>
    <w:rsid w:val="00A73EE9"/>
    <w:rsid w:val="00A8276B"/>
    <w:rsid w:val="00A85108"/>
    <w:rsid w:val="00A90B6E"/>
    <w:rsid w:val="00A93CE8"/>
    <w:rsid w:val="00A961C7"/>
    <w:rsid w:val="00AA0978"/>
    <w:rsid w:val="00AA16C3"/>
    <w:rsid w:val="00AA1768"/>
    <w:rsid w:val="00AA3003"/>
    <w:rsid w:val="00AA604F"/>
    <w:rsid w:val="00AB3BD1"/>
    <w:rsid w:val="00AB6515"/>
    <w:rsid w:val="00AD0EE1"/>
    <w:rsid w:val="00AD6C88"/>
    <w:rsid w:val="00AE0116"/>
    <w:rsid w:val="00AE0C2F"/>
    <w:rsid w:val="00AE20D3"/>
    <w:rsid w:val="00AE323E"/>
    <w:rsid w:val="00AE7FFA"/>
    <w:rsid w:val="00AF270C"/>
    <w:rsid w:val="00AF4ECC"/>
    <w:rsid w:val="00AF69FC"/>
    <w:rsid w:val="00B00D7C"/>
    <w:rsid w:val="00B016CE"/>
    <w:rsid w:val="00B05C9A"/>
    <w:rsid w:val="00B060FC"/>
    <w:rsid w:val="00B10652"/>
    <w:rsid w:val="00B111F2"/>
    <w:rsid w:val="00B1500A"/>
    <w:rsid w:val="00B15BAE"/>
    <w:rsid w:val="00B1655F"/>
    <w:rsid w:val="00B21215"/>
    <w:rsid w:val="00B21EF0"/>
    <w:rsid w:val="00B22936"/>
    <w:rsid w:val="00B23621"/>
    <w:rsid w:val="00B253BB"/>
    <w:rsid w:val="00B25961"/>
    <w:rsid w:val="00B33A02"/>
    <w:rsid w:val="00B46884"/>
    <w:rsid w:val="00B50264"/>
    <w:rsid w:val="00B5323C"/>
    <w:rsid w:val="00B57B71"/>
    <w:rsid w:val="00B63DDD"/>
    <w:rsid w:val="00B6434E"/>
    <w:rsid w:val="00B65439"/>
    <w:rsid w:val="00B65693"/>
    <w:rsid w:val="00B66E32"/>
    <w:rsid w:val="00B675F2"/>
    <w:rsid w:val="00B708C2"/>
    <w:rsid w:val="00B71830"/>
    <w:rsid w:val="00B723FA"/>
    <w:rsid w:val="00B745E9"/>
    <w:rsid w:val="00B7552F"/>
    <w:rsid w:val="00B848F5"/>
    <w:rsid w:val="00B87681"/>
    <w:rsid w:val="00B90379"/>
    <w:rsid w:val="00B90A1D"/>
    <w:rsid w:val="00B915FA"/>
    <w:rsid w:val="00B94CAF"/>
    <w:rsid w:val="00B94D85"/>
    <w:rsid w:val="00BA4261"/>
    <w:rsid w:val="00BA63B2"/>
    <w:rsid w:val="00BA645D"/>
    <w:rsid w:val="00BA6543"/>
    <w:rsid w:val="00BB0903"/>
    <w:rsid w:val="00BB0D68"/>
    <w:rsid w:val="00BB2843"/>
    <w:rsid w:val="00BB733D"/>
    <w:rsid w:val="00BC377C"/>
    <w:rsid w:val="00BC6EA6"/>
    <w:rsid w:val="00BD1A7E"/>
    <w:rsid w:val="00BD39F7"/>
    <w:rsid w:val="00BD6B73"/>
    <w:rsid w:val="00BD6CAC"/>
    <w:rsid w:val="00BD730C"/>
    <w:rsid w:val="00BD7416"/>
    <w:rsid w:val="00BD7BE5"/>
    <w:rsid w:val="00BE380B"/>
    <w:rsid w:val="00BE38C9"/>
    <w:rsid w:val="00BE77D2"/>
    <w:rsid w:val="00BF4F6D"/>
    <w:rsid w:val="00BF66D2"/>
    <w:rsid w:val="00C00170"/>
    <w:rsid w:val="00C010BD"/>
    <w:rsid w:val="00C0549C"/>
    <w:rsid w:val="00C076B7"/>
    <w:rsid w:val="00C11821"/>
    <w:rsid w:val="00C1454C"/>
    <w:rsid w:val="00C15ACA"/>
    <w:rsid w:val="00C15DD3"/>
    <w:rsid w:val="00C17A22"/>
    <w:rsid w:val="00C209F2"/>
    <w:rsid w:val="00C236FC"/>
    <w:rsid w:val="00C24E91"/>
    <w:rsid w:val="00C24F73"/>
    <w:rsid w:val="00C275DC"/>
    <w:rsid w:val="00C27AC1"/>
    <w:rsid w:val="00C30643"/>
    <w:rsid w:val="00C33F19"/>
    <w:rsid w:val="00C37DAF"/>
    <w:rsid w:val="00C42221"/>
    <w:rsid w:val="00C46EAC"/>
    <w:rsid w:val="00C512C9"/>
    <w:rsid w:val="00C55EF4"/>
    <w:rsid w:val="00C5777F"/>
    <w:rsid w:val="00C605F4"/>
    <w:rsid w:val="00C6089D"/>
    <w:rsid w:val="00C62241"/>
    <w:rsid w:val="00C63A0B"/>
    <w:rsid w:val="00C66A58"/>
    <w:rsid w:val="00C734FF"/>
    <w:rsid w:val="00C74211"/>
    <w:rsid w:val="00C80FF8"/>
    <w:rsid w:val="00C82F2E"/>
    <w:rsid w:val="00C866FF"/>
    <w:rsid w:val="00C91837"/>
    <w:rsid w:val="00C92676"/>
    <w:rsid w:val="00C940CB"/>
    <w:rsid w:val="00C953D0"/>
    <w:rsid w:val="00C95E8D"/>
    <w:rsid w:val="00CA1EF6"/>
    <w:rsid w:val="00CA21CB"/>
    <w:rsid w:val="00CA22F6"/>
    <w:rsid w:val="00CA2F93"/>
    <w:rsid w:val="00CB4033"/>
    <w:rsid w:val="00CB6A33"/>
    <w:rsid w:val="00CC12BE"/>
    <w:rsid w:val="00CC1B70"/>
    <w:rsid w:val="00CC1E7D"/>
    <w:rsid w:val="00CC3F21"/>
    <w:rsid w:val="00CC6757"/>
    <w:rsid w:val="00CC6FCB"/>
    <w:rsid w:val="00CD14B3"/>
    <w:rsid w:val="00CD2C4A"/>
    <w:rsid w:val="00CD2FCF"/>
    <w:rsid w:val="00CD332C"/>
    <w:rsid w:val="00CD459D"/>
    <w:rsid w:val="00CD5988"/>
    <w:rsid w:val="00CD6DEB"/>
    <w:rsid w:val="00CE0DF9"/>
    <w:rsid w:val="00CE1EC9"/>
    <w:rsid w:val="00CE382C"/>
    <w:rsid w:val="00CE49C9"/>
    <w:rsid w:val="00CE735B"/>
    <w:rsid w:val="00CE78BF"/>
    <w:rsid w:val="00CF2FFC"/>
    <w:rsid w:val="00CF4F33"/>
    <w:rsid w:val="00CF6625"/>
    <w:rsid w:val="00CF67F9"/>
    <w:rsid w:val="00D04E4E"/>
    <w:rsid w:val="00D100C5"/>
    <w:rsid w:val="00D10253"/>
    <w:rsid w:val="00D11F65"/>
    <w:rsid w:val="00D14F0D"/>
    <w:rsid w:val="00D16BBC"/>
    <w:rsid w:val="00D20D39"/>
    <w:rsid w:val="00D216EA"/>
    <w:rsid w:val="00D24631"/>
    <w:rsid w:val="00D247A5"/>
    <w:rsid w:val="00D271EC"/>
    <w:rsid w:val="00D30ED5"/>
    <w:rsid w:val="00D34D25"/>
    <w:rsid w:val="00D3610F"/>
    <w:rsid w:val="00D37171"/>
    <w:rsid w:val="00D37D78"/>
    <w:rsid w:val="00D420CB"/>
    <w:rsid w:val="00D50AAD"/>
    <w:rsid w:val="00D563DB"/>
    <w:rsid w:val="00D57437"/>
    <w:rsid w:val="00D60F57"/>
    <w:rsid w:val="00D61974"/>
    <w:rsid w:val="00D651E5"/>
    <w:rsid w:val="00D67B2C"/>
    <w:rsid w:val="00D7380C"/>
    <w:rsid w:val="00D81B24"/>
    <w:rsid w:val="00D83FFD"/>
    <w:rsid w:val="00D85801"/>
    <w:rsid w:val="00D86473"/>
    <w:rsid w:val="00D87689"/>
    <w:rsid w:val="00D87A9C"/>
    <w:rsid w:val="00D87D39"/>
    <w:rsid w:val="00D9032C"/>
    <w:rsid w:val="00D94003"/>
    <w:rsid w:val="00D97F98"/>
    <w:rsid w:val="00DA1C56"/>
    <w:rsid w:val="00DA6918"/>
    <w:rsid w:val="00DB113D"/>
    <w:rsid w:val="00DB2339"/>
    <w:rsid w:val="00DB4F2F"/>
    <w:rsid w:val="00DB5023"/>
    <w:rsid w:val="00DB7ACC"/>
    <w:rsid w:val="00DC0913"/>
    <w:rsid w:val="00DC0DCD"/>
    <w:rsid w:val="00DC217B"/>
    <w:rsid w:val="00DD638D"/>
    <w:rsid w:val="00DD6DF6"/>
    <w:rsid w:val="00DD71AF"/>
    <w:rsid w:val="00DE06C7"/>
    <w:rsid w:val="00DE0F08"/>
    <w:rsid w:val="00DE3728"/>
    <w:rsid w:val="00DF041E"/>
    <w:rsid w:val="00DF376F"/>
    <w:rsid w:val="00DF59CC"/>
    <w:rsid w:val="00DF7C32"/>
    <w:rsid w:val="00E072BF"/>
    <w:rsid w:val="00E0735C"/>
    <w:rsid w:val="00E1144A"/>
    <w:rsid w:val="00E163B6"/>
    <w:rsid w:val="00E23F53"/>
    <w:rsid w:val="00E25EAE"/>
    <w:rsid w:val="00E26BE9"/>
    <w:rsid w:val="00E32A14"/>
    <w:rsid w:val="00E36CDE"/>
    <w:rsid w:val="00E4102C"/>
    <w:rsid w:val="00E416E6"/>
    <w:rsid w:val="00E422E5"/>
    <w:rsid w:val="00E42ABB"/>
    <w:rsid w:val="00E43655"/>
    <w:rsid w:val="00E44386"/>
    <w:rsid w:val="00E453CF"/>
    <w:rsid w:val="00E45D49"/>
    <w:rsid w:val="00E517DF"/>
    <w:rsid w:val="00E51D00"/>
    <w:rsid w:val="00E5623A"/>
    <w:rsid w:val="00E569A9"/>
    <w:rsid w:val="00E616FC"/>
    <w:rsid w:val="00E62B17"/>
    <w:rsid w:val="00E64983"/>
    <w:rsid w:val="00E66294"/>
    <w:rsid w:val="00E66A57"/>
    <w:rsid w:val="00E71007"/>
    <w:rsid w:val="00E7271A"/>
    <w:rsid w:val="00E7497F"/>
    <w:rsid w:val="00E74B6C"/>
    <w:rsid w:val="00E82E17"/>
    <w:rsid w:val="00E90FD1"/>
    <w:rsid w:val="00E92826"/>
    <w:rsid w:val="00E930CC"/>
    <w:rsid w:val="00E95FA2"/>
    <w:rsid w:val="00EA025D"/>
    <w:rsid w:val="00EA6750"/>
    <w:rsid w:val="00EA6977"/>
    <w:rsid w:val="00EB1809"/>
    <w:rsid w:val="00EB4BBB"/>
    <w:rsid w:val="00EB540A"/>
    <w:rsid w:val="00EB6C28"/>
    <w:rsid w:val="00EC06FF"/>
    <w:rsid w:val="00EC2290"/>
    <w:rsid w:val="00EC4AD9"/>
    <w:rsid w:val="00EC4C7B"/>
    <w:rsid w:val="00EC51FE"/>
    <w:rsid w:val="00EC62E6"/>
    <w:rsid w:val="00EC6F48"/>
    <w:rsid w:val="00EC785B"/>
    <w:rsid w:val="00ED0764"/>
    <w:rsid w:val="00ED2EAD"/>
    <w:rsid w:val="00ED2FD5"/>
    <w:rsid w:val="00ED3894"/>
    <w:rsid w:val="00ED3E06"/>
    <w:rsid w:val="00EE1C5E"/>
    <w:rsid w:val="00EE4835"/>
    <w:rsid w:val="00EF132B"/>
    <w:rsid w:val="00EF3BD4"/>
    <w:rsid w:val="00EF7A8B"/>
    <w:rsid w:val="00F0058B"/>
    <w:rsid w:val="00F01694"/>
    <w:rsid w:val="00F1058D"/>
    <w:rsid w:val="00F1073E"/>
    <w:rsid w:val="00F111AA"/>
    <w:rsid w:val="00F11919"/>
    <w:rsid w:val="00F21753"/>
    <w:rsid w:val="00F23FA7"/>
    <w:rsid w:val="00F27691"/>
    <w:rsid w:val="00F27C6B"/>
    <w:rsid w:val="00F27D2B"/>
    <w:rsid w:val="00F31891"/>
    <w:rsid w:val="00F3534A"/>
    <w:rsid w:val="00F35E3E"/>
    <w:rsid w:val="00F43415"/>
    <w:rsid w:val="00F4577E"/>
    <w:rsid w:val="00F476F3"/>
    <w:rsid w:val="00F539BC"/>
    <w:rsid w:val="00F54EAD"/>
    <w:rsid w:val="00F60120"/>
    <w:rsid w:val="00F6264C"/>
    <w:rsid w:val="00F6393F"/>
    <w:rsid w:val="00F648F7"/>
    <w:rsid w:val="00F66967"/>
    <w:rsid w:val="00F7658B"/>
    <w:rsid w:val="00F772B6"/>
    <w:rsid w:val="00F81692"/>
    <w:rsid w:val="00F81CAC"/>
    <w:rsid w:val="00F8294E"/>
    <w:rsid w:val="00F8414D"/>
    <w:rsid w:val="00F86708"/>
    <w:rsid w:val="00F86752"/>
    <w:rsid w:val="00F871E8"/>
    <w:rsid w:val="00F87B5C"/>
    <w:rsid w:val="00F957FE"/>
    <w:rsid w:val="00FA2C51"/>
    <w:rsid w:val="00FA338F"/>
    <w:rsid w:val="00FA3798"/>
    <w:rsid w:val="00FA766D"/>
    <w:rsid w:val="00FB069E"/>
    <w:rsid w:val="00FB0F45"/>
    <w:rsid w:val="00FB1544"/>
    <w:rsid w:val="00FB45CE"/>
    <w:rsid w:val="00FB6304"/>
    <w:rsid w:val="00FB67A0"/>
    <w:rsid w:val="00FD55AB"/>
    <w:rsid w:val="00FD6AB4"/>
    <w:rsid w:val="00FE311A"/>
    <w:rsid w:val="00FE35D8"/>
    <w:rsid w:val="00FE4AF9"/>
    <w:rsid w:val="00FE5197"/>
    <w:rsid w:val="00FE57D4"/>
    <w:rsid w:val="00FE61AA"/>
    <w:rsid w:val="00FE696C"/>
    <w:rsid w:val="00FF3933"/>
    <w:rsid w:val="00FF4FBB"/>
    <w:rsid w:val="00FF6539"/>
    <w:rsid w:val="00FF7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0AEE2F"/>
  <w15:docId w15:val="{24BEF393-7763-4E7D-B86B-E1AE07D75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C28"/>
    <w:pPr>
      <w:spacing w:after="200"/>
    </w:pPr>
    <w:rPr>
      <w:rFonts w:ascii="Times New Roman" w:hAnsi="Times New Roman" w:cs="Times New Roman"/>
      <w:color w:val="000000"/>
      <w:sz w:val="24"/>
      <w:szCs w:val="20"/>
      <w:shd w:val="clear" w:color="auto" w:fill="FFFFFF"/>
      <w:lang w:val="en-US" w:eastAsia="en-US"/>
    </w:rPr>
  </w:style>
  <w:style w:type="paragraph" w:styleId="Heading1">
    <w:name w:val="heading 1"/>
    <w:basedOn w:val="Normal"/>
    <w:link w:val="Overskrift1Tegn"/>
    <w:uiPriority w:val="99"/>
    <w:qFormat/>
    <w:rsid w:val="00157982"/>
    <w:pPr>
      <w:keepNext/>
      <w:keepLines/>
      <w:autoSpaceDE w:val="0"/>
      <w:autoSpaceDN w:val="0"/>
      <w:adjustRightInd w:val="0"/>
      <w:spacing w:before="480" w:after="480"/>
      <w:jc w:val="both"/>
      <w:outlineLvl w:val="0"/>
    </w:pPr>
    <w:rPr>
      <w:iCs/>
      <w:color w:val="auto"/>
      <w:kern w:val="36"/>
      <w:sz w:val="28"/>
      <w:szCs w:val="48"/>
    </w:rPr>
  </w:style>
  <w:style w:type="paragraph" w:styleId="Heading2">
    <w:name w:val="heading 2"/>
    <w:basedOn w:val="Normal"/>
    <w:link w:val="Overskrift2Tegn"/>
    <w:uiPriority w:val="99"/>
    <w:qFormat/>
    <w:rsid w:val="00157982"/>
    <w:pPr>
      <w:spacing w:before="100" w:beforeAutospacing="1" w:after="100" w:afterAutospacing="1"/>
      <w:outlineLvl w:val="1"/>
    </w:pPr>
    <w:rPr>
      <w:iCs/>
      <w:color w:val="auto"/>
      <w:sz w:val="36"/>
      <w:szCs w:val="36"/>
    </w:rPr>
  </w:style>
  <w:style w:type="paragraph" w:styleId="Heading3">
    <w:name w:val="heading 3"/>
    <w:basedOn w:val="Normal"/>
    <w:link w:val="Overskrift3Tegn"/>
    <w:uiPriority w:val="99"/>
    <w:qFormat/>
    <w:rsid w:val="00157982"/>
    <w:pPr>
      <w:spacing w:before="100" w:beforeAutospacing="1" w:after="100" w:afterAutospacing="1"/>
      <w:outlineLvl w:val="2"/>
    </w:pPr>
    <w:rPr>
      <w:iCs/>
      <w:color w:val="auto"/>
      <w:sz w:val="27"/>
      <w:szCs w:val="27"/>
    </w:rPr>
  </w:style>
  <w:style w:type="paragraph" w:styleId="Heading4">
    <w:name w:val="heading 4"/>
    <w:basedOn w:val="Normal"/>
    <w:link w:val="Overskrift4Tegn"/>
    <w:uiPriority w:val="99"/>
    <w:qFormat/>
    <w:rsid w:val="00157982"/>
    <w:pPr>
      <w:spacing w:before="100" w:beforeAutospacing="1" w:after="100" w:afterAutospacing="1"/>
      <w:outlineLvl w:val="3"/>
    </w:pPr>
    <w:rPr>
      <w:iCs/>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verskrift1Tegn">
    <w:name w:val="Overskrift 1 Tegn"/>
    <w:basedOn w:val="DefaultParagraphFont"/>
    <w:link w:val="Heading1"/>
    <w:uiPriority w:val="99"/>
    <w:locked/>
    <w:rsid w:val="00157982"/>
    <w:rPr>
      <w:rFonts w:ascii="Times New Roman" w:hAnsi="Times New Roman" w:cs="Times New Roman"/>
      <w:iCs/>
      <w:kern w:val="36"/>
      <w:sz w:val="48"/>
      <w:szCs w:val="48"/>
    </w:rPr>
  </w:style>
  <w:style w:type="character" w:customStyle="1" w:styleId="Overskrift2Tegn">
    <w:name w:val="Overskrift 2 Tegn"/>
    <w:basedOn w:val="DefaultParagraphFont"/>
    <w:link w:val="Heading2"/>
    <w:uiPriority w:val="99"/>
    <w:locked/>
    <w:rsid w:val="00157982"/>
    <w:rPr>
      <w:rFonts w:ascii="Times New Roman" w:hAnsi="Times New Roman" w:cs="Times New Roman"/>
      <w:iCs/>
      <w:sz w:val="36"/>
      <w:szCs w:val="36"/>
    </w:rPr>
  </w:style>
  <w:style w:type="character" w:customStyle="1" w:styleId="Overskrift3Tegn">
    <w:name w:val="Overskrift 3 Tegn"/>
    <w:basedOn w:val="DefaultParagraphFont"/>
    <w:link w:val="Heading3"/>
    <w:uiPriority w:val="99"/>
    <w:locked/>
    <w:rsid w:val="00157982"/>
    <w:rPr>
      <w:rFonts w:ascii="Times New Roman" w:hAnsi="Times New Roman" w:cs="Times New Roman"/>
      <w:iCs/>
      <w:sz w:val="27"/>
      <w:szCs w:val="27"/>
    </w:rPr>
  </w:style>
  <w:style w:type="character" w:customStyle="1" w:styleId="Overskrift4Tegn">
    <w:name w:val="Overskrift 4 Tegn"/>
    <w:basedOn w:val="DefaultParagraphFont"/>
    <w:link w:val="Heading4"/>
    <w:uiPriority w:val="99"/>
    <w:locked/>
    <w:rsid w:val="00157982"/>
    <w:rPr>
      <w:rFonts w:ascii="Times New Roman" w:hAnsi="Times New Roman" w:cs="Times New Roman"/>
      <w:iCs/>
      <w:sz w:val="24"/>
      <w:szCs w:val="24"/>
    </w:rPr>
  </w:style>
  <w:style w:type="character" w:styleId="Hyperlink">
    <w:name w:val="Hyperlink"/>
    <w:basedOn w:val="DefaultParagraphFont"/>
    <w:uiPriority w:val="99"/>
    <w:rsid w:val="00157982"/>
    <w:rPr>
      <w:rFonts w:cs="Times New Roman"/>
      <w:color w:val="0000FF"/>
      <w:u w:val="single"/>
    </w:rPr>
  </w:style>
  <w:style w:type="character" w:styleId="FollowedHyperlink">
    <w:name w:val="FollowedHyperlink"/>
    <w:basedOn w:val="DefaultParagraphFont"/>
    <w:uiPriority w:val="99"/>
    <w:semiHidden/>
    <w:rsid w:val="00157982"/>
    <w:rPr>
      <w:rFonts w:cs="Times New Roman"/>
      <w:color w:val="800080"/>
      <w:u w:val="single"/>
    </w:rPr>
  </w:style>
  <w:style w:type="character" w:customStyle="1" w:styleId="ribbonquarter">
    <w:name w:val="ribbon__quarter"/>
    <w:basedOn w:val="DefaultParagraphFont"/>
    <w:uiPriority w:val="99"/>
    <w:rsid w:val="00157982"/>
    <w:rPr>
      <w:rFonts w:cs="Times New Roman"/>
    </w:rPr>
  </w:style>
  <w:style w:type="character" w:customStyle="1" w:styleId="freeaccess">
    <w:name w:val="freeaccess"/>
    <w:basedOn w:val="DefaultParagraphFont"/>
    <w:uiPriority w:val="99"/>
    <w:rsid w:val="00157982"/>
    <w:rPr>
      <w:rFonts w:cs="Times New Roman"/>
    </w:rPr>
  </w:style>
  <w:style w:type="character" w:customStyle="1" w:styleId="maintitle">
    <w:name w:val="maintitle"/>
    <w:basedOn w:val="DefaultParagraphFont"/>
    <w:uiPriority w:val="99"/>
    <w:rsid w:val="00157982"/>
    <w:rPr>
      <w:rFonts w:cs="Times New Roman"/>
    </w:rPr>
  </w:style>
  <w:style w:type="paragraph" w:styleId="NormalWeb">
    <w:name w:val="Normal (Web)"/>
    <w:basedOn w:val="Normal"/>
    <w:uiPriority w:val="99"/>
    <w:rsid w:val="00157982"/>
    <w:pPr>
      <w:spacing w:before="100" w:beforeAutospacing="1" w:after="100" w:afterAutospacing="1"/>
    </w:pPr>
    <w:rPr>
      <w:b/>
      <w:bCs/>
      <w:iCs/>
      <w:color w:val="auto"/>
      <w:szCs w:val="24"/>
    </w:rPr>
  </w:style>
  <w:style w:type="paragraph" w:customStyle="1" w:styleId="copyright">
    <w:name w:val="copyright"/>
    <w:basedOn w:val="Normal"/>
    <w:uiPriority w:val="99"/>
    <w:rsid w:val="00157982"/>
    <w:pPr>
      <w:spacing w:before="100" w:beforeAutospacing="1" w:after="100" w:afterAutospacing="1"/>
    </w:pPr>
    <w:rPr>
      <w:b/>
      <w:bCs/>
      <w:iCs/>
      <w:color w:val="auto"/>
      <w:szCs w:val="24"/>
    </w:rPr>
  </w:style>
  <w:style w:type="paragraph" w:customStyle="1" w:styleId="articlecategory">
    <w:name w:val="articlecategory"/>
    <w:basedOn w:val="Normal"/>
    <w:uiPriority w:val="99"/>
    <w:rsid w:val="00157982"/>
    <w:pPr>
      <w:spacing w:before="100" w:beforeAutospacing="1" w:after="100" w:afterAutospacing="1"/>
    </w:pPr>
    <w:rPr>
      <w:b/>
      <w:bCs/>
      <w:iCs/>
      <w:color w:val="auto"/>
      <w:szCs w:val="24"/>
    </w:rPr>
  </w:style>
  <w:style w:type="paragraph" w:customStyle="1" w:styleId="specialissue">
    <w:name w:val="specialissue"/>
    <w:basedOn w:val="Normal"/>
    <w:uiPriority w:val="99"/>
    <w:rsid w:val="00157982"/>
    <w:pPr>
      <w:spacing w:before="100" w:beforeAutospacing="1" w:after="100" w:afterAutospacing="1"/>
    </w:pPr>
    <w:rPr>
      <w:b/>
      <w:bCs/>
      <w:iCs/>
      <w:color w:val="auto"/>
      <w:szCs w:val="24"/>
    </w:rPr>
  </w:style>
  <w:style w:type="paragraph" w:customStyle="1" w:styleId="articledetails">
    <w:name w:val="articledetails"/>
    <w:basedOn w:val="Normal"/>
    <w:uiPriority w:val="99"/>
    <w:rsid w:val="00157982"/>
    <w:pPr>
      <w:spacing w:before="100" w:beforeAutospacing="1" w:after="100" w:afterAutospacing="1"/>
    </w:pPr>
    <w:rPr>
      <w:b/>
      <w:bCs/>
      <w:iCs/>
      <w:color w:val="auto"/>
      <w:szCs w:val="24"/>
    </w:rPr>
  </w:style>
  <w:style w:type="paragraph" w:styleId="z-TopofForm">
    <w:name w:val="HTML Top of Form"/>
    <w:basedOn w:val="Normal"/>
    <w:next w:val="Normal"/>
    <w:link w:val="z-verstiformularenTegn"/>
    <w:hidden/>
    <w:uiPriority w:val="99"/>
    <w:semiHidden/>
    <w:rsid w:val="00157982"/>
    <w:pPr>
      <w:pBdr>
        <w:bottom w:val="single" w:sz="6" w:space="1" w:color="auto"/>
      </w:pBdr>
      <w:spacing w:after="0"/>
      <w:jc w:val="center"/>
    </w:pPr>
    <w:rPr>
      <w:rFonts w:ascii="Arial" w:hAnsi="Arial" w:cs="Arial"/>
      <w:b/>
      <w:bCs/>
      <w:iCs/>
      <w:vanish/>
      <w:color w:val="auto"/>
      <w:sz w:val="16"/>
      <w:szCs w:val="16"/>
    </w:rPr>
  </w:style>
  <w:style w:type="character" w:customStyle="1" w:styleId="z-verstiformularenTegn">
    <w:name w:val="z-Øverst i formularen Tegn"/>
    <w:basedOn w:val="DefaultParagraphFont"/>
    <w:link w:val="z-TopofForm"/>
    <w:uiPriority w:val="99"/>
    <w:semiHidden/>
    <w:locked/>
    <w:rsid w:val="00157982"/>
    <w:rPr>
      <w:rFonts w:ascii="Arial" w:hAnsi="Arial" w:cs="Arial"/>
      <w:b/>
      <w:bCs/>
      <w:iCs/>
      <w:vanish/>
      <w:sz w:val="16"/>
      <w:szCs w:val="16"/>
    </w:rPr>
  </w:style>
  <w:style w:type="paragraph" w:styleId="z-BottomofForm">
    <w:name w:val="HTML Bottom of Form"/>
    <w:basedOn w:val="Normal"/>
    <w:next w:val="Normal"/>
    <w:link w:val="z-NederstiformularenTegn"/>
    <w:hidden/>
    <w:uiPriority w:val="99"/>
    <w:semiHidden/>
    <w:rsid w:val="00157982"/>
    <w:pPr>
      <w:pBdr>
        <w:top w:val="single" w:sz="6" w:space="1" w:color="auto"/>
      </w:pBdr>
      <w:spacing w:after="0"/>
      <w:jc w:val="center"/>
    </w:pPr>
    <w:rPr>
      <w:rFonts w:ascii="Arial" w:hAnsi="Arial" w:cs="Arial"/>
      <w:b/>
      <w:bCs/>
      <w:iCs/>
      <w:vanish/>
      <w:color w:val="auto"/>
      <w:sz w:val="16"/>
      <w:szCs w:val="16"/>
    </w:rPr>
  </w:style>
  <w:style w:type="character" w:customStyle="1" w:styleId="z-NederstiformularenTegn">
    <w:name w:val="z-Nederst i formularen Tegn"/>
    <w:basedOn w:val="DefaultParagraphFont"/>
    <w:link w:val="z-BottomofForm"/>
    <w:uiPriority w:val="99"/>
    <w:semiHidden/>
    <w:locked/>
    <w:rsid w:val="00157982"/>
    <w:rPr>
      <w:rFonts w:ascii="Arial" w:hAnsi="Arial" w:cs="Arial"/>
      <w:b/>
      <w:bCs/>
      <w:iCs/>
      <w:vanish/>
      <w:sz w:val="16"/>
      <w:szCs w:val="16"/>
    </w:rPr>
  </w:style>
  <w:style w:type="character" w:customStyle="1" w:styleId="at16nc">
    <w:name w:val="at16nc"/>
    <w:basedOn w:val="DefaultParagraphFont"/>
    <w:uiPriority w:val="99"/>
    <w:rsid w:val="00157982"/>
    <w:rPr>
      <w:rFonts w:cs="Times New Roman"/>
    </w:rPr>
  </w:style>
  <w:style w:type="character" w:customStyle="1" w:styleId="ata11y">
    <w:name w:val="at_a11y"/>
    <w:basedOn w:val="DefaultParagraphFont"/>
    <w:uiPriority w:val="99"/>
    <w:rsid w:val="00157982"/>
    <w:rPr>
      <w:rFonts w:cs="Times New Roman"/>
    </w:rPr>
  </w:style>
  <w:style w:type="character" w:customStyle="1" w:styleId="addthisseparator">
    <w:name w:val="addthis_separator"/>
    <w:basedOn w:val="DefaultParagraphFont"/>
    <w:uiPriority w:val="99"/>
    <w:rsid w:val="00157982"/>
    <w:rPr>
      <w:rFonts w:cs="Times New Roman"/>
    </w:rPr>
  </w:style>
  <w:style w:type="character" w:styleId="Emphasis">
    <w:name w:val="Emphasis"/>
    <w:basedOn w:val="DefaultParagraphFont"/>
    <w:uiPriority w:val="20"/>
    <w:qFormat/>
    <w:rsid w:val="00157982"/>
    <w:rPr>
      <w:rFonts w:cs="Times New Roman"/>
      <w:i/>
      <w:iCs/>
    </w:rPr>
  </w:style>
  <w:style w:type="character" w:customStyle="1" w:styleId="listpairedtitle">
    <w:name w:val="listpairedtitle"/>
    <w:basedOn w:val="DefaultParagraphFont"/>
    <w:uiPriority w:val="99"/>
    <w:rsid w:val="00157982"/>
    <w:rPr>
      <w:rFonts w:cs="Times New Roman"/>
    </w:rPr>
  </w:style>
  <w:style w:type="character" w:customStyle="1" w:styleId="ttitle">
    <w:name w:val="ttitle"/>
    <w:basedOn w:val="DefaultParagraphFont"/>
    <w:uiPriority w:val="99"/>
    <w:rsid w:val="00157982"/>
    <w:rPr>
      <w:rFonts w:cs="Times New Roman"/>
    </w:rPr>
  </w:style>
  <w:style w:type="character" w:customStyle="1" w:styleId="label">
    <w:name w:val="label"/>
    <w:basedOn w:val="DefaultParagraphFont"/>
    <w:uiPriority w:val="99"/>
    <w:rsid w:val="00157982"/>
    <w:rPr>
      <w:rFonts w:cs="Times New Roman"/>
    </w:rPr>
  </w:style>
  <w:style w:type="character" w:customStyle="1" w:styleId="bullet">
    <w:name w:val="bullet"/>
    <w:basedOn w:val="DefaultParagraphFont"/>
    <w:uiPriority w:val="99"/>
    <w:rsid w:val="00157982"/>
    <w:rPr>
      <w:rFonts w:cs="Times New Roman"/>
    </w:rPr>
  </w:style>
  <w:style w:type="character" w:styleId="HTMLCite">
    <w:name w:val="HTML Cite"/>
    <w:basedOn w:val="DefaultParagraphFont"/>
    <w:uiPriority w:val="99"/>
    <w:semiHidden/>
    <w:rsid w:val="00157982"/>
    <w:rPr>
      <w:rFonts w:cs="Times New Roman"/>
      <w:i/>
      <w:iCs/>
    </w:rPr>
  </w:style>
  <w:style w:type="character" w:customStyle="1" w:styleId="author">
    <w:name w:val="author"/>
    <w:basedOn w:val="DefaultParagraphFont"/>
    <w:uiPriority w:val="99"/>
    <w:rsid w:val="00157982"/>
    <w:rPr>
      <w:rFonts w:cs="Times New Roman"/>
    </w:rPr>
  </w:style>
  <w:style w:type="character" w:customStyle="1" w:styleId="pubyear">
    <w:name w:val="pubyear"/>
    <w:basedOn w:val="DefaultParagraphFont"/>
    <w:uiPriority w:val="99"/>
    <w:rsid w:val="00157982"/>
    <w:rPr>
      <w:rFonts w:cs="Times New Roman"/>
    </w:rPr>
  </w:style>
  <w:style w:type="character" w:customStyle="1" w:styleId="articletitle">
    <w:name w:val="articletitle"/>
    <w:basedOn w:val="DefaultParagraphFont"/>
    <w:uiPriority w:val="99"/>
    <w:rsid w:val="00157982"/>
    <w:rPr>
      <w:rFonts w:cs="Times New Roman"/>
    </w:rPr>
  </w:style>
  <w:style w:type="character" w:customStyle="1" w:styleId="journaltitle">
    <w:name w:val="journaltitle"/>
    <w:basedOn w:val="DefaultParagraphFont"/>
    <w:uiPriority w:val="99"/>
    <w:rsid w:val="00157982"/>
    <w:rPr>
      <w:rFonts w:cs="Times New Roman"/>
    </w:rPr>
  </w:style>
  <w:style w:type="character" w:customStyle="1" w:styleId="vol">
    <w:name w:val="vol"/>
    <w:basedOn w:val="DefaultParagraphFont"/>
    <w:uiPriority w:val="99"/>
    <w:rsid w:val="00157982"/>
    <w:rPr>
      <w:rFonts w:cs="Times New Roman"/>
    </w:rPr>
  </w:style>
  <w:style w:type="character" w:customStyle="1" w:styleId="pagefirst">
    <w:name w:val="pagefirst"/>
    <w:basedOn w:val="DefaultParagraphFont"/>
    <w:uiPriority w:val="99"/>
    <w:rsid w:val="00157982"/>
    <w:rPr>
      <w:rFonts w:cs="Times New Roman"/>
    </w:rPr>
  </w:style>
  <w:style w:type="character" w:customStyle="1" w:styleId="pagelast">
    <w:name w:val="pagelast"/>
    <w:basedOn w:val="DefaultParagraphFont"/>
    <w:uiPriority w:val="99"/>
    <w:rsid w:val="00157982"/>
    <w:rPr>
      <w:rFonts w:cs="Times New Roman"/>
    </w:rPr>
  </w:style>
  <w:style w:type="character" w:customStyle="1" w:styleId="directlinklabel">
    <w:name w:val="directlinklabel"/>
    <w:basedOn w:val="DefaultParagraphFont"/>
    <w:uiPriority w:val="99"/>
    <w:rsid w:val="00157982"/>
    <w:rPr>
      <w:rFonts w:cs="Times New Roman"/>
    </w:rPr>
  </w:style>
  <w:style w:type="paragraph" w:customStyle="1" w:styleId="suppinfodisclaimer">
    <w:name w:val="suppinfodisclaimer"/>
    <w:basedOn w:val="Normal"/>
    <w:uiPriority w:val="99"/>
    <w:rsid w:val="00157982"/>
    <w:pPr>
      <w:spacing w:before="100" w:beforeAutospacing="1" w:after="100" w:afterAutospacing="1"/>
    </w:pPr>
    <w:rPr>
      <w:b/>
      <w:bCs/>
      <w:iCs/>
      <w:color w:val="auto"/>
      <w:szCs w:val="24"/>
    </w:rPr>
  </w:style>
  <w:style w:type="paragraph" w:styleId="BalloonText">
    <w:name w:val="Balloon Text"/>
    <w:basedOn w:val="Normal"/>
    <w:link w:val="MarkeringsbobletekstTegn"/>
    <w:uiPriority w:val="99"/>
    <w:semiHidden/>
    <w:rsid w:val="00157982"/>
    <w:pPr>
      <w:spacing w:after="0"/>
    </w:pPr>
    <w:rPr>
      <w:rFonts w:ascii="Tahoma" w:hAnsi="Tahoma" w:cs="Tahoma"/>
      <w:sz w:val="16"/>
      <w:szCs w:val="16"/>
    </w:rPr>
  </w:style>
  <w:style w:type="character" w:customStyle="1" w:styleId="MarkeringsbobletekstTegn">
    <w:name w:val="Markeringsbobletekst Tegn"/>
    <w:basedOn w:val="DefaultParagraphFont"/>
    <w:link w:val="BalloonText"/>
    <w:uiPriority w:val="99"/>
    <w:semiHidden/>
    <w:locked/>
    <w:rsid w:val="00157982"/>
    <w:rPr>
      <w:rFonts w:ascii="Tahoma" w:hAnsi="Tahoma" w:cs="Tahoma"/>
      <w:color w:val="000000"/>
      <w:sz w:val="16"/>
      <w:szCs w:val="16"/>
    </w:rPr>
  </w:style>
  <w:style w:type="paragraph" w:styleId="Title">
    <w:name w:val="Title"/>
    <w:basedOn w:val="Normal"/>
    <w:next w:val="Normal"/>
    <w:link w:val="TitelTegn"/>
    <w:uiPriority w:val="99"/>
    <w:qFormat/>
    <w:rsid w:val="00157982"/>
    <w:pPr>
      <w:pBdr>
        <w:bottom w:val="single" w:sz="8" w:space="4" w:color="4F81BD"/>
      </w:pBdr>
      <w:autoSpaceDE w:val="0"/>
      <w:autoSpaceDN w:val="0"/>
      <w:adjustRightInd w:val="0"/>
      <w:spacing w:after="300"/>
      <w:ind w:firstLine="360"/>
      <w:contextualSpacing/>
      <w:jc w:val="center"/>
    </w:pPr>
    <w:rPr>
      <w:rFonts w:ascii="Cambria" w:hAnsi="Cambria"/>
      <w:bCs/>
      <w:iCs/>
      <w:spacing w:val="5"/>
      <w:kern w:val="28"/>
      <w:szCs w:val="52"/>
      <w:lang w:val="en-GB"/>
    </w:rPr>
  </w:style>
  <w:style w:type="character" w:customStyle="1" w:styleId="TitelTegn">
    <w:name w:val="Titel Tegn"/>
    <w:basedOn w:val="DefaultParagraphFont"/>
    <w:link w:val="Title"/>
    <w:uiPriority w:val="99"/>
    <w:locked/>
    <w:rsid w:val="00157982"/>
    <w:rPr>
      <w:rFonts w:ascii="Cambria" w:hAnsi="Cambria" w:cs="Times New Roman"/>
      <w:bCs/>
      <w:iCs/>
      <w:color w:val="000000"/>
      <w:spacing w:val="5"/>
      <w:kern w:val="28"/>
      <w:sz w:val="52"/>
      <w:szCs w:val="52"/>
      <w:lang w:val="en-GB"/>
    </w:rPr>
  </w:style>
  <w:style w:type="paragraph" w:styleId="ListParagraph">
    <w:name w:val="List Paragraph"/>
    <w:basedOn w:val="Normal"/>
    <w:uiPriority w:val="99"/>
    <w:qFormat/>
    <w:rsid w:val="00157982"/>
    <w:pPr>
      <w:autoSpaceDE w:val="0"/>
      <w:autoSpaceDN w:val="0"/>
      <w:adjustRightInd w:val="0"/>
      <w:spacing w:after="0"/>
      <w:ind w:left="720" w:firstLine="360"/>
      <w:contextualSpacing/>
      <w:jc w:val="both"/>
    </w:pPr>
    <w:rPr>
      <w:rFonts w:ascii="Calibri" w:hAnsi="Calibri"/>
      <w:color w:val="auto"/>
      <w:szCs w:val="24"/>
      <w:lang w:val="en-GB"/>
    </w:rPr>
  </w:style>
  <w:style w:type="character" w:customStyle="1" w:styleId="apple-converted-space">
    <w:name w:val="apple-converted-space"/>
    <w:basedOn w:val="DefaultParagraphFont"/>
    <w:rsid w:val="00157982"/>
    <w:rPr>
      <w:rFonts w:cs="Times New Roman"/>
    </w:rPr>
  </w:style>
  <w:style w:type="paragraph" w:customStyle="1" w:styleId="2-cmsor">
    <w:name w:val="2-címsor"/>
    <w:basedOn w:val="Normal"/>
    <w:link w:val="2-cmsorChar"/>
    <w:uiPriority w:val="99"/>
    <w:rsid w:val="00157982"/>
    <w:pPr>
      <w:autoSpaceDE w:val="0"/>
      <w:autoSpaceDN w:val="0"/>
      <w:adjustRightInd w:val="0"/>
      <w:spacing w:after="0"/>
      <w:jc w:val="both"/>
    </w:pPr>
    <w:rPr>
      <w:rFonts w:ascii="Calibri" w:hAnsi="Calibri"/>
      <w:i/>
      <w:color w:val="auto"/>
      <w:u w:val="single"/>
      <w:lang w:val="en-GB" w:eastAsia="en-GB"/>
    </w:rPr>
  </w:style>
  <w:style w:type="character" w:customStyle="1" w:styleId="2-cmsorChar">
    <w:name w:val="2-címsor Char"/>
    <w:link w:val="2-cmsor"/>
    <w:uiPriority w:val="99"/>
    <w:locked/>
    <w:rsid w:val="00157982"/>
    <w:rPr>
      <w:rFonts w:eastAsia="Times New Roman"/>
      <w:i/>
      <w:sz w:val="24"/>
      <w:u w:val="single"/>
      <w:lang w:val="en-GB"/>
    </w:rPr>
  </w:style>
  <w:style w:type="table" w:styleId="TableGrid">
    <w:name w:val="Table Grid"/>
    <w:basedOn w:val="TableNormal"/>
    <w:uiPriority w:val="99"/>
    <w:rsid w:val="00157982"/>
    <w:rPr>
      <w:rFonts w:ascii="Arial" w:hAnsi="Arial" w:cs="Arial"/>
      <w:bCs/>
      <w:color w:val="000000"/>
      <w:sz w:val="20"/>
      <w:szCs w:val="20"/>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99"/>
    <w:qFormat/>
    <w:rsid w:val="00157982"/>
    <w:rPr>
      <w:rFonts w:cs="Times New Roman"/>
      <w:i/>
      <w:iCs/>
      <w:color w:val="808080"/>
    </w:rPr>
  </w:style>
  <w:style w:type="paragraph" w:styleId="TOCHeading">
    <w:name w:val="TOC Heading"/>
    <w:basedOn w:val="Heading1"/>
    <w:next w:val="Normal"/>
    <w:uiPriority w:val="99"/>
    <w:qFormat/>
    <w:rsid w:val="00157982"/>
    <w:pPr>
      <w:numPr>
        <w:numId w:val="2"/>
      </w:numPr>
      <w:autoSpaceDE/>
      <w:autoSpaceDN/>
      <w:adjustRightInd/>
      <w:spacing w:after="0" w:line="360" w:lineRule="auto"/>
      <w:outlineLvl w:val="9"/>
    </w:pPr>
    <w:rPr>
      <w:rFonts w:ascii="Cambria" w:hAnsi="Cambria"/>
      <w:b/>
      <w:bCs/>
      <w:iCs w:val="0"/>
      <w:color w:val="000000"/>
      <w:kern w:val="0"/>
      <w:sz w:val="24"/>
      <w:szCs w:val="28"/>
      <w:lang w:val="en-GB" w:eastAsia="en-GB"/>
    </w:rPr>
  </w:style>
  <w:style w:type="paragraph" w:styleId="TOC1">
    <w:name w:val="toc 1"/>
    <w:basedOn w:val="Normal"/>
    <w:next w:val="Normal"/>
    <w:autoRedefine/>
    <w:uiPriority w:val="99"/>
    <w:rsid w:val="00157982"/>
    <w:pPr>
      <w:spacing w:after="0" w:line="360" w:lineRule="auto"/>
      <w:ind w:firstLine="284"/>
      <w:jc w:val="both"/>
    </w:pPr>
    <w:rPr>
      <w:rFonts w:ascii="Calibri" w:hAnsi="Calibri"/>
      <w:color w:val="auto"/>
      <w:sz w:val="22"/>
      <w:szCs w:val="22"/>
    </w:rPr>
  </w:style>
  <w:style w:type="paragraph" w:styleId="TOC2">
    <w:name w:val="toc 2"/>
    <w:basedOn w:val="Normal"/>
    <w:next w:val="Normal"/>
    <w:autoRedefine/>
    <w:uiPriority w:val="99"/>
    <w:rsid w:val="00157982"/>
    <w:pPr>
      <w:spacing w:after="100" w:line="360" w:lineRule="auto"/>
      <w:ind w:left="220" w:firstLine="284"/>
      <w:jc w:val="both"/>
    </w:pPr>
    <w:rPr>
      <w:rFonts w:ascii="Calibri" w:hAnsi="Calibri"/>
      <w:color w:val="auto"/>
      <w:sz w:val="22"/>
      <w:szCs w:val="22"/>
    </w:rPr>
  </w:style>
  <w:style w:type="paragraph" w:styleId="Header">
    <w:name w:val="header"/>
    <w:basedOn w:val="Normal"/>
    <w:link w:val="SidehovedTegn"/>
    <w:uiPriority w:val="99"/>
    <w:rsid w:val="00157982"/>
    <w:pPr>
      <w:tabs>
        <w:tab w:val="center" w:pos="4513"/>
        <w:tab w:val="right" w:pos="9026"/>
      </w:tabs>
      <w:spacing w:after="0"/>
      <w:ind w:firstLine="284"/>
      <w:jc w:val="both"/>
    </w:pPr>
    <w:rPr>
      <w:rFonts w:ascii="Calibri" w:hAnsi="Calibri"/>
      <w:color w:val="auto"/>
      <w:sz w:val="22"/>
      <w:szCs w:val="22"/>
    </w:rPr>
  </w:style>
  <w:style w:type="character" w:customStyle="1" w:styleId="SidehovedTegn">
    <w:name w:val="Sidehoved Tegn"/>
    <w:basedOn w:val="DefaultParagraphFont"/>
    <w:link w:val="Header"/>
    <w:uiPriority w:val="99"/>
    <w:locked/>
    <w:rsid w:val="00157982"/>
    <w:rPr>
      <w:rFonts w:eastAsia="Times New Roman" w:cs="Times New Roman"/>
    </w:rPr>
  </w:style>
  <w:style w:type="paragraph" w:styleId="Footer">
    <w:name w:val="footer"/>
    <w:basedOn w:val="Normal"/>
    <w:link w:val="SidefodTegn"/>
    <w:uiPriority w:val="99"/>
    <w:rsid w:val="00157982"/>
    <w:pPr>
      <w:tabs>
        <w:tab w:val="center" w:pos="4513"/>
        <w:tab w:val="right" w:pos="9026"/>
      </w:tabs>
      <w:spacing w:after="0"/>
      <w:ind w:firstLine="284"/>
      <w:jc w:val="both"/>
    </w:pPr>
    <w:rPr>
      <w:rFonts w:ascii="Calibri" w:hAnsi="Calibri"/>
      <w:color w:val="auto"/>
      <w:sz w:val="22"/>
      <w:szCs w:val="22"/>
    </w:rPr>
  </w:style>
  <w:style w:type="character" w:customStyle="1" w:styleId="SidefodTegn">
    <w:name w:val="Sidefod Tegn"/>
    <w:basedOn w:val="DefaultParagraphFont"/>
    <w:link w:val="Footer"/>
    <w:uiPriority w:val="99"/>
    <w:locked/>
    <w:rsid w:val="00157982"/>
    <w:rPr>
      <w:rFonts w:eastAsia="Times New Roman" w:cs="Times New Roman"/>
    </w:rPr>
  </w:style>
  <w:style w:type="paragraph" w:styleId="TOC3">
    <w:name w:val="toc 3"/>
    <w:basedOn w:val="Normal"/>
    <w:next w:val="Normal"/>
    <w:autoRedefine/>
    <w:uiPriority w:val="99"/>
    <w:rsid w:val="00157982"/>
    <w:pPr>
      <w:spacing w:after="100" w:line="360" w:lineRule="auto"/>
      <w:ind w:left="440" w:firstLine="284"/>
      <w:jc w:val="both"/>
    </w:pPr>
    <w:rPr>
      <w:rFonts w:ascii="Calibri" w:hAnsi="Calibri"/>
      <w:color w:val="auto"/>
      <w:sz w:val="22"/>
      <w:szCs w:val="22"/>
    </w:rPr>
  </w:style>
  <w:style w:type="character" w:customStyle="1" w:styleId="searchmatch">
    <w:name w:val="searchmatch"/>
    <w:basedOn w:val="DefaultParagraphFont"/>
    <w:uiPriority w:val="99"/>
    <w:rsid w:val="00157982"/>
    <w:rPr>
      <w:rFonts w:cs="Times New Roman"/>
    </w:rPr>
  </w:style>
  <w:style w:type="character" w:styleId="Strong">
    <w:name w:val="Strong"/>
    <w:basedOn w:val="DefaultParagraphFont"/>
    <w:uiPriority w:val="99"/>
    <w:qFormat/>
    <w:rsid w:val="00157982"/>
    <w:rPr>
      <w:rFonts w:cs="Times New Roman"/>
      <w:b/>
      <w:bCs/>
    </w:rPr>
  </w:style>
  <w:style w:type="character" w:styleId="CommentReference">
    <w:name w:val="annotation reference"/>
    <w:basedOn w:val="DefaultParagraphFont"/>
    <w:uiPriority w:val="99"/>
    <w:rsid w:val="00157982"/>
    <w:rPr>
      <w:rFonts w:cs="Times New Roman"/>
      <w:sz w:val="16"/>
      <w:szCs w:val="16"/>
    </w:rPr>
  </w:style>
  <w:style w:type="paragraph" w:styleId="CommentText">
    <w:name w:val="annotation text"/>
    <w:basedOn w:val="Normal"/>
    <w:link w:val="KommentartekstTegn"/>
    <w:uiPriority w:val="99"/>
    <w:rsid w:val="00157982"/>
    <w:pPr>
      <w:spacing w:after="0"/>
      <w:ind w:firstLine="284"/>
      <w:jc w:val="both"/>
    </w:pPr>
    <w:rPr>
      <w:rFonts w:ascii="Calibri" w:hAnsi="Calibri"/>
      <w:color w:val="auto"/>
      <w:sz w:val="20"/>
    </w:rPr>
  </w:style>
  <w:style w:type="character" w:customStyle="1" w:styleId="KommentartekstTegn">
    <w:name w:val="Kommentartekst Tegn"/>
    <w:basedOn w:val="DefaultParagraphFont"/>
    <w:link w:val="CommentText"/>
    <w:uiPriority w:val="99"/>
    <w:locked/>
    <w:rsid w:val="00157982"/>
    <w:rPr>
      <w:rFonts w:eastAsia="Times New Roman" w:cs="Times New Roman"/>
      <w:sz w:val="20"/>
      <w:szCs w:val="20"/>
    </w:rPr>
  </w:style>
  <w:style w:type="paragraph" w:styleId="CommentSubject">
    <w:name w:val="annotation subject"/>
    <w:basedOn w:val="CommentText"/>
    <w:next w:val="CommentText"/>
    <w:link w:val="KommentaremneTegn"/>
    <w:uiPriority w:val="99"/>
    <w:semiHidden/>
    <w:rsid w:val="00157982"/>
    <w:rPr>
      <w:b/>
      <w:bCs/>
    </w:rPr>
  </w:style>
  <w:style w:type="character" w:customStyle="1" w:styleId="KommentaremneTegn">
    <w:name w:val="Kommentaremne Tegn"/>
    <w:basedOn w:val="KommentartekstTegn"/>
    <w:link w:val="CommentSubject"/>
    <w:uiPriority w:val="99"/>
    <w:semiHidden/>
    <w:locked/>
    <w:rsid w:val="00157982"/>
    <w:rPr>
      <w:rFonts w:eastAsia="Times New Roman" w:cs="Times New Roman"/>
      <w:b/>
      <w:bCs/>
      <w:sz w:val="20"/>
      <w:szCs w:val="20"/>
    </w:rPr>
  </w:style>
  <w:style w:type="paragraph" w:customStyle="1" w:styleId="2-szint">
    <w:name w:val="2-szint"/>
    <w:basedOn w:val="Heading1"/>
    <w:link w:val="2-szintChar"/>
    <w:uiPriority w:val="99"/>
    <w:rsid w:val="00157982"/>
    <w:pPr>
      <w:autoSpaceDE/>
      <w:autoSpaceDN/>
      <w:adjustRightInd/>
      <w:spacing w:before="240" w:after="0" w:line="360" w:lineRule="auto"/>
      <w:ind w:left="357"/>
    </w:pPr>
    <w:rPr>
      <w:rFonts w:ascii="Cambria" w:hAnsi="Cambria"/>
      <w:bCs/>
      <w:i/>
      <w:iCs w:val="0"/>
      <w:color w:val="000000"/>
      <w:sz w:val="24"/>
      <w:szCs w:val="28"/>
      <w:lang w:val="en-GB"/>
    </w:rPr>
  </w:style>
  <w:style w:type="character" w:customStyle="1" w:styleId="2-szintChar">
    <w:name w:val="2-szint Char"/>
    <w:basedOn w:val="Overskrift1Tegn"/>
    <w:link w:val="2-szint"/>
    <w:uiPriority w:val="99"/>
    <w:locked/>
    <w:rsid w:val="00157982"/>
    <w:rPr>
      <w:rFonts w:ascii="Cambria" w:hAnsi="Cambria" w:cs="Times New Roman"/>
      <w:bCs/>
      <w:i/>
      <w:iCs/>
      <w:color w:val="000000"/>
      <w:kern w:val="36"/>
      <w:sz w:val="28"/>
      <w:szCs w:val="28"/>
      <w:lang w:val="en-GB"/>
    </w:rPr>
  </w:style>
  <w:style w:type="paragraph" w:customStyle="1" w:styleId="Pa4">
    <w:name w:val="Pa4"/>
    <w:basedOn w:val="Normal"/>
    <w:next w:val="Normal"/>
    <w:uiPriority w:val="99"/>
    <w:rsid w:val="00157982"/>
    <w:pPr>
      <w:autoSpaceDE w:val="0"/>
      <w:autoSpaceDN w:val="0"/>
      <w:adjustRightInd w:val="0"/>
      <w:spacing w:after="0" w:line="241" w:lineRule="atLeast"/>
    </w:pPr>
    <w:rPr>
      <w:rFonts w:ascii="Calibri" w:hAnsi="Calibri"/>
      <w:color w:val="auto"/>
      <w:szCs w:val="24"/>
    </w:rPr>
  </w:style>
  <w:style w:type="character" w:customStyle="1" w:styleId="A3">
    <w:name w:val="A3"/>
    <w:uiPriority w:val="99"/>
    <w:rsid w:val="00157982"/>
    <w:rPr>
      <w:i/>
      <w:color w:val="000000"/>
      <w:sz w:val="16"/>
    </w:rPr>
  </w:style>
  <w:style w:type="paragraph" w:customStyle="1" w:styleId="Style1">
    <w:name w:val="Style1"/>
    <w:basedOn w:val="Normal"/>
    <w:link w:val="Style1Char"/>
    <w:uiPriority w:val="99"/>
    <w:rsid w:val="00157982"/>
    <w:rPr>
      <w:i/>
    </w:rPr>
  </w:style>
  <w:style w:type="character" w:customStyle="1" w:styleId="Style1Char">
    <w:name w:val="Style1 Char"/>
    <w:basedOn w:val="DefaultParagraphFont"/>
    <w:link w:val="Style1"/>
    <w:uiPriority w:val="99"/>
    <w:locked/>
    <w:rsid w:val="00157982"/>
    <w:rPr>
      <w:rFonts w:ascii="Times New Roman" w:hAnsi="Times New Roman" w:cs="Times New Roman"/>
      <w:i/>
      <w:color w:val="000000"/>
      <w:sz w:val="20"/>
      <w:szCs w:val="20"/>
    </w:rPr>
  </w:style>
  <w:style w:type="character" w:customStyle="1" w:styleId="hw">
    <w:name w:val="hw"/>
    <w:basedOn w:val="DefaultParagraphFont"/>
    <w:uiPriority w:val="99"/>
    <w:rsid w:val="002F32FC"/>
    <w:rPr>
      <w:rFonts w:cs="Times New Roman"/>
    </w:rPr>
  </w:style>
  <w:style w:type="character" w:customStyle="1" w:styleId="hvr">
    <w:name w:val="hvr"/>
    <w:basedOn w:val="DefaultParagraphFont"/>
    <w:uiPriority w:val="99"/>
    <w:rsid w:val="002F32FC"/>
    <w:rPr>
      <w:rFonts w:cs="Times New Roman"/>
    </w:rPr>
  </w:style>
  <w:style w:type="paragraph" w:styleId="Revision">
    <w:name w:val="Revision"/>
    <w:hidden/>
    <w:uiPriority w:val="99"/>
    <w:semiHidden/>
    <w:rsid w:val="002F32FC"/>
    <w:rPr>
      <w:rFonts w:ascii="Times New Roman" w:hAnsi="Times New Roman" w:cs="Times New Roman"/>
      <w:color w:val="000000"/>
      <w:sz w:val="24"/>
      <w:szCs w:val="20"/>
      <w:lang w:val="en-US" w:eastAsia="en-US"/>
    </w:rPr>
  </w:style>
  <w:style w:type="table" w:customStyle="1" w:styleId="TableGridLight1">
    <w:name w:val="Table Grid Light1"/>
    <w:uiPriority w:val="99"/>
    <w:rsid w:val="00D87689"/>
    <w:rPr>
      <w:sz w:val="20"/>
      <w:szCs w:val="20"/>
      <w:lang w:val="sv-SE" w:eastAsia="sv-SE"/>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11">
    <w:name w:val="Plain Table 11"/>
    <w:uiPriority w:val="99"/>
    <w:rsid w:val="00D87689"/>
    <w:rPr>
      <w:sz w:val="20"/>
      <w:szCs w:val="20"/>
      <w:lang w:val="en-US" w:eastAsia="en-US"/>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PlainTable21">
    <w:name w:val="Plain Table 21"/>
    <w:uiPriority w:val="99"/>
    <w:rsid w:val="00D87689"/>
    <w:rPr>
      <w:sz w:val="20"/>
      <w:szCs w:val="20"/>
      <w:lang w:val="en-US" w:eastAsia="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styleId="TableWeb3">
    <w:name w:val="Table Web 3"/>
    <w:basedOn w:val="TableNormal"/>
    <w:uiPriority w:val="99"/>
    <w:rsid w:val="00D87689"/>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Calibri"/>
        <w:color w:val="auto"/>
      </w:rPr>
      <w:tblPr/>
      <w:tcPr>
        <w:tcBorders>
          <w:tl2br w:val="none" w:sz="0" w:space="0" w:color="auto"/>
          <w:tr2bl w:val="none" w:sz="0" w:space="0" w:color="auto"/>
        </w:tcBorders>
      </w:tcPr>
    </w:tblStylePr>
  </w:style>
  <w:style w:type="table" w:customStyle="1" w:styleId="GridTable1Light-Accent41">
    <w:name w:val="Grid Table 1 Light - Accent 41"/>
    <w:uiPriority w:val="99"/>
    <w:rsid w:val="00D87689"/>
    <w:rPr>
      <w:sz w:val="20"/>
      <w:szCs w:val="20"/>
      <w:lang w:val="en-US" w:eastAsia="en-US"/>
    </w:r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0" w:type="dxa"/>
        <w:left w:w="108" w:type="dxa"/>
        <w:bottom w:w="0" w:type="dxa"/>
        <w:right w:w="108" w:type="dxa"/>
      </w:tblCellMar>
    </w:tblPr>
  </w:style>
  <w:style w:type="character" w:customStyle="1" w:styleId="st1">
    <w:name w:val="st1"/>
    <w:basedOn w:val="DefaultParagraphFont"/>
    <w:uiPriority w:val="99"/>
    <w:rsid w:val="00F648F7"/>
    <w:rPr>
      <w:rFonts w:cs="Times New Roman"/>
    </w:rPr>
  </w:style>
  <w:style w:type="character" w:customStyle="1" w:styleId="name">
    <w:name w:val="name"/>
    <w:basedOn w:val="DefaultParagraphFont"/>
    <w:uiPriority w:val="99"/>
    <w:rsid w:val="0068727C"/>
    <w:rPr>
      <w:rFonts w:cs="Times New Roman"/>
    </w:rPr>
  </w:style>
  <w:style w:type="character" w:customStyle="1" w:styleId="breadcrumbsubjects">
    <w:name w:val="breadcrumb_subjects"/>
    <w:basedOn w:val="DefaultParagraphFont"/>
    <w:uiPriority w:val="99"/>
    <w:rsid w:val="0068727C"/>
    <w:rPr>
      <w:rFonts w:cs="Times New Roman"/>
    </w:rPr>
  </w:style>
  <w:style w:type="character" w:customStyle="1" w:styleId="volume-value">
    <w:name w:val="volume-value"/>
    <w:basedOn w:val="DefaultParagraphFont"/>
    <w:uiPriority w:val="99"/>
    <w:rsid w:val="0068727C"/>
    <w:rPr>
      <w:rFonts w:cs="Times New Roman"/>
    </w:rPr>
  </w:style>
  <w:style w:type="character" w:customStyle="1" w:styleId="vol-issue-comma">
    <w:name w:val="vol-issue-comma"/>
    <w:basedOn w:val="DefaultParagraphFont"/>
    <w:uiPriority w:val="99"/>
    <w:rsid w:val="0068727C"/>
    <w:rPr>
      <w:rFonts w:cs="Times New Roman"/>
    </w:rPr>
  </w:style>
  <w:style w:type="character" w:customStyle="1" w:styleId="issue-value">
    <w:name w:val="issue-value"/>
    <w:basedOn w:val="DefaultParagraphFont"/>
    <w:uiPriority w:val="99"/>
    <w:rsid w:val="0068727C"/>
    <w:rPr>
      <w:rFonts w:cs="Times New Roman"/>
    </w:rPr>
  </w:style>
  <w:style w:type="character" w:customStyle="1" w:styleId="slug-pages">
    <w:name w:val="slug-pages"/>
    <w:basedOn w:val="DefaultParagraphFont"/>
    <w:uiPriority w:val="99"/>
    <w:rsid w:val="0068727C"/>
    <w:rPr>
      <w:rFonts w:cs="Times New Roman"/>
    </w:rPr>
  </w:style>
  <w:style w:type="character" w:customStyle="1" w:styleId="fn-label">
    <w:name w:val="fn-label"/>
    <w:basedOn w:val="DefaultParagraphFont"/>
    <w:rsid w:val="008C3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6638">
      <w:bodyDiv w:val="1"/>
      <w:marLeft w:val="0"/>
      <w:marRight w:val="0"/>
      <w:marTop w:val="0"/>
      <w:marBottom w:val="0"/>
      <w:divBdr>
        <w:top w:val="none" w:sz="0" w:space="0" w:color="auto"/>
        <w:left w:val="none" w:sz="0" w:space="0" w:color="auto"/>
        <w:bottom w:val="none" w:sz="0" w:space="0" w:color="auto"/>
        <w:right w:val="none" w:sz="0" w:space="0" w:color="auto"/>
      </w:divBdr>
    </w:div>
    <w:div w:id="533688166">
      <w:bodyDiv w:val="1"/>
      <w:marLeft w:val="0"/>
      <w:marRight w:val="0"/>
      <w:marTop w:val="0"/>
      <w:marBottom w:val="0"/>
      <w:divBdr>
        <w:top w:val="none" w:sz="0" w:space="0" w:color="auto"/>
        <w:left w:val="none" w:sz="0" w:space="0" w:color="auto"/>
        <w:bottom w:val="none" w:sz="0" w:space="0" w:color="auto"/>
        <w:right w:val="none" w:sz="0" w:space="0" w:color="auto"/>
      </w:divBdr>
    </w:div>
    <w:div w:id="732696397">
      <w:bodyDiv w:val="1"/>
      <w:marLeft w:val="0"/>
      <w:marRight w:val="0"/>
      <w:marTop w:val="0"/>
      <w:marBottom w:val="0"/>
      <w:divBdr>
        <w:top w:val="none" w:sz="0" w:space="0" w:color="auto"/>
        <w:left w:val="none" w:sz="0" w:space="0" w:color="auto"/>
        <w:bottom w:val="none" w:sz="0" w:space="0" w:color="auto"/>
        <w:right w:val="none" w:sz="0" w:space="0" w:color="auto"/>
      </w:divBdr>
    </w:div>
    <w:div w:id="876890338">
      <w:marLeft w:val="0"/>
      <w:marRight w:val="0"/>
      <w:marTop w:val="0"/>
      <w:marBottom w:val="0"/>
      <w:divBdr>
        <w:top w:val="none" w:sz="0" w:space="0" w:color="auto"/>
        <w:left w:val="none" w:sz="0" w:space="0" w:color="auto"/>
        <w:bottom w:val="none" w:sz="0" w:space="0" w:color="auto"/>
        <w:right w:val="none" w:sz="0" w:space="0" w:color="auto"/>
      </w:divBdr>
    </w:div>
    <w:div w:id="876890340">
      <w:marLeft w:val="0"/>
      <w:marRight w:val="0"/>
      <w:marTop w:val="0"/>
      <w:marBottom w:val="0"/>
      <w:divBdr>
        <w:top w:val="none" w:sz="0" w:space="0" w:color="auto"/>
        <w:left w:val="none" w:sz="0" w:space="0" w:color="auto"/>
        <w:bottom w:val="none" w:sz="0" w:space="0" w:color="auto"/>
        <w:right w:val="none" w:sz="0" w:space="0" w:color="auto"/>
      </w:divBdr>
      <w:divsChild>
        <w:div w:id="876890331">
          <w:marLeft w:val="0"/>
          <w:marRight w:val="0"/>
          <w:marTop w:val="0"/>
          <w:marBottom w:val="150"/>
          <w:divBdr>
            <w:top w:val="none" w:sz="0" w:space="0" w:color="auto"/>
            <w:left w:val="none" w:sz="0" w:space="0" w:color="auto"/>
            <w:bottom w:val="none" w:sz="0" w:space="0" w:color="auto"/>
            <w:right w:val="none" w:sz="0" w:space="0" w:color="auto"/>
          </w:divBdr>
        </w:div>
      </w:divsChild>
    </w:div>
    <w:div w:id="876890341">
      <w:marLeft w:val="0"/>
      <w:marRight w:val="0"/>
      <w:marTop w:val="0"/>
      <w:marBottom w:val="0"/>
      <w:divBdr>
        <w:top w:val="none" w:sz="0" w:space="0" w:color="auto"/>
        <w:left w:val="none" w:sz="0" w:space="0" w:color="auto"/>
        <w:bottom w:val="none" w:sz="0" w:space="0" w:color="auto"/>
        <w:right w:val="none" w:sz="0" w:space="0" w:color="auto"/>
      </w:divBdr>
    </w:div>
    <w:div w:id="876890342">
      <w:marLeft w:val="0"/>
      <w:marRight w:val="0"/>
      <w:marTop w:val="0"/>
      <w:marBottom w:val="0"/>
      <w:divBdr>
        <w:top w:val="none" w:sz="0" w:space="0" w:color="auto"/>
        <w:left w:val="none" w:sz="0" w:space="0" w:color="auto"/>
        <w:bottom w:val="none" w:sz="0" w:space="0" w:color="auto"/>
        <w:right w:val="none" w:sz="0" w:space="0" w:color="auto"/>
      </w:divBdr>
      <w:divsChild>
        <w:div w:id="876890328">
          <w:marLeft w:val="446"/>
          <w:marRight w:val="0"/>
          <w:marTop w:val="0"/>
          <w:marBottom w:val="280"/>
          <w:divBdr>
            <w:top w:val="none" w:sz="0" w:space="0" w:color="auto"/>
            <w:left w:val="none" w:sz="0" w:space="0" w:color="auto"/>
            <w:bottom w:val="none" w:sz="0" w:space="0" w:color="auto"/>
            <w:right w:val="none" w:sz="0" w:space="0" w:color="auto"/>
          </w:divBdr>
        </w:div>
        <w:div w:id="876890335">
          <w:marLeft w:val="446"/>
          <w:marRight w:val="0"/>
          <w:marTop w:val="0"/>
          <w:marBottom w:val="280"/>
          <w:divBdr>
            <w:top w:val="none" w:sz="0" w:space="0" w:color="auto"/>
            <w:left w:val="none" w:sz="0" w:space="0" w:color="auto"/>
            <w:bottom w:val="none" w:sz="0" w:space="0" w:color="auto"/>
            <w:right w:val="none" w:sz="0" w:space="0" w:color="auto"/>
          </w:divBdr>
        </w:div>
        <w:div w:id="876890343">
          <w:marLeft w:val="446"/>
          <w:marRight w:val="0"/>
          <w:marTop w:val="0"/>
          <w:marBottom w:val="280"/>
          <w:divBdr>
            <w:top w:val="none" w:sz="0" w:space="0" w:color="auto"/>
            <w:left w:val="none" w:sz="0" w:space="0" w:color="auto"/>
            <w:bottom w:val="none" w:sz="0" w:space="0" w:color="auto"/>
            <w:right w:val="none" w:sz="0" w:space="0" w:color="auto"/>
          </w:divBdr>
        </w:div>
        <w:div w:id="876890355">
          <w:marLeft w:val="446"/>
          <w:marRight w:val="0"/>
          <w:marTop w:val="0"/>
          <w:marBottom w:val="280"/>
          <w:divBdr>
            <w:top w:val="none" w:sz="0" w:space="0" w:color="auto"/>
            <w:left w:val="none" w:sz="0" w:space="0" w:color="auto"/>
            <w:bottom w:val="none" w:sz="0" w:space="0" w:color="auto"/>
            <w:right w:val="none" w:sz="0" w:space="0" w:color="auto"/>
          </w:divBdr>
        </w:div>
        <w:div w:id="876890362">
          <w:marLeft w:val="446"/>
          <w:marRight w:val="0"/>
          <w:marTop w:val="0"/>
          <w:marBottom w:val="280"/>
          <w:divBdr>
            <w:top w:val="none" w:sz="0" w:space="0" w:color="auto"/>
            <w:left w:val="none" w:sz="0" w:space="0" w:color="auto"/>
            <w:bottom w:val="none" w:sz="0" w:space="0" w:color="auto"/>
            <w:right w:val="none" w:sz="0" w:space="0" w:color="auto"/>
          </w:divBdr>
        </w:div>
        <w:div w:id="876890367">
          <w:marLeft w:val="446"/>
          <w:marRight w:val="0"/>
          <w:marTop w:val="0"/>
          <w:marBottom w:val="280"/>
          <w:divBdr>
            <w:top w:val="none" w:sz="0" w:space="0" w:color="auto"/>
            <w:left w:val="none" w:sz="0" w:space="0" w:color="auto"/>
            <w:bottom w:val="none" w:sz="0" w:space="0" w:color="auto"/>
            <w:right w:val="none" w:sz="0" w:space="0" w:color="auto"/>
          </w:divBdr>
        </w:div>
        <w:div w:id="876890368">
          <w:marLeft w:val="446"/>
          <w:marRight w:val="0"/>
          <w:marTop w:val="0"/>
          <w:marBottom w:val="280"/>
          <w:divBdr>
            <w:top w:val="none" w:sz="0" w:space="0" w:color="auto"/>
            <w:left w:val="none" w:sz="0" w:space="0" w:color="auto"/>
            <w:bottom w:val="none" w:sz="0" w:space="0" w:color="auto"/>
            <w:right w:val="none" w:sz="0" w:space="0" w:color="auto"/>
          </w:divBdr>
        </w:div>
      </w:divsChild>
    </w:div>
    <w:div w:id="876890349">
      <w:marLeft w:val="0"/>
      <w:marRight w:val="0"/>
      <w:marTop w:val="0"/>
      <w:marBottom w:val="0"/>
      <w:divBdr>
        <w:top w:val="none" w:sz="0" w:space="0" w:color="auto"/>
        <w:left w:val="none" w:sz="0" w:space="0" w:color="auto"/>
        <w:bottom w:val="none" w:sz="0" w:space="0" w:color="auto"/>
        <w:right w:val="none" w:sz="0" w:space="0" w:color="auto"/>
      </w:divBdr>
      <w:divsChild>
        <w:div w:id="876890353">
          <w:marLeft w:val="284"/>
          <w:marRight w:val="0"/>
          <w:marTop w:val="60"/>
          <w:marBottom w:val="0"/>
          <w:divBdr>
            <w:top w:val="none" w:sz="0" w:space="0" w:color="auto"/>
            <w:left w:val="none" w:sz="0" w:space="0" w:color="auto"/>
            <w:bottom w:val="none" w:sz="0" w:space="0" w:color="auto"/>
            <w:right w:val="none" w:sz="0" w:space="0" w:color="auto"/>
          </w:divBdr>
        </w:div>
      </w:divsChild>
    </w:div>
    <w:div w:id="876890352">
      <w:marLeft w:val="0"/>
      <w:marRight w:val="0"/>
      <w:marTop w:val="0"/>
      <w:marBottom w:val="0"/>
      <w:divBdr>
        <w:top w:val="none" w:sz="0" w:space="0" w:color="auto"/>
        <w:left w:val="none" w:sz="0" w:space="0" w:color="auto"/>
        <w:bottom w:val="none" w:sz="0" w:space="0" w:color="auto"/>
        <w:right w:val="none" w:sz="0" w:space="0" w:color="auto"/>
      </w:divBdr>
      <w:divsChild>
        <w:div w:id="876890348">
          <w:marLeft w:val="0"/>
          <w:marRight w:val="0"/>
          <w:marTop w:val="0"/>
          <w:marBottom w:val="0"/>
          <w:divBdr>
            <w:top w:val="none" w:sz="0" w:space="0" w:color="auto"/>
            <w:left w:val="none" w:sz="0" w:space="0" w:color="auto"/>
            <w:bottom w:val="none" w:sz="0" w:space="0" w:color="auto"/>
            <w:right w:val="none" w:sz="0" w:space="0" w:color="auto"/>
          </w:divBdr>
        </w:div>
      </w:divsChild>
    </w:div>
    <w:div w:id="876890354">
      <w:marLeft w:val="0"/>
      <w:marRight w:val="0"/>
      <w:marTop w:val="0"/>
      <w:marBottom w:val="0"/>
      <w:divBdr>
        <w:top w:val="none" w:sz="0" w:space="0" w:color="auto"/>
        <w:left w:val="none" w:sz="0" w:space="0" w:color="auto"/>
        <w:bottom w:val="none" w:sz="0" w:space="0" w:color="auto"/>
        <w:right w:val="none" w:sz="0" w:space="0" w:color="auto"/>
      </w:divBdr>
      <w:divsChild>
        <w:div w:id="876890344">
          <w:marLeft w:val="0"/>
          <w:marRight w:val="0"/>
          <w:marTop w:val="0"/>
          <w:marBottom w:val="0"/>
          <w:divBdr>
            <w:top w:val="none" w:sz="0" w:space="0" w:color="auto"/>
            <w:left w:val="none" w:sz="0" w:space="0" w:color="auto"/>
            <w:bottom w:val="none" w:sz="0" w:space="0" w:color="auto"/>
            <w:right w:val="none" w:sz="0" w:space="0" w:color="auto"/>
          </w:divBdr>
          <w:divsChild>
            <w:div w:id="876890345">
              <w:marLeft w:val="0"/>
              <w:marRight w:val="0"/>
              <w:marTop w:val="0"/>
              <w:marBottom w:val="0"/>
              <w:divBdr>
                <w:top w:val="none" w:sz="0" w:space="0" w:color="auto"/>
                <w:left w:val="none" w:sz="0" w:space="0" w:color="auto"/>
                <w:bottom w:val="none" w:sz="0" w:space="0" w:color="auto"/>
                <w:right w:val="none" w:sz="0" w:space="0" w:color="auto"/>
              </w:divBdr>
              <w:divsChild>
                <w:div w:id="876890347">
                  <w:marLeft w:val="0"/>
                  <w:marRight w:val="0"/>
                  <w:marTop w:val="0"/>
                  <w:marBottom w:val="0"/>
                  <w:divBdr>
                    <w:top w:val="none" w:sz="0" w:space="0" w:color="auto"/>
                    <w:left w:val="none" w:sz="0" w:space="0" w:color="auto"/>
                    <w:bottom w:val="none" w:sz="0" w:space="0" w:color="auto"/>
                    <w:right w:val="none" w:sz="0" w:space="0" w:color="auto"/>
                  </w:divBdr>
                  <w:divsChild>
                    <w:div w:id="87689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90346">
          <w:marLeft w:val="0"/>
          <w:marRight w:val="0"/>
          <w:marTop w:val="0"/>
          <w:marBottom w:val="0"/>
          <w:divBdr>
            <w:top w:val="none" w:sz="0" w:space="0" w:color="auto"/>
            <w:left w:val="none" w:sz="0" w:space="0" w:color="auto"/>
            <w:bottom w:val="none" w:sz="0" w:space="0" w:color="auto"/>
            <w:right w:val="none" w:sz="0" w:space="0" w:color="auto"/>
          </w:divBdr>
          <w:divsChild>
            <w:div w:id="87689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90357">
      <w:marLeft w:val="0"/>
      <w:marRight w:val="0"/>
      <w:marTop w:val="0"/>
      <w:marBottom w:val="0"/>
      <w:divBdr>
        <w:top w:val="none" w:sz="0" w:space="0" w:color="auto"/>
        <w:left w:val="none" w:sz="0" w:space="0" w:color="auto"/>
        <w:bottom w:val="none" w:sz="0" w:space="0" w:color="auto"/>
        <w:right w:val="none" w:sz="0" w:space="0" w:color="auto"/>
      </w:divBdr>
      <w:divsChild>
        <w:div w:id="876890332">
          <w:marLeft w:val="547"/>
          <w:marRight w:val="0"/>
          <w:marTop w:val="200"/>
          <w:marBottom w:val="0"/>
          <w:divBdr>
            <w:top w:val="none" w:sz="0" w:space="0" w:color="auto"/>
            <w:left w:val="none" w:sz="0" w:space="0" w:color="auto"/>
            <w:bottom w:val="none" w:sz="0" w:space="0" w:color="auto"/>
            <w:right w:val="none" w:sz="0" w:space="0" w:color="auto"/>
          </w:divBdr>
        </w:div>
        <w:div w:id="876890333">
          <w:marLeft w:val="547"/>
          <w:marRight w:val="0"/>
          <w:marTop w:val="200"/>
          <w:marBottom w:val="0"/>
          <w:divBdr>
            <w:top w:val="none" w:sz="0" w:space="0" w:color="auto"/>
            <w:left w:val="none" w:sz="0" w:space="0" w:color="auto"/>
            <w:bottom w:val="none" w:sz="0" w:space="0" w:color="auto"/>
            <w:right w:val="none" w:sz="0" w:space="0" w:color="auto"/>
          </w:divBdr>
        </w:div>
        <w:div w:id="876890334">
          <w:marLeft w:val="547"/>
          <w:marRight w:val="0"/>
          <w:marTop w:val="200"/>
          <w:marBottom w:val="0"/>
          <w:divBdr>
            <w:top w:val="none" w:sz="0" w:space="0" w:color="auto"/>
            <w:left w:val="none" w:sz="0" w:space="0" w:color="auto"/>
            <w:bottom w:val="none" w:sz="0" w:space="0" w:color="auto"/>
            <w:right w:val="none" w:sz="0" w:space="0" w:color="auto"/>
          </w:divBdr>
        </w:div>
        <w:div w:id="876890336">
          <w:marLeft w:val="1267"/>
          <w:marRight w:val="0"/>
          <w:marTop w:val="100"/>
          <w:marBottom w:val="0"/>
          <w:divBdr>
            <w:top w:val="none" w:sz="0" w:space="0" w:color="auto"/>
            <w:left w:val="none" w:sz="0" w:space="0" w:color="auto"/>
            <w:bottom w:val="none" w:sz="0" w:space="0" w:color="auto"/>
            <w:right w:val="none" w:sz="0" w:space="0" w:color="auto"/>
          </w:divBdr>
        </w:div>
        <w:div w:id="876890339">
          <w:marLeft w:val="547"/>
          <w:marRight w:val="0"/>
          <w:marTop w:val="200"/>
          <w:marBottom w:val="0"/>
          <w:divBdr>
            <w:top w:val="none" w:sz="0" w:space="0" w:color="auto"/>
            <w:left w:val="none" w:sz="0" w:space="0" w:color="auto"/>
            <w:bottom w:val="none" w:sz="0" w:space="0" w:color="auto"/>
            <w:right w:val="none" w:sz="0" w:space="0" w:color="auto"/>
          </w:divBdr>
        </w:div>
        <w:div w:id="876890359">
          <w:marLeft w:val="547"/>
          <w:marRight w:val="0"/>
          <w:marTop w:val="200"/>
          <w:marBottom w:val="0"/>
          <w:divBdr>
            <w:top w:val="none" w:sz="0" w:space="0" w:color="auto"/>
            <w:left w:val="none" w:sz="0" w:space="0" w:color="auto"/>
            <w:bottom w:val="none" w:sz="0" w:space="0" w:color="auto"/>
            <w:right w:val="none" w:sz="0" w:space="0" w:color="auto"/>
          </w:divBdr>
        </w:div>
        <w:div w:id="876890361">
          <w:marLeft w:val="1267"/>
          <w:marRight w:val="0"/>
          <w:marTop w:val="100"/>
          <w:marBottom w:val="0"/>
          <w:divBdr>
            <w:top w:val="none" w:sz="0" w:space="0" w:color="auto"/>
            <w:left w:val="none" w:sz="0" w:space="0" w:color="auto"/>
            <w:bottom w:val="none" w:sz="0" w:space="0" w:color="auto"/>
            <w:right w:val="none" w:sz="0" w:space="0" w:color="auto"/>
          </w:divBdr>
        </w:div>
        <w:div w:id="876890364">
          <w:marLeft w:val="547"/>
          <w:marRight w:val="0"/>
          <w:marTop w:val="200"/>
          <w:marBottom w:val="0"/>
          <w:divBdr>
            <w:top w:val="none" w:sz="0" w:space="0" w:color="auto"/>
            <w:left w:val="none" w:sz="0" w:space="0" w:color="auto"/>
            <w:bottom w:val="none" w:sz="0" w:space="0" w:color="auto"/>
            <w:right w:val="none" w:sz="0" w:space="0" w:color="auto"/>
          </w:divBdr>
        </w:div>
      </w:divsChild>
    </w:div>
    <w:div w:id="876890365">
      <w:marLeft w:val="0"/>
      <w:marRight w:val="0"/>
      <w:marTop w:val="0"/>
      <w:marBottom w:val="0"/>
      <w:divBdr>
        <w:top w:val="none" w:sz="0" w:space="0" w:color="auto"/>
        <w:left w:val="none" w:sz="0" w:space="0" w:color="auto"/>
        <w:bottom w:val="none" w:sz="0" w:space="0" w:color="auto"/>
        <w:right w:val="none" w:sz="0" w:space="0" w:color="auto"/>
      </w:divBdr>
    </w:div>
    <w:div w:id="876890366">
      <w:marLeft w:val="0"/>
      <w:marRight w:val="0"/>
      <w:marTop w:val="0"/>
      <w:marBottom w:val="0"/>
      <w:divBdr>
        <w:top w:val="none" w:sz="0" w:space="0" w:color="auto"/>
        <w:left w:val="none" w:sz="0" w:space="0" w:color="auto"/>
        <w:bottom w:val="none" w:sz="0" w:space="0" w:color="auto"/>
        <w:right w:val="none" w:sz="0" w:space="0" w:color="auto"/>
      </w:divBdr>
      <w:divsChild>
        <w:div w:id="876890327">
          <w:marLeft w:val="547"/>
          <w:marRight w:val="0"/>
          <w:marTop w:val="200"/>
          <w:marBottom w:val="0"/>
          <w:divBdr>
            <w:top w:val="none" w:sz="0" w:space="0" w:color="auto"/>
            <w:left w:val="none" w:sz="0" w:space="0" w:color="auto"/>
            <w:bottom w:val="none" w:sz="0" w:space="0" w:color="auto"/>
            <w:right w:val="none" w:sz="0" w:space="0" w:color="auto"/>
          </w:divBdr>
        </w:div>
        <w:div w:id="876890329">
          <w:marLeft w:val="547"/>
          <w:marRight w:val="0"/>
          <w:marTop w:val="200"/>
          <w:marBottom w:val="0"/>
          <w:divBdr>
            <w:top w:val="none" w:sz="0" w:space="0" w:color="auto"/>
            <w:left w:val="none" w:sz="0" w:space="0" w:color="auto"/>
            <w:bottom w:val="none" w:sz="0" w:space="0" w:color="auto"/>
            <w:right w:val="none" w:sz="0" w:space="0" w:color="auto"/>
          </w:divBdr>
        </w:div>
        <w:div w:id="876890330">
          <w:marLeft w:val="547"/>
          <w:marRight w:val="0"/>
          <w:marTop w:val="200"/>
          <w:marBottom w:val="0"/>
          <w:divBdr>
            <w:top w:val="none" w:sz="0" w:space="0" w:color="auto"/>
            <w:left w:val="none" w:sz="0" w:space="0" w:color="auto"/>
            <w:bottom w:val="none" w:sz="0" w:space="0" w:color="auto"/>
            <w:right w:val="none" w:sz="0" w:space="0" w:color="auto"/>
          </w:divBdr>
        </w:div>
        <w:div w:id="876890337">
          <w:marLeft w:val="1267"/>
          <w:marRight w:val="0"/>
          <w:marTop w:val="100"/>
          <w:marBottom w:val="0"/>
          <w:divBdr>
            <w:top w:val="none" w:sz="0" w:space="0" w:color="auto"/>
            <w:left w:val="none" w:sz="0" w:space="0" w:color="auto"/>
            <w:bottom w:val="none" w:sz="0" w:space="0" w:color="auto"/>
            <w:right w:val="none" w:sz="0" w:space="0" w:color="auto"/>
          </w:divBdr>
        </w:div>
        <w:div w:id="876890356">
          <w:marLeft w:val="547"/>
          <w:marRight w:val="0"/>
          <w:marTop w:val="200"/>
          <w:marBottom w:val="0"/>
          <w:divBdr>
            <w:top w:val="none" w:sz="0" w:space="0" w:color="auto"/>
            <w:left w:val="none" w:sz="0" w:space="0" w:color="auto"/>
            <w:bottom w:val="none" w:sz="0" w:space="0" w:color="auto"/>
            <w:right w:val="none" w:sz="0" w:space="0" w:color="auto"/>
          </w:divBdr>
        </w:div>
        <w:div w:id="876890358">
          <w:marLeft w:val="547"/>
          <w:marRight w:val="0"/>
          <w:marTop w:val="200"/>
          <w:marBottom w:val="0"/>
          <w:divBdr>
            <w:top w:val="none" w:sz="0" w:space="0" w:color="auto"/>
            <w:left w:val="none" w:sz="0" w:space="0" w:color="auto"/>
            <w:bottom w:val="none" w:sz="0" w:space="0" w:color="auto"/>
            <w:right w:val="none" w:sz="0" w:space="0" w:color="auto"/>
          </w:divBdr>
        </w:div>
        <w:div w:id="876890360">
          <w:marLeft w:val="547"/>
          <w:marRight w:val="0"/>
          <w:marTop w:val="200"/>
          <w:marBottom w:val="0"/>
          <w:divBdr>
            <w:top w:val="none" w:sz="0" w:space="0" w:color="auto"/>
            <w:left w:val="none" w:sz="0" w:space="0" w:color="auto"/>
            <w:bottom w:val="none" w:sz="0" w:space="0" w:color="auto"/>
            <w:right w:val="none" w:sz="0" w:space="0" w:color="auto"/>
          </w:divBdr>
        </w:div>
        <w:div w:id="876890363">
          <w:marLeft w:val="1267"/>
          <w:marRight w:val="0"/>
          <w:marTop w:val="100"/>
          <w:marBottom w:val="0"/>
          <w:divBdr>
            <w:top w:val="none" w:sz="0" w:space="0" w:color="auto"/>
            <w:left w:val="none" w:sz="0" w:space="0" w:color="auto"/>
            <w:bottom w:val="none" w:sz="0" w:space="0" w:color="auto"/>
            <w:right w:val="none" w:sz="0" w:space="0" w:color="auto"/>
          </w:divBdr>
        </w:div>
      </w:divsChild>
    </w:div>
    <w:div w:id="1197886469">
      <w:bodyDiv w:val="1"/>
      <w:marLeft w:val="0"/>
      <w:marRight w:val="0"/>
      <w:marTop w:val="0"/>
      <w:marBottom w:val="0"/>
      <w:divBdr>
        <w:top w:val="none" w:sz="0" w:space="0" w:color="auto"/>
        <w:left w:val="none" w:sz="0" w:space="0" w:color="auto"/>
        <w:bottom w:val="none" w:sz="0" w:space="0" w:color="auto"/>
        <w:right w:val="none" w:sz="0" w:space="0" w:color="auto"/>
      </w:divBdr>
    </w:div>
    <w:div w:id="1734236123">
      <w:bodyDiv w:val="1"/>
      <w:marLeft w:val="0"/>
      <w:marRight w:val="0"/>
      <w:marTop w:val="0"/>
      <w:marBottom w:val="0"/>
      <w:divBdr>
        <w:top w:val="none" w:sz="0" w:space="0" w:color="auto"/>
        <w:left w:val="none" w:sz="0" w:space="0" w:color="auto"/>
        <w:bottom w:val="none" w:sz="0" w:space="0" w:color="auto"/>
        <w:right w:val="none" w:sz="0" w:space="0" w:color="auto"/>
      </w:divBdr>
    </w:div>
    <w:div w:id="1891384720">
      <w:bodyDiv w:val="1"/>
      <w:marLeft w:val="0"/>
      <w:marRight w:val="0"/>
      <w:marTop w:val="0"/>
      <w:marBottom w:val="0"/>
      <w:divBdr>
        <w:top w:val="none" w:sz="0" w:space="0" w:color="auto"/>
        <w:left w:val="none" w:sz="0" w:space="0" w:color="auto"/>
        <w:bottom w:val="none" w:sz="0" w:space="0" w:color="auto"/>
        <w:right w:val="none" w:sz="0" w:space="0" w:color="auto"/>
      </w:divBdr>
    </w:div>
    <w:div w:id="196746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wikipedia.org/wiki/Sulfonylurea" TargetMode="External"/><Relationship Id="rId18" Type="http://schemas.openxmlformats.org/officeDocument/2006/relationships/hyperlink" Target="http://www.ncbi.nlm.nih.gov/pubmed/?term=Hofmeister%20W%5BAuthor%5D&amp;cauthor=true&amp;cauthor_uid=2399896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n.wikipedia.org/wiki/Procainamide" TargetMode="External"/><Relationship Id="rId17" Type="http://schemas.openxmlformats.org/officeDocument/2006/relationships/hyperlink" Target="http://www.ncbi.nlm.nih.gov/pubmed/?term=Kolb%20U%5BAuthor%5D&amp;cauthor=true&amp;cauthor_uid=23998966" TargetMode="External"/><Relationship Id="rId2" Type="http://schemas.openxmlformats.org/officeDocument/2006/relationships/numbering" Target="numbering.xml"/><Relationship Id="rId16" Type="http://schemas.openxmlformats.org/officeDocument/2006/relationships/hyperlink" Target="http://www.ncbi.nlm.nih.gov/pubmed/?term=Andrusenko%20I%5BAuthor%5D&amp;cauthor=true&amp;cauthor_uid=23998966" TargetMode="External"/><Relationship Id="rId20" Type="http://schemas.openxmlformats.org/officeDocument/2006/relationships/hyperlink" Target="http://www.ncbi.nlm.nih.gov/pubmed/239989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Sulfonamides" TargetMode="External"/><Relationship Id="rId5" Type="http://schemas.openxmlformats.org/officeDocument/2006/relationships/webSettings" Target="webSettings.xml"/><Relationship Id="rId15" Type="http://schemas.openxmlformats.org/officeDocument/2006/relationships/hyperlink" Target="http://www.ncbi.nlm.nih.gov/pubmed/?term=F%C3%BCtterer%20S%5BAuthor%5D&amp;cauthor=true&amp;cauthor_uid=23998966" TargetMode="External"/><Relationship Id="rId23" Type="http://schemas.openxmlformats.org/officeDocument/2006/relationships/theme" Target="theme/theme1.xml"/><Relationship Id="rId10" Type="http://schemas.openxmlformats.org/officeDocument/2006/relationships/package" Target="embeddings/Microsoft_PowerPoint_Slide.sldx"/><Relationship Id="rId19" Type="http://schemas.openxmlformats.org/officeDocument/2006/relationships/hyperlink" Target="http://www.ncbi.nlm.nih.gov/pubmed/?term=Langguth%20P%5BAuthor%5D&amp;cauthor=true&amp;cauthor_uid=23998966"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FDDAD-9D09-4814-B2AA-321C78057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8322</Words>
  <Characters>47437</Characters>
  <Application>Microsoft Office Word</Application>
  <DocSecurity>0</DocSecurity>
  <Lines>395</Lines>
  <Paragraphs>111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Hypersensitivity to intravenous iron: classification, terminology, mechanisms and management</vt:lpstr>
      <vt:lpstr>Hypersensitivity to intravenous iron: classification, terminology, mechanisms and management</vt:lpstr>
    </vt:vector>
  </TitlesOfParts>
  <Company>Tilak GmbH</Company>
  <LinksUpToDate>false</LinksUpToDate>
  <CharactersWithSpaces>55648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Hypersensitivity to intravenous iron: classification, terminology, mechanisms and management</dc:title>
  <dc:creator>Win7</dc:creator>
  <cp:lastModifiedBy>Jordan Brewster</cp:lastModifiedBy>
  <cp:revision>2</cp:revision>
  <cp:lastPrinted>2015-04-29T13:12:00Z</cp:lastPrinted>
  <dcterms:created xsi:type="dcterms:W3CDTF">2021-09-13T14:59:00Z</dcterms:created>
  <dcterms:modified xsi:type="dcterms:W3CDTF">2021-09-13T14:59:00Z</dcterms:modified>
</cp:coreProperties>
</file>