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DB32" w14:textId="77777777" w:rsidR="00C8577C" w:rsidRDefault="00C8577C" w:rsidP="001211FB">
      <w:pPr>
        <w:spacing w:line="360" w:lineRule="auto"/>
        <w:jc w:val="center"/>
        <w:rPr>
          <w:rFonts w:ascii="Trebuchet MS" w:hAnsi="Trebuchet MS"/>
          <w:b/>
          <w:lang w:val="en-US"/>
        </w:rPr>
      </w:pPr>
    </w:p>
    <w:p w14:paraId="4CB340DB" w14:textId="77777777" w:rsidR="00C8577C" w:rsidRDefault="00C8577C" w:rsidP="001211FB">
      <w:pPr>
        <w:spacing w:line="360" w:lineRule="auto"/>
        <w:jc w:val="center"/>
        <w:rPr>
          <w:rFonts w:ascii="Trebuchet MS" w:hAnsi="Trebuchet MS"/>
          <w:b/>
          <w:sz w:val="36"/>
          <w:lang w:val="en-US"/>
        </w:rPr>
      </w:pPr>
      <w:r w:rsidRPr="00C8577C">
        <w:rPr>
          <w:rFonts w:ascii="Trebuchet MS" w:hAnsi="Trebuchet MS"/>
          <w:b/>
          <w:sz w:val="36"/>
          <w:u w:val="single"/>
          <w:lang w:val="en-US"/>
        </w:rPr>
        <w:t xml:space="preserve">Daily Body Restore (DBR) </w:t>
      </w:r>
      <w:r w:rsidRPr="00C8577C">
        <w:rPr>
          <w:rFonts w:ascii="Trebuchet MS" w:hAnsi="Trebuchet MS"/>
          <w:b/>
          <w:sz w:val="36"/>
          <w:u w:val="single"/>
          <w:lang w:val="en-US"/>
        </w:rPr>
        <w:t xml:space="preserve">Research </w:t>
      </w:r>
      <w:proofErr w:type="spellStart"/>
      <w:r w:rsidRPr="00C8577C">
        <w:rPr>
          <w:rFonts w:ascii="Trebuchet MS" w:hAnsi="Trebuchet MS"/>
          <w:b/>
          <w:sz w:val="36"/>
          <w:u w:val="single"/>
          <w:lang w:val="en-US"/>
        </w:rPr>
        <w:t>Programme</w:t>
      </w:r>
      <w:proofErr w:type="spellEnd"/>
    </w:p>
    <w:p w14:paraId="413ABDBE" w14:textId="291CB0B1" w:rsidR="00C8577C" w:rsidRDefault="00C8577C" w:rsidP="001211FB">
      <w:pPr>
        <w:spacing w:line="360" w:lineRule="auto"/>
        <w:jc w:val="center"/>
        <w:rPr>
          <w:rFonts w:ascii="Trebuchet MS" w:hAnsi="Trebuchet MS"/>
          <w:b/>
          <w:sz w:val="36"/>
          <w:lang w:val="en-US"/>
        </w:rPr>
      </w:pPr>
      <w:r>
        <w:rPr>
          <w:rFonts w:ascii="Trebuchet MS" w:hAnsi="Trebuchet MS"/>
          <w:b/>
          <w:sz w:val="36"/>
          <w:lang w:val="en-US"/>
        </w:rPr>
        <w:t>Gut microbiota, malnutrition, inflammation and oxidative status in chronic kidney disease progression. Effect of probiotic/digestive enzyme supplement</w:t>
      </w:r>
    </w:p>
    <w:p w14:paraId="30A61576" w14:textId="77777777" w:rsidR="00C8577C" w:rsidRDefault="00C8577C" w:rsidP="001211FB">
      <w:pPr>
        <w:spacing w:line="360" w:lineRule="auto"/>
        <w:jc w:val="center"/>
        <w:rPr>
          <w:rFonts w:ascii="Trebuchet MS" w:hAnsi="Trebuchet MS"/>
          <w:b/>
          <w:sz w:val="36"/>
          <w:lang w:val="en-US"/>
        </w:rPr>
      </w:pPr>
    </w:p>
    <w:p w14:paraId="12CD3D7D" w14:textId="436FBCAD" w:rsidR="001211FB" w:rsidRPr="00C8577C" w:rsidRDefault="001604B8" w:rsidP="001211FB">
      <w:pPr>
        <w:spacing w:line="360" w:lineRule="auto"/>
        <w:jc w:val="center"/>
        <w:rPr>
          <w:rFonts w:ascii="Trebuchet MS" w:hAnsi="Trebuchet MS"/>
          <w:b/>
          <w:sz w:val="36"/>
          <w:lang w:val="en-US"/>
        </w:rPr>
      </w:pPr>
      <w:r w:rsidRPr="00C8577C">
        <w:rPr>
          <w:rFonts w:ascii="Trebuchet MS" w:hAnsi="Trebuchet MS"/>
          <w:b/>
          <w:sz w:val="36"/>
          <w:lang w:val="en-US"/>
        </w:rPr>
        <w:t>Final Report</w:t>
      </w:r>
    </w:p>
    <w:p w14:paraId="29A9F2AE" w14:textId="77777777" w:rsidR="00C8577C" w:rsidRPr="001604B8" w:rsidRDefault="00C8577C" w:rsidP="001211FB">
      <w:pPr>
        <w:spacing w:line="360" w:lineRule="auto"/>
        <w:jc w:val="center"/>
        <w:rPr>
          <w:rFonts w:ascii="Trebuchet MS" w:hAnsi="Trebuchet MS"/>
          <w:lang w:val="en-US"/>
        </w:rPr>
      </w:pPr>
    </w:p>
    <w:p w14:paraId="66BC91D1" w14:textId="47878ED4" w:rsidR="001604B8" w:rsidRDefault="002246F3" w:rsidP="001211FB">
      <w:pPr>
        <w:spacing w:line="360" w:lineRule="auto"/>
        <w:jc w:val="both"/>
        <w:rPr>
          <w:rFonts w:ascii="Trebuchet MS" w:hAnsi="Trebuchet MS"/>
          <w:lang w:val="en-US"/>
        </w:rPr>
      </w:pPr>
      <w:bookmarkStart w:id="0" w:name="_GoBack"/>
      <w:r w:rsidRPr="002246F3">
        <w:rPr>
          <w:rFonts w:ascii="Trebuchet MS" w:hAnsi="Trebuchet MS"/>
          <w:b/>
          <w:i/>
          <w:u w:val="single"/>
          <w:lang w:val="en-US"/>
        </w:rPr>
        <w:t>BACKGROU</w:t>
      </w:r>
      <w:r>
        <w:rPr>
          <w:rFonts w:ascii="Trebuchet MS" w:hAnsi="Trebuchet MS"/>
          <w:b/>
          <w:i/>
          <w:u w:val="single"/>
          <w:lang w:val="en-US"/>
        </w:rPr>
        <w:t>N</w:t>
      </w:r>
      <w:r w:rsidRPr="002246F3">
        <w:rPr>
          <w:rFonts w:ascii="Trebuchet MS" w:hAnsi="Trebuchet MS"/>
          <w:b/>
          <w:i/>
          <w:u w:val="single"/>
          <w:lang w:val="en-US"/>
        </w:rPr>
        <w:t>D</w:t>
      </w:r>
      <w:r w:rsidR="001604B8" w:rsidRPr="002246F3">
        <w:rPr>
          <w:rFonts w:ascii="Trebuchet MS" w:hAnsi="Trebuchet MS"/>
          <w:b/>
          <w:u w:val="single"/>
          <w:lang w:val="en-US"/>
        </w:rPr>
        <w:t>:</w:t>
      </w:r>
      <w:bookmarkEnd w:id="0"/>
      <w:r w:rsidR="001604B8" w:rsidRPr="001604B8">
        <w:rPr>
          <w:rFonts w:ascii="Trebuchet MS" w:hAnsi="Trebuchet MS"/>
          <w:lang w:val="en-US"/>
        </w:rPr>
        <w:t xml:space="preserve"> Chronic </w:t>
      </w:r>
      <w:r w:rsidR="00F15DEC">
        <w:rPr>
          <w:rFonts w:ascii="Trebuchet MS" w:hAnsi="Trebuchet MS"/>
          <w:lang w:val="en-US"/>
        </w:rPr>
        <w:t>Kidney Disease</w:t>
      </w:r>
      <w:r w:rsidR="001604B8" w:rsidRPr="001604B8">
        <w:rPr>
          <w:rFonts w:ascii="Trebuchet MS" w:hAnsi="Trebuchet MS"/>
          <w:lang w:val="en-US"/>
        </w:rPr>
        <w:t xml:space="preserve"> (</w:t>
      </w:r>
      <w:r w:rsidR="001604B8">
        <w:rPr>
          <w:rFonts w:ascii="Trebuchet MS" w:hAnsi="Trebuchet MS"/>
          <w:lang w:val="en-US"/>
        </w:rPr>
        <w:t>C</w:t>
      </w:r>
      <w:r w:rsidR="00F15DEC">
        <w:rPr>
          <w:rFonts w:ascii="Trebuchet MS" w:hAnsi="Trebuchet MS"/>
          <w:lang w:val="en-US"/>
        </w:rPr>
        <w:t>KD or IRC</w:t>
      </w:r>
      <w:r w:rsidR="001604B8" w:rsidRPr="001604B8">
        <w:rPr>
          <w:rFonts w:ascii="Trebuchet MS" w:hAnsi="Trebuchet MS"/>
          <w:lang w:val="en-US"/>
        </w:rPr>
        <w:t>) has been defined by the National Kidney Foundation as a condition in which abnormality of kidney structure or function (decline of excretory, endocrine</w:t>
      </w:r>
      <w:r w:rsidR="00F91CBF">
        <w:rPr>
          <w:rFonts w:ascii="Trebuchet MS" w:hAnsi="Trebuchet MS"/>
          <w:lang w:val="en-US"/>
        </w:rPr>
        <w:t>,</w:t>
      </w:r>
      <w:r w:rsidR="001604B8" w:rsidRPr="001604B8">
        <w:rPr>
          <w:rFonts w:ascii="Trebuchet MS" w:hAnsi="Trebuchet MS"/>
          <w:lang w:val="en-US"/>
        </w:rPr>
        <w:t xml:space="preserve"> and metabolic function) occurs with glomerular filtration</w:t>
      </w:r>
      <w:r w:rsidR="001604B8">
        <w:rPr>
          <w:rFonts w:ascii="Trebuchet MS" w:hAnsi="Trebuchet MS"/>
          <w:lang w:val="en-US"/>
        </w:rPr>
        <w:t xml:space="preserve"> rate</w:t>
      </w:r>
      <w:r w:rsidR="001604B8" w:rsidRPr="001604B8">
        <w:rPr>
          <w:rFonts w:ascii="Trebuchet MS" w:hAnsi="Trebuchet MS"/>
          <w:lang w:val="en-US"/>
        </w:rPr>
        <w:t xml:space="preserve"> &lt;60 ml/min/1.73m</w:t>
      </w:r>
      <w:r w:rsidR="001604B8" w:rsidRPr="00F15DEC">
        <w:rPr>
          <w:rFonts w:ascii="Trebuchet MS" w:hAnsi="Trebuchet MS"/>
          <w:vertAlign w:val="superscript"/>
          <w:lang w:val="en-US"/>
        </w:rPr>
        <w:t>2</w:t>
      </w:r>
      <w:r w:rsidR="001604B8" w:rsidRPr="001604B8">
        <w:rPr>
          <w:rFonts w:ascii="Trebuchet MS" w:hAnsi="Trebuchet MS"/>
          <w:lang w:val="en-US"/>
        </w:rPr>
        <w:t xml:space="preserve"> for at least 3 months, with important health implications.</w:t>
      </w:r>
    </w:p>
    <w:p w14:paraId="6B32DB9C" w14:textId="4AF2F205" w:rsidR="001604B8" w:rsidRDefault="001604B8" w:rsidP="001211FB">
      <w:pPr>
        <w:spacing w:line="360" w:lineRule="auto"/>
        <w:jc w:val="both"/>
        <w:rPr>
          <w:rFonts w:ascii="Trebuchet MS" w:hAnsi="Trebuchet MS"/>
          <w:lang w:val="en-US"/>
        </w:rPr>
      </w:pPr>
      <w:r w:rsidRPr="001604B8">
        <w:rPr>
          <w:rFonts w:ascii="Trebuchet MS" w:hAnsi="Trebuchet MS"/>
          <w:lang w:val="en-US"/>
        </w:rPr>
        <w:t xml:space="preserve">Inflammation and oxidative stress play a very important role in </w:t>
      </w:r>
      <w:r>
        <w:rPr>
          <w:rFonts w:ascii="Trebuchet MS" w:hAnsi="Trebuchet MS"/>
          <w:lang w:val="en-US"/>
        </w:rPr>
        <w:t>C</w:t>
      </w:r>
      <w:r w:rsidR="00F15DEC">
        <w:rPr>
          <w:rFonts w:ascii="Trebuchet MS" w:hAnsi="Trebuchet MS"/>
          <w:lang w:val="en-US"/>
        </w:rPr>
        <w:t>KD</w:t>
      </w:r>
      <w:r w:rsidRPr="001604B8">
        <w:rPr>
          <w:rFonts w:ascii="Trebuchet MS" w:hAnsi="Trebuchet MS"/>
          <w:lang w:val="en-US"/>
        </w:rPr>
        <w:t xml:space="preserve"> progression. In the literature</w:t>
      </w:r>
      <w:r w:rsidR="00F91CBF">
        <w:rPr>
          <w:rFonts w:ascii="Trebuchet MS" w:hAnsi="Trebuchet MS"/>
          <w:lang w:val="en-US"/>
        </w:rPr>
        <w:t>,</w:t>
      </w:r>
      <w:r w:rsidRPr="001604B8">
        <w:rPr>
          <w:rFonts w:ascii="Trebuchet MS" w:hAnsi="Trebuchet MS"/>
          <w:lang w:val="en-US"/>
        </w:rPr>
        <w:t xml:space="preserve"> it has been shown that in patients with acute or chronic </w:t>
      </w:r>
      <w:r w:rsidR="00DD7FCE">
        <w:rPr>
          <w:rFonts w:ascii="Trebuchet MS" w:hAnsi="Trebuchet MS"/>
          <w:lang w:val="en-US"/>
        </w:rPr>
        <w:t>kidney disease</w:t>
      </w:r>
      <w:r w:rsidRPr="001604B8">
        <w:rPr>
          <w:rFonts w:ascii="Trebuchet MS" w:hAnsi="Trebuchet MS"/>
          <w:lang w:val="en-US"/>
        </w:rPr>
        <w:t>, characterized by high oxidative stress, increased production of IL-6, IL-8, TNF-</w:t>
      </w:r>
      <w:r w:rsidRPr="001604B8">
        <w:rPr>
          <w:rFonts w:ascii="Trebuchet MS" w:hAnsi="Trebuchet MS"/>
        </w:rPr>
        <w:t>α</w:t>
      </w:r>
      <w:r w:rsidR="00F91CBF" w:rsidRPr="008E727C">
        <w:rPr>
          <w:rFonts w:ascii="Trebuchet MS" w:hAnsi="Trebuchet MS"/>
          <w:lang w:val="en-US"/>
        </w:rPr>
        <w:t>,</w:t>
      </w:r>
      <w:r w:rsidRPr="001604B8">
        <w:rPr>
          <w:rFonts w:ascii="Trebuchet MS" w:hAnsi="Trebuchet MS"/>
          <w:lang w:val="en-US"/>
        </w:rPr>
        <w:t xml:space="preserve"> and CCL-2 often occurs, </w:t>
      </w:r>
      <w:r>
        <w:rPr>
          <w:rFonts w:ascii="Trebuchet MS" w:hAnsi="Trebuchet MS"/>
          <w:lang w:val="en-US"/>
        </w:rPr>
        <w:t>b</w:t>
      </w:r>
      <w:r w:rsidRPr="001604B8">
        <w:rPr>
          <w:rFonts w:ascii="Trebuchet MS" w:hAnsi="Trebuchet MS"/>
          <w:lang w:val="en-US"/>
        </w:rPr>
        <w:t xml:space="preserve">ecause there is a high correlation between changes in oxidative stress and plasma levels of cytokines. Over the last decade, there has been increased awareness that changes in the quantitative and/or qualitative composition of the gut microbiota are implicated in the systemic inflammatory state, </w:t>
      </w:r>
      <w:r w:rsidR="002246F3">
        <w:rPr>
          <w:rFonts w:ascii="Trebuchet MS" w:hAnsi="Trebuchet MS"/>
          <w:lang w:val="en-US"/>
        </w:rPr>
        <w:t>C</w:t>
      </w:r>
      <w:r w:rsidR="00F15DEC">
        <w:rPr>
          <w:rFonts w:ascii="Trebuchet MS" w:hAnsi="Trebuchet MS"/>
          <w:lang w:val="en-US"/>
        </w:rPr>
        <w:t>KD</w:t>
      </w:r>
      <w:r w:rsidRPr="001604B8">
        <w:rPr>
          <w:rFonts w:ascii="Trebuchet MS" w:hAnsi="Trebuchet MS"/>
          <w:lang w:val="en-US"/>
        </w:rPr>
        <w:t xml:space="preserve"> progression, and </w:t>
      </w:r>
      <w:r w:rsidR="002246F3">
        <w:rPr>
          <w:rFonts w:ascii="Trebuchet MS" w:hAnsi="Trebuchet MS"/>
          <w:lang w:val="en-US"/>
        </w:rPr>
        <w:t>C</w:t>
      </w:r>
      <w:r w:rsidR="00F15DEC">
        <w:rPr>
          <w:rFonts w:ascii="Trebuchet MS" w:hAnsi="Trebuchet MS"/>
          <w:lang w:val="en-US"/>
        </w:rPr>
        <w:t>KD</w:t>
      </w:r>
      <w:r w:rsidRPr="001604B8">
        <w:rPr>
          <w:rFonts w:ascii="Trebuchet MS" w:hAnsi="Trebuchet MS"/>
          <w:lang w:val="en-US"/>
        </w:rPr>
        <w:t>-related cardiovascular disease (CVD).</w:t>
      </w:r>
    </w:p>
    <w:p w14:paraId="191FE3F7" w14:textId="254D9469" w:rsidR="001604B8" w:rsidRPr="002246F3" w:rsidRDefault="002246F3" w:rsidP="001211FB">
      <w:pPr>
        <w:spacing w:line="360" w:lineRule="auto"/>
        <w:jc w:val="both"/>
        <w:rPr>
          <w:rFonts w:ascii="Trebuchet MS" w:hAnsi="Trebuchet MS"/>
          <w:lang w:val="en-US"/>
        </w:rPr>
      </w:pPr>
      <w:r w:rsidRPr="002246F3">
        <w:rPr>
          <w:rFonts w:ascii="Trebuchet MS" w:hAnsi="Trebuchet MS"/>
          <w:lang w:val="en-US"/>
        </w:rPr>
        <w:t xml:space="preserve">Constant changes in the gut microbiota were also observed during the </w:t>
      </w:r>
      <w:r w:rsidR="00F15DEC">
        <w:rPr>
          <w:rFonts w:ascii="Trebuchet MS" w:hAnsi="Trebuchet MS"/>
          <w:lang w:val="en-US"/>
        </w:rPr>
        <w:t>CKD</w:t>
      </w:r>
      <w:r w:rsidRPr="002246F3">
        <w:rPr>
          <w:rFonts w:ascii="Trebuchet MS" w:hAnsi="Trebuchet MS"/>
          <w:lang w:val="en-US"/>
        </w:rPr>
        <w:t xml:space="preserve">, inducing a metabolic load that could further increase CVD risk in </w:t>
      </w:r>
      <w:r>
        <w:rPr>
          <w:rFonts w:ascii="Trebuchet MS" w:hAnsi="Trebuchet MS"/>
          <w:lang w:val="en-US"/>
        </w:rPr>
        <w:t>C</w:t>
      </w:r>
      <w:r w:rsidR="00F15DEC">
        <w:rPr>
          <w:rFonts w:ascii="Trebuchet MS" w:hAnsi="Trebuchet MS"/>
          <w:lang w:val="en-US"/>
        </w:rPr>
        <w:t>KD</w:t>
      </w:r>
      <w:r w:rsidRPr="002246F3">
        <w:rPr>
          <w:rFonts w:ascii="Trebuchet MS" w:hAnsi="Trebuchet MS"/>
          <w:lang w:val="en-US"/>
        </w:rPr>
        <w:t xml:space="preserve"> patients. Thanks to corrections of habits of daily life, such as low protein diets, correction of disorders of mineral metabolism and anemia, control of blood pressure and proteinuria</w:t>
      </w:r>
      <w:r w:rsidR="00F91CBF">
        <w:rPr>
          <w:rFonts w:ascii="Trebuchet MS" w:hAnsi="Trebuchet MS"/>
          <w:lang w:val="en-US"/>
        </w:rPr>
        <w:t>,</w:t>
      </w:r>
      <w:r w:rsidRPr="002246F3">
        <w:rPr>
          <w:rFonts w:ascii="Trebuchet MS" w:hAnsi="Trebuchet MS"/>
          <w:lang w:val="en-US"/>
        </w:rPr>
        <w:t xml:space="preserve"> and other lifestyle interventions (smoking and exercise), it is possible to delay the progressive loss of kidney function and/or prevent the development of</w:t>
      </w:r>
      <w:r w:rsidR="003163C2">
        <w:rPr>
          <w:rFonts w:ascii="Trebuchet MS" w:hAnsi="Trebuchet MS"/>
          <w:lang w:val="en-US"/>
        </w:rPr>
        <w:t xml:space="preserve"> CKD</w:t>
      </w:r>
      <w:r w:rsidRPr="002246F3">
        <w:rPr>
          <w:rFonts w:ascii="Trebuchet MS" w:hAnsi="Trebuchet MS"/>
          <w:lang w:val="en-US"/>
        </w:rPr>
        <w:t xml:space="preserve">. Moreover, intervening directly </w:t>
      </w:r>
      <w:r w:rsidR="00F91CBF">
        <w:rPr>
          <w:rFonts w:ascii="Trebuchet MS" w:hAnsi="Trebuchet MS"/>
          <w:lang w:val="en-US"/>
        </w:rPr>
        <w:t>in</w:t>
      </w:r>
      <w:r w:rsidRPr="002246F3">
        <w:rPr>
          <w:rFonts w:ascii="Trebuchet MS" w:hAnsi="Trebuchet MS"/>
          <w:lang w:val="en-US"/>
        </w:rPr>
        <w:t xml:space="preserve"> the modulation of the intestinal microbiota, going to integrate with probiotics, could be effective in modifying clinical outcomes, thanks to a direct or indirect change of the inflammatory and oxidative state.</w:t>
      </w:r>
    </w:p>
    <w:p w14:paraId="77792A9B" w14:textId="77777777" w:rsidR="001211FB" w:rsidRPr="008570F2" w:rsidRDefault="001211FB" w:rsidP="001211FB">
      <w:pPr>
        <w:spacing w:line="360" w:lineRule="auto"/>
        <w:jc w:val="both"/>
        <w:rPr>
          <w:rFonts w:ascii="Trebuchet MS" w:hAnsi="Trebuchet MS"/>
          <w:lang w:val="en-US"/>
        </w:rPr>
      </w:pPr>
    </w:p>
    <w:p w14:paraId="7E647F21" w14:textId="77777777" w:rsidR="002246F3" w:rsidRPr="002246F3" w:rsidRDefault="002246F3" w:rsidP="001211FB">
      <w:pPr>
        <w:spacing w:line="360" w:lineRule="auto"/>
        <w:jc w:val="both"/>
        <w:rPr>
          <w:rFonts w:ascii="Trebuchet MS" w:hAnsi="Trebuchet MS"/>
          <w:bCs/>
          <w:lang w:val="en-US"/>
        </w:rPr>
      </w:pPr>
      <w:r w:rsidRPr="002246F3">
        <w:rPr>
          <w:rFonts w:ascii="Trebuchet MS" w:hAnsi="Trebuchet MS"/>
          <w:b/>
          <w:bCs/>
          <w:i/>
          <w:u w:val="single"/>
          <w:lang w:val="en-US"/>
        </w:rPr>
        <w:lastRenderedPageBreak/>
        <w:t>AI</w:t>
      </w:r>
      <w:r>
        <w:rPr>
          <w:rFonts w:ascii="Trebuchet MS" w:hAnsi="Trebuchet MS"/>
          <w:b/>
          <w:bCs/>
          <w:i/>
          <w:u w:val="single"/>
          <w:lang w:val="en-US"/>
        </w:rPr>
        <w:t>M OF THE STUDY</w:t>
      </w:r>
      <w:r w:rsidR="005113F9">
        <w:rPr>
          <w:rFonts w:ascii="Trebuchet MS" w:hAnsi="Trebuchet MS"/>
          <w:b/>
          <w:bCs/>
          <w:i/>
          <w:u w:val="single"/>
          <w:lang w:val="en-US"/>
        </w:rPr>
        <w:t>:</w:t>
      </w:r>
      <w:r w:rsidRPr="002246F3">
        <w:rPr>
          <w:rFonts w:ascii="Trebuchet MS" w:hAnsi="Trebuchet MS"/>
          <w:bCs/>
          <w:i/>
          <w:lang w:val="en-US"/>
        </w:rPr>
        <w:t xml:space="preserve"> </w:t>
      </w:r>
      <w:r w:rsidRPr="002246F3">
        <w:rPr>
          <w:rFonts w:ascii="Trebuchet MS" w:hAnsi="Trebuchet MS"/>
          <w:bCs/>
          <w:lang w:val="en-US"/>
        </w:rPr>
        <w:t xml:space="preserve">The purpose of this study </w:t>
      </w:r>
      <w:r w:rsidR="005113F9">
        <w:rPr>
          <w:rFonts w:ascii="Trebuchet MS" w:hAnsi="Trebuchet MS"/>
          <w:bCs/>
          <w:lang w:val="en-US"/>
        </w:rPr>
        <w:t>was</w:t>
      </w:r>
      <w:r w:rsidRPr="002246F3">
        <w:rPr>
          <w:rFonts w:ascii="Trebuchet MS" w:hAnsi="Trebuchet MS"/>
          <w:bCs/>
          <w:lang w:val="en-US"/>
        </w:rPr>
        <w:t xml:space="preserve"> to evaluate the effect of probiotic supplementation (DBR), exploring potential changes in parameters associated with inflammation and </w:t>
      </w:r>
      <w:r w:rsidR="000C2B9A">
        <w:rPr>
          <w:rFonts w:ascii="Trebuchet MS" w:hAnsi="Trebuchet MS"/>
          <w:bCs/>
          <w:lang w:val="en-US"/>
        </w:rPr>
        <w:t>gut</w:t>
      </w:r>
      <w:r w:rsidRPr="002246F3">
        <w:rPr>
          <w:rFonts w:ascii="Trebuchet MS" w:hAnsi="Trebuchet MS"/>
          <w:bCs/>
          <w:lang w:val="en-US"/>
        </w:rPr>
        <w:t xml:space="preserve"> microbiota composition in C</w:t>
      </w:r>
      <w:r w:rsidR="00367BF0">
        <w:rPr>
          <w:rFonts w:ascii="Trebuchet MS" w:hAnsi="Trebuchet MS"/>
          <w:bCs/>
          <w:lang w:val="en-US"/>
        </w:rPr>
        <w:t>KD</w:t>
      </w:r>
      <w:r w:rsidRPr="002246F3">
        <w:rPr>
          <w:rFonts w:ascii="Trebuchet MS" w:hAnsi="Trebuchet MS"/>
          <w:bCs/>
          <w:lang w:val="en-US"/>
        </w:rPr>
        <w:t xml:space="preserve"> patients.</w:t>
      </w:r>
    </w:p>
    <w:p w14:paraId="706E1AE2" w14:textId="77777777" w:rsidR="00367BF0" w:rsidRDefault="00367BF0" w:rsidP="001211FB">
      <w:pPr>
        <w:spacing w:line="360" w:lineRule="auto"/>
        <w:jc w:val="both"/>
        <w:rPr>
          <w:rFonts w:ascii="Trebuchet MS" w:hAnsi="Trebuchet MS"/>
          <w:bCs/>
          <w:i/>
          <w:lang w:val="en-US"/>
        </w:rPr>
      </w:pPr>
    </w:p>
    <w:p w14:paraId="4B0A40B8" w14:textId="094A0101" w:rsidR="002246F3" w:rsidRDefault="00A54A1C" w:rsidP="001211FB">
      <w:pPr>
        <w:spacing w:line="360" w:lineRule="auto"/>
        <w:jc w:val="both"/>
        <w:rPr>
          <w:rFonts w:ascii="Trebuchet MS" w:hAnsi="Trebuchet MS"/>
          <w:bCs/>
          <w:i/>
          <w:lang w:val="en-US"/>
        </w:rPr>
      </w:pPr>
      <w:r w:rsidRPr="00367BF0">
        <w:rPr>
          <w:rFonts w:ascii="Trebuchet MS" w:hAnsi="Trebuchet MS"/>
          <w:b/>
          <w:bCs/>
          <w:i/>
          <w:u w:val="single"/>
          <w:lang w:val="en-US"/>
        </w:rPr>
        <w:t>PATIENTS, MATERIALS</w:t>
      </w:r>
      <w:r w:rsidR="00F91CBF">
        <w:rPr>
          <w:rFonts w:ascii="Trebuchet MS" w:hAnsi="Trebuchet MS"/>
          <w:b/>
          <w:bCs/>
          <w:i/>
          <w:u w:val="single"/>
          <w:lang w:val="en-US"/>
        </w:rPr>
        <w:t>,</w:t>
      </w:r>
      <w:r w:rsidRPr="00367BF0">
        <w:rPr>
          <w:rFonts w:ascii="Trebuchet MS" w:hAnsi="Trebuchet MS"/>
          <w:b/>
          <w:bCs/>
          <w:i/>
          <w:u w:val="single"/>
          <w:lang w:val="en-US"/>
        </w:rPr>
        <w:t xml:space="preserve"> AND METHODS:</w:t>
      </w:r>
      <w:r w:rsidRPr="00A54A1C">
        <w:rPr>
          <w:rFonts w:ascii="Trebuchet MS" w:hAnsi="Trebuchet MS"/>
          <w:bCs/>
          <w:i/>
          <w:lang w:val="en-US"/>
        </w:rPr>
        <w:t xml:space="preserve"> </w:t>
      </w:r>
      <w:r w:rsidRPr="00A54A1C">
        <w:rPr>
          <w:rFonts w:ascii="Trebuchet MS" w:hAnsi="Trebuchet MS"/>
          <w:bCs/>
          <w:lang w:val="en-US"/>
        </w:rPr>
        <w:t>A sample of 30 patients with C</w:t>
      </w:r>
      <w:r w:rsidR="00367BF0">
        <w:rPr>
          <w:rFonts w:ascii="Trebuchet MS" w:hAnsi="Trebuchet MS"/>
          <w:bCs/>
          <w:lang w:val="en-US"/>
        </w:rPr>
        <w:t>KD</w:t>
      </w:r>
      <w:r w:rsidRPr="00A54A1C">
        <w:rPr>
          <w:rFonts w:ascii="Trebuchet MS" w:hAnsi="Trebuchet MS"/>
          <w:bCs/>
          <w:lang w:val="en-US"/>
        </w:rPr>
        <w:t xml:space="preserve"> (stages III to V) was recruited for conservative therapy at A.S.S.T. Santi Paolo and Carlo, who were given a supplement of probiotics and digestive enzymes (</w:t>
      </w:r>
      <w:r w:rsidRPr="00A03819">
        <w:rPr>
          <w:rFonts w:ascii="Trebuchet MS" w:hAnsi="Trebuchet MS"/>
          <w:b/>
          <w:bCs/>
          <w:lang w:val="en-US"/>
        </w:rPr>
        <w:t>DBR</w:t>
      </w:r>
      <w:r w:rsidRPr="00A54A1C">
        <w:rPr>
          <w:rFonts w:ascii="Trebuchet MS" w:hAnsi="Trebuchet MS"/>
          <w:bCs/>
          <w:lang w:val="en-US"/>
        </w:rPr>
        <w:t xml:space="preserve">) for a total time of three (T1) or six months (T2). Blood chemistry tests were carried out to evaluate renal function; body composition analysis (body mass index - BMI, </w:t>
      </w:r>
      <w:r w:rsidRPr="00A54A1C">
        <w:rPr>
          <w:rFonts w:ascii="Trebuchet MS" w:hAnsi="Trebuchet MS"/>
          <w:lang w:val="en-US"/>
        </w:rPr>
        <w:t>waist circumference</w:t>
      </w:r>
      <w:r w:rsidR="00F91CBF">
        <w:rPr>
          <w:rFonts w:ascii="Trebuchet MS" w:hAnsi="Trebuchet MS"/>
          <w:lang w:val="en-US"/>
        </w:rPr>
        <w:t>,</w:t>
      </w:r>
      <w:r w:rsidRPr="00A54A1C">
        <w:rPr>
          <w:rFonts w:ascii="Trebuchet MS" w:hAnsi="Trebuchet MS"/>
          <w:lang w:val="en-US"/>
        </w:rPr>
        <w:t xml:space="preserve"> and bioimpedance examination</w:t>
      </w:r>
      <w:r w:rsidRPr="00A54A1C">
        <w:rPr>
          <w:rFonts w:ascii="Trebuchet MS" w:hAnsi="Trebuchet MS"/>
          <w:bCs/>
          <w:lang w:val="en-US"/>
        </w:rPr>
        <w:t>)</w:t>
      </w:r>
      <w:r w:rsidR="00F91CBF">
        <w:rPr>
          <w:rFonts w:ascii="Trebuchet MS" w:hAnsi="Trebuchet MS"/>
          <w:bCs/>
          <w:lang w:val="en-US"/>
        </w:rPr>
        <w:t>,</w:t>
      </w:r>
      <w:r w:rsidRPr="00A54A1C">
        <w:rPr>
          <w:rFonts w:ascii="Trebuchet MS" w:hAnsi="Trebuchet MS"/>
          <w:bCs/>
          <w:lang w:val="en-US"/>
        </w:rPr>
        <w:t xml:space="preserve"> and analysis of food intake (</w:t>
      </w:r>
      <w:proofErr w:type="spellStart"/>
      <w:r w:rsidRPr="00A54A1C">
        <w:rPr>
          <w:rFonts w:ascii="Trebuchet MS" w:hAnsi="Trebuchet MS"/>
          <w:bCs/>
          <w:lang w:val="en-US"/>
        </w:rPr>
        <w:t>Ephood</w:t>
      </w:r>
      <w:r w:rsidRPr="008570F2">
        <w:rPr>
          <w:rFonts w:ascii="Trebuchet MS" w:hAnsi="Trebuchet MS"/>
          <w:bCs/>
          <w:vertAlign w:val="superscript"/>
          <w:lang w:val="en-US"/>
        </w:rPr>
        <w:t>TM</w:t>
      </w:r>
      <w:proofErr w:type="spellEnd"/>
      <w:r w:rsidRPr="00A54A1C">
        <w:rPr>
          <w:rFonts w:ascii="Trebuchet MS" w:hAnsi="Trebuchet MS"/>
          <w:bCs/>
          <w:lang w:val="en-US"/>
        </w:rPr>
        <w:t xml:space="preserve"> software) for the assessment of nutritional status</w:t>
      </w:r>
      <w:r w:rsidRPr="00A54A1C">
        <w:rPr>
          <w:rFonts w:ascii="Trebuchet MS" w:hAnsi="Trebuchet MS"/>
          <w:bCs/>
          <w:i/>
          <w:lang w:val="en-US"/>
        </w:rPr>
        <w:t>.</w:t>
      </w:r>
    </w:p>
    <w:p w14:paraId="6361ACFB" w14:textId="25CB24CB" w:rsidR="00A54A1C" w:rsidRPr="00A54A1C" w:rsidRDefault="00A54A1C" w:rsidP="001211FB">
      <w:pPr>
        <w:spacing w:line="360" w:lineRule="auto"/>
        <w:jc w:val="both"/>
        <w:rPr>
          <w:rFonts w:ascii="Trebuchet MS" w:hAnsi="Trebuchet MS"/>
          <w:bCs/>
          <w:lang w:val="en-US"/>
        </w:rPr>
      </w:pPr>
      <w:r w:rsidRPr="00A54A1C">
        <w:rPr>
          <w:rFonts w:ascii="Trebuchet MS" w:hAnsi="Trebuchet MS"/>
          <w:bCs/>
          <w:lang w:val="en-US"/>
        </w:rPr>
        <w:t>The ELISA kit (</w:t>
      </w:r>
      <w:proofErr w:type="spellStart"/>
      <w:r w:rsidRPr="00A54A1C">
        <w:rPr>
          <w:rFonts w:ascii="Trebuchet MS" w:hAnsi="Trebuchet MS"/>
          <w:bCs/>
          <w:lang w:val="en-US"/>
        </w:rPr>
        <w:t>Fluorokine</w:t>
      </w:r>
      <w:proofErr w:type="spellEnd"/>
      <w:r w:rsidRPr="00A54A1C">
        <w:rPr>
          <w:rFonts w:ascii="Trebuchet MS" w:hAnsi="Trebuchet MS"/>
          <w:bCs/>
          <w:lang w:val="en-US"/>
        </w:rPr>
        <w:t>, Multianalyte Profiling (MAP)</w:t>
      </w:r>
      <w:r w:rsidR="00F91CBF">
        <w:rPr>
          <w:rFonts w:ascii="Trebuchet MS" w:hAnsi="Trebuchet MS"/>
          <w:bCs/>
          <w:lang w:val="en-US"/>
        </w:rPr>
        <w:t>,</w:t>
      </w:r>
      <w:r w:rsidRPr="00A54A1C">
        <w:rPr>
          <w:rFonts w:ascii="Trebuchet MS" w:hAnsi="Trebuchet MS"/>
          <w:bCs/>
          <w:lang w:val="en-US"/>
        </w:rPr>
        <w:t xml:space="preserve"> and Luminex) was used to </w:t>
      </w:r>
      <w:r w:rsidR="00F91CBF">
        <w:rPr>
          <w:rFonts w:ascii="Trebuchet MS" w:hAnsi="Trebuchet MS"/>
          <w:bCs/>
          <w:lang w:val="en-US"/>
        </w:rPr>
        <w:t>analyze</w:t>
      </w:r>
      <w:r w:rsidRPr="00A54A1C">
        <w:rPr>
          <w:rFonts w:ascii="Trebuchet MS" w:hAnsi="Trebuchet MS"/>
          <w:bCs/>
          <w:lang w:val="en-US"/>
        </w:rPr>
        <w:t xml:space="preserve"> the inflammatory state of the patients before and after taking the probiotic. Analysis of the main </w:t>
      </w:r>
      <w:r w:rsidR="00A03819">
        <w:rPr>
          <w:rFonts w:ascii="Trebuchet MS" w:hAnsi="Trebuchet MS"/>
          <w:bCs/>
          <w:lang w:val="en-US"/>
        </w:rPr>
        <w:t xml:space="preserve">protein-bound </w:t>
      </w:r>
      <w:r w:rsidRPr="00A54A1C">
        <w:rPr>
          <w:rFonts w:ascii="Trebuchet MS" w:hAnsi="Trebuchet MS"/>
          <w:bCs/>
          <w:lang w:val="en-US"/>
        </w:rPr>
        <w:t>uremic toxins (p-</w:t>
      </w:r>
      <w:proofErr w:type="spellStart"/>
      <w:r w:rsidRPr="00A54A1C">
        <w:rPr>
          <w:rFonts w:ascii="Trebuchet MS" w:hAnsi="Trebuchet MS"/>
          <w:bCs/>
          <w:lang w:val="en-US"/>
        </w:rPr>
        <w:t>cresyl</w:t>
      </w:r>
      <w:proofErr w:type="spellEnd"/>
      <w:r w:rsidRPr="00A54A1C">
        <w:rPr>
          <w:rFonts w:ascii="Trebuchet MS" w:hAnsi="Trebuchet MS"/>
          <w:bCs/>
          <w:lang w:val="en-US"/>
        </w:rPr>
        <w:t xml:space="preserve"> sulfate, PCS</w:t>
      </w:r>
      <w:r w:rsidR="00F91CBF">
        <w:rPr>
          <w:rFonts w:ascii="Trebuchet MS" w:hAnsi="Trebuchet MS"/>
          <w:bCs/>
          <w:lang w:val="en-US"/>
        </w:rPr>
        <w:t>,</w:t>
      </w:r>
      <w:r w:rsidRPr="00A54A1C">
        <w:rPr>
          <w:rFonts w:ascii="Trebuchet MS" w:hAnsi="Trebuchet MS"/>
          <w:bCs/>
          <w:lang w:val="en-US"/>
        </w:rPr>
        <w:t xml:space="preserve"> and </w:t>
      </w:r>
      <w:r>
        <w:rPr>
          <w:rFonts w:ascii="Trebuchet MS" w:hAnsi="Trebuchet MS"/>
          <w:bCs/>
          <w:lang w:val="en-US"/>
        </w:rPr>
        <w:t>indoxyl</w:t>
      </w:r>
      <w:r w:rsidRPr="00A54A1C">
        <w:rPr>
          <w:rFonts w:ascii="Trebuchet MS" w:hAnsi="Trebuchet MS"/>
          <w:bCs/>
          <w:lang w:val="en-US"/>
        </w:rPr>
        <w:t xml:space="preserve">-sulfate, IS) was performed by </w:t>
      </w:r>
      <w:r>
        <w:rPr>
          <w:rFonts w:ascii="Trebuchet MS" w:hAnsi="Trebuchet MS"/>
          <w:bCs/>
          <w:lang w:val="en-US"/>
        </w:rPr>
        <w:t xml:space="preserve">liquid </w:t>
      </w:r>
      <w:r w:rsidR="00F91CBF">
        <w:rPr>
          <w:rFonts w:ascii="Trebuchet MS" w:hAnsi="Trebuchet MS"/>
          <w:bCs/>
          <w:lang w:val="en-US"/>
        </w:rPr>
        <w:t>chromatography-mass</w:t>
      </w:r>
      <w:r w:rsidRPr="00A54A1C">
        <w:rPr>
          <w:rFonts w:ascii="Trebuchet MS" w:hAnsi="Trebuchet MS"/>
          <w:bCs/>
          <w:lang w:val="en-US"/>
        </w:rPr>
        <w:t xml:space="preserve"> spectrometry (LC-MS/MS). The study of the gut microbiota was carried out through Next Generation Sequencing (NGS), using the 16S</w:t>
      </w:r>
      <w:r w:rsidRPr="008570F2">
        <w:rPr>
          <w:rFonts w:ascii="Trebuchet MS" w:hAnsi="Trebuchet MS"/>
          <w:bCs/>
          <w:vertAlign w:val="superscript"/>
          <w:lang w:val="en-US"/>
        </w:rPr>
        <w:t>TM</w:t>
      </w:r>
      <w:r w:rsidRPr="00A54A1C">
        <w:rPr>
          <w:rFonts w:ascii="Trebuchet MS" w:hAnsi="Trebuchet MS"/>
          <w:bCs/>
          <w:lang w:val="en-US"/>
        </w:rPr>
        <w:t xml:space="preserve"> Metagenomics Kit and Ion </w:t>
      </w:r>
      <w:proofErr w:type="spellStart"/>
      <w:r w:rsidRPr="00A54A1C">
        <w:rPr>
          <w:rFonts w:ascii="Trebuchet MS" w:hAnsi="Trebuchet MS"/>
          <w:bCs/>
          <w:lang w:val="en-US"/>
        </w:rPr>
        <w:t>Reporter</w:t>
      </w:r>
      <w:r w:rsidRPr="00413410">
        <w:rPr>
          <w:rFonts w:ascii="Trebuchet MS" w:hAnsi="Trebuchet MS"/>
          <w:bCs/>
          <w:vertAlign w:val="superscript"/>
          <w:lang w:val="en-US"/>
        </w:rPr>
        <w:t>TM</w:t>
      </w:r>
      <w:proofErr w:type="spellEnd"/>
      <w:r w:rsidRPr="00A54A1C">
        <w:rPr>
          <w:rFonts w:ascii="Trebuchet MS" w:hAnsi="Trebuchet MS"/>
          <w:bCs/>
          <w:lang w:val="en-US"/>
        </w:rPr>
        <w:t xml:space="preserve"> Software.</w:t>
      </w:r>
    </w:p>
    <w:p w14:paraId="353606BB" w14:textId="67F323C0" w:rsidR="00A54A1C" w:rsidRPr="00A03819" w:rsidRDefault="00A03819" w:rsidP="001211FB">
      <w:pPr>
        <w:spacing w:line="360" w:lineRule="auto"/>
        <w:jc w:val="both"/>
        <w:rPr>
          <w:rFonts w:ascii="Trebuchet MS" w:hAnsi="Trebuchet MS"/>
          <w:bCs/>
          <w:lang w:val="en-US"/>
        </w:rPr>
      </w:pPr>
      <w:r w:rsidRPr="00A03819">
        <w:rPr>
          <w:rFonts w:ascii="Trebuchet MS" w:hAnsi="Trebuchet MS"/>
          <w:bCs/>
          <w:lang w:val="en-US"/>
        </w:rPr>
        <w:t xml:space="preserve">Each patient was asked to complete the questionnaire "Health and Wellbeing" (KDQOL-SFTM v1.3) which, together with the help of a specialist psychologist, allowed us to evaluate their quality of life and their relationship with the disease. For a more precise analysis of changes in the </w:t>
      </w:r>
      <w:r w:rsidR="00CA539A">
        <w:rPr>
          <w:rFonts w:ascii="Trebuchet MS" w:hAnsi="Trebuchet MS"/>
          <w:bCs/>
          <w:lang w:val="en-US"/>
        </w:rPr>
        <w:t>gut</w:t>
      </w:r>
      <w:r w:rsidRPr="00A03819">
        <w:rPr>
          <w:rFonts w:ascii="Trebuchet MS" w:hAnsi="Trebuchet MS"/>
          <w:bCs/>
          <w:lang w:val="en-US"/>
        </w:rPr>
        <w:t xml:space="preserve"> microbiota, 20 healthy subjects were recruited, comparable by sex and age. The control group </w:t>
      </w:r>
      <w:r>
        <w:rPr>
          <w:rFonts w:ascii="Trebuchet MS" w:hAnsi="Trebuchet MS"/>
          <w:bCs/>
          <w:lang w:val="en-US"/>
        </w:rPr>
        <w:t xml:space="preserve">was subjected also to </w:t>
      </w:r>
      <w:r w:rsidRPr="00A03819">
        <w:rPr>
          <w:rFonts w:ascii="Trebuchet MS" w:hAnsi="Trebuchet MS"/>
          <w:bCs/>
          <w:lang w:val="en-US"/>
        </w:rPr>
        <w:t>anthropometric, bioimpedance</w:t>
      </w:r>
      <w:r w:rsidR="00F91CBF">
        <w:rPr>
          <w:rFonts w:ascii="Trebuchet MS" w:hAnsi="Trebuchet MS"/>
          <w:bCs/>
          <w:lang w:val="en-US"/>
        </w:rPr>
        <w:t>,</w:t>
      </w:r>
      <w:r w:rsidRPr="00A03819">
        <w:rPr>
          <w:rFonts w:ascii="Trebuchet MS" w:hAnsi="Trebuchet MS"/>
          <w:bCs/>
          <w:lang w:val="en-US"/>
        </w:rPr>
        <w:t xml:space="preserve"> and nutritional analysis, together with the assessment of the </w:t>
      </w:r>
      <w:r w:rsidR="006203DB">
        <w:rPr>
          <w:rFonts w:ascii="Trebuchet MS" w:hAnsi="Trebuchet MS"/>
          <w:bCs/>
          <w:lang w:val="en-US"/>
        </w:rPr>
        <w:t>gut</w:t>
      </w:r>
      <w:r w:rsidRPr="00A03819">
        <w:rPr>
          <w:rFonts w:ascii="Trebuchet MS" w:hAnsi="Trebuchet MS"/>
          <w:bCs/>
          <w:lang w:val="en-US"/>
        </w:rPr>
        <w:t xml:space="preserve"> microbiota.</w:t>
      </w:r>
    </w:p>
    <w:p w14:paraId="74ACFCD6" w14:textId="77777777" w:rsidR="001211FB" w:rsidRPr="008570F2" w:rsidRDefault="001211FB" w:rsidP="001211FB">
      <w:pPr>
        <w:spacing w:line="360" w:lineRule="auto"/>
        <w:jc w:val="both"/>
        <w:rPr>
          <w:rFonts w:ascii="Trebuchet MS" w:hAnsi="Trebuchet MS"/>
          <w:lang w:val="en-US"/>
        </w:rPr>
      </w:pPr>
    </w:p>
    <w:p w14:paraId="2B6C93D5" w14:textId="77777777" w:rsidR="00A03819" w:rsidRPr="00A03819" w:rsidRDefault="00A03819" w:rsidP="001211FB">
      <w:pPr>
        <w:spacing w:line="360" w:lineRule="auto"/>
        <w:jc w:val="both"/>
        <w:rPr>
          <w:rFonts w:ascii="Trebuchet MS" w:hAnsi="Trebuchet MS"/>
          <w:bCs/>
          <w:lang w:val="en-US"/>
        </w:rPr>
      </w:pPr>
      <w:r w:rsidRPr="00A03819">
        <w:rPr>
          <w:rFonts w:ascii="Trebuchet MS" w:hAnsi="Trebuchet MS"/>
          <w:b/>
          <w:bCs/>
          <w:i/>
          <w:u w:val="single"/>
          <w:lang w:val="en-US"/>
        </w:rPr>
        <w:t>RESULTS AND CONCLUSIONS</w:t>
      </w:r>
      <w:r w:rsidRPr="00A03819">
        <w:rPr>
          <w:rFonts w:ascii="Trebuchet MS" w:hAnsi="Trebuchet MS"/>
          <w:bCs/>
          <w:i/>
          <w:lang w:val="en-US"/>
        </w:rPr>
        <w:t xml:space="preserve">: </w:t>
      </w:r>
      <w:r w:rsidRPr="00A03819">
        <w:rPr>
          <w:rFonts w:ascii="Trebuchet MS" w:hAnsi="Trebuchet MS"/>
          <w:bCs/>
          <w:lang w:val="en-US"/>
        </w:rPr>
        <w:t>The analysis of body composition (bioimpedance) showed that, after six months of treatment, the value of ICW (intracellular water) was</w:t>
      </w:r>
      <w:r>
        <w:rPr>
          <w:rFonts w:ascii="Trebuchet MS" w:hAnsi="Trebuchet MS"/>
          <w:bCs/>
          <w:lang w:val="en-US"/>
        </w:rPr>
        <w:t xml:space="preserve"> significantly</w:t>
      </w:r>
      <w:r w:rsidRPr="00A03819">
        <w:rPr>
          <w:rFonts w:ascii="Trebuchet MS" w:hAnsi="Trebuchet MS"/>
          <w:bCs/>
          <w:lang w:val="en-US"/>
        </w:rPr>
        <w:t xml:space="preserve"> increased (</w:t>
      </w:r>
      <w:r w:rsidR="00367BF0">
        <w:rPr>
          <w:rFonts w:ascii="Trebuchet MS" w:hAnsi="Trebuchet MS"/>
          <w:bCs/>
          <w:lang w:val="en-US"/>
        </w:rPr>
        <w:t>IRC</w:t>
      </w:r>
      <w:r w:rsidRPr="00A03819">
        <w:rPr>
          <w:rFonts w:ascii="Trebuchet MS" w:hAnsi="Trebuchet MS"/>
          <w:bCs/>
          <w:lang w:val="en-US"/>
        </w:rPr>
        <w:t xml:space="preserve"> T0: 19.14</w:t>
      </w:r>
      <w:r w:rsidRPr="00A03819">
        <w:rPr>
          <w:rFonts w:ascii="Trebuchet MS" w:hAnsi="Trebuchet MS"/>
          <w:lang w:val="en-US"/>
        </w:rPr>
        <w:t>±</w:t>
      </w:r>
      <w:r w:rsidRPr="00A03819">
        <w:rPr>
          <w:rFonts w:ascii="Trebuchet MS" w:hAnsi="Trebuchet MS"/>
          <w:bCs/>
          <w:lang w:val="en-US"/>
        </w:rPr>
        <w:t xml:space="preserve">3.43 L, </w:t>
      </w:r>
      <w:r w:rsidR="00367BF0">
        <w:rPr>
          <w:rFonts w:ascii="Trebuchet MS" w:hAnsi="Trebuchet MS"/>
          <w:bCs/>
          <w:lang w:val="en-US"/>
        </w:rPr>
        <w:t>IRC</w:t>
      </w:r>
      <w:r w:rsidRPr="00A03819">
        <w:rPr>
          <w:rFonts w:ascii="Trebuchet MS" w:hAnsi="Trebuchet MS"/>
          <w:bCs/>
          <w:lang w:val="en-US"/>
        </w:rPr>
        <w:t xml:space="preserve"> T1: 20.05</w:t>
      </w:r>
      <w:r w:rsidRPr="00A03819">
        <w:rPr>
          <w:rFonts w:ascii="Trebuchet MS" w:hAnsi="Trebuchet MS"/>
          <w:lang w:val="en-US"/>
        </w:rPr>
        <w:t>±</w:t>
      </w:r>
      <w:r w:rsidRPr="00A03819">
        <w:rPr>
          <w:rFonts w:ascii="Trebuchet MS" w:hAnsi="Trebuchet MS"/>
          <w:bCs/>
          <w:lang w:val="en-US"/>
        </w:rPr>
        <w:t xml:space="preserve">3.09 L; p-value=0.00457). Under physiological conditions, the value of ICW (obtained from the difference between total and extracellular water) is an indicator of the metabolically active mass of the organism. </w:t>
      </w:r>
      <w:r>
        <w:rPr>
          <w:rFonts w:ascii="Trebuchet MS" w:hAnsi="Trebuchet MS"/>
          <w:bCs/>
          <w:lang w:val="en-US"/>
        </w:rPr>
        <w:t xml:space="preserve">We can conclude that the DBR administration caused </w:t>
      </w:r>
      <w:r w:rsidRPr="00A03819">
        <w:rPr>
          <w:rFonts w:ascii="Trebuchet MS" w:hAnsi="Trebuchet MS"/>
          <w:bCs/>
          <w:lang w:val="en-US"/>
        </w:rPr>
        <w:t xml:space="preserve">an increase in metabolically active mass in the </w:t>
      </w:r>
      <w:r w:rsidR="00367BF0">
        <w:rPr>
          <w:rFonts w:ascii="Trebuchet MS" w:hAnsi="Trebuchet MS"/>
          <w:bCs/>
          <w:lang w:val="en-US"/>
        </w:rPr>
        <w:t>CKD</w:t>
      </w:r>
      <w:r w:rsidRPr="00A03819">
        <w:rPr>
          <w:rFonts w:ascii="Trebuchet MS" w:hAnsi="Trebuchet MS"/>
          <w:bCs/>
          <w:lang w:val="en-US"/>
        </w:rPr>
        <w:t xml:space="preserve"> population under study.</w:t>
      </w:r>
    </w:p>
    <w:p w14:paraId="7F70100B" w14:textId="19751359" w:rsidR="00416259" w:rsidRDefault="00BC57DE" w:rsidP="001211FB">
      <w:pPr>
        <w:spacing w:line="360" w:lineRule="auto"/>
        <w:jc w:val="both"/>
        <w:rPr>
          <w:rFonts w:ascii="Trebuchet MS" w:hAnsi="Trebuchet MS"/>
          <w:bCs/>
          <w:lang w:val="en-US"/>
        </w:rPr>
      </w:pPr>
      <w:r w:rsidRPr="00BC57DE">
        <w:rPr>
          <w:rFonts w:ascii="Trebuchet MS" w:hAnsi="Trebuchet MS"/>
          <w:bCs/>
          <w:lang w:val="en-US"/>
        </w:rPr>
        <w:t xml:space="preserve">Regarding the </w:t>
      </w:r>
      <w:proofErr w:type="spellStart"/>
      <w:r w:rsidRPr="00BC57DE">
        <w:rPr>
          <w:rFonts w:ascii="Trebuchet MS" w:hAnsi="Trebuchet MS"/>
          <w:bCs/>
          <w:lang w:val="en-US"/>
        </w:rPr>
        <w:t>haematochemical</w:t>
      </w:r>
      <w:proofErr w:type="spellEnd"/>
      <w:r w:rsidRPr="00BC57DE">
        <w:rPr>
          <w:rFonts w:ascii="Trebuchet MS" w:hAnsi="Trebuchet MS"/>
          <w:bCs/>
          <w:lang w:val="en-US"/>
        </w:rPr>
        <w:t xml:space="preserve"> parameters, a slight reduction of phosphorus from time T1 (3.64 </w:t>
      </w:r>
      <w:r w:rsidR="00416259" w:rsidRPr="00416259">
        <w:rPr>
          <w:rFonts w:ascii="Trebuchet MS" w:hAnsi="Trebuchet MS"/>
          <w:lang w:val="en-US"/>
        </w:rPr>
        <w:t>±</w:t>
      </w:r>
      <w:r w:rsidRPr="00BC57DE">
        <w:rPr>
          <w:rFonts w:ascii="Trebuchet MS" w:hAnsi="Trebuchet MS"/>
          <w:bCs/>
          <w:lang w:val="en-US"/>
        </w:rPr>
        <w:t xml:space="preserve">1.03 </w:t>
      </w:r>
      <w:proofErr w:type="spellStart"/>
      <w:r w:rsidRPr="00BC57DE">
        <w:rPr>
          <w:rFonts w:ascii="Trebuchet MS" w:hAnsi="Trebuchet MS"/>
          <w:bCs/>
          <w:lang w:val="en-US"/>
        </w:rPr>
        <w:t>meq</w:t>
      </w:r>
      <w:proofErr w:type="spellEnd"/>
      <w:r w:rsidRPr="00BC57DE">
        <w:rPr>
          <w:rFonts w:ascii="Trebuchet MS" w:hAnsi="Trebuchet MS"/>
          <w:bCs/>
          <w:lang w:val="en-US"/>
        </w:rPr>
        <w:t xml:space="preserve">/L; p-value=0.02896) at time T2 (3.18 </w:t>
      </w:r>
      <w:r w:rsidR="00416259" w:rsidRPr="00416259">
        <w:rPr>
          <w:rFonts w:ascii="Trebuchet MS" w:hAnsi="Trebuchet MS"/>
          <w:lang w:val="en-US"/>
        </w:rPr>
        <w:t>±</w:t>
      </w:r>
      <w:r w:rsidRPr="00BC57DE">
        <w:rPr>
          <w:rFonts w:ascii="Trebuchet MS" w:hAnsi="Trebuchet MS"/>
          <w:bCs/>
          <w:lang w:val="en-US"/>
        </w:rPr>
        <w:t xml:space="preserve">0.94 </w:t>
      </w:r>
      <w:proofErr w:type="spellStart"/>
      <w:r w:rsidRPr="00BC57DE">
        <w:rPr>
          <w:rFonts w:ascii="Trebuchet MS" w:hAnsi="Trebuchet MS"/>
          <w:bCs/>
          <w:lang w:val="en-US"/>
        </w:rPr>
        <w:t>meq</w:t>
      </w:r>
      <w:proofErr w:type="spellEnd"/>
      <w:r w:rsidRPr="00BC57DE">
        <w:rPr>
          <w:rFonts w:ascii="Trebuchet MS" w:hAnsi="Trebuchet MS"/>
          <w:bCs/>
          <w:lang w:val="en-US"/>
        </w:rPr>
        <w:t xml:space="preserve">/L; p-value=0.02880), important for limiting the progression of renal pathology, was found. </w:t>
      </w:r>
      <w:r w:rsidR="00F91CBF">
        <w:rPr>
          <w:rFonts w:ascii="Trebuchet MS" w:hAnsi="Trebuchet MS"/>
          <w:bCs/>
          <w:lang w:val="en-US"/>
        </w:rPr>
        <w:t>Patients</w:t>
      </w:r>
      <w:r w:rsidRPr="00BC57DE">
        <w:rPr>
          <w:rFonts w:ascii="Trebuchet MS" w:hAnsi="Trebuchet MS"/>
          <w:bCs/>
          <w:lang w:val="en-US"/>
        </w:rPr>
        <w:t xml:space="preserve"> with impaired kidney function gradually lose the ability to excrete phosphorus. </w:t>
      </w:r>
      <w:r w:rsidR="00416259" w:rsidRPr="00416259">
        <w:rPr>
          <w:rFonts w:ascii="Trebuchet MS" w:hAnsi="Trebuchet MS"/>
          <w:bCs/>
          <w:lang w:val="en-US"/>
        </w:rPr>
        <w:t>From the point of view of kidney disease, the improvement of the level of phosphorus is positive for its stability, thus reducing the risk of progression of pathology.</w:t>
      </w:r>
      <w:r w:rsidR="00416259">
        <w:rPr>
          <w:rFonts w:ascii="Trebuchet MS" w:hAnsi="Trebuchet MS"/>
          <w:bCs/>
          <w:lang w:val="en-US"/>
        </w:rPr>
        <w:t xml:space="preserve"> </w:t>
      </w:r>
    </w:p>
    <w:p w14:paraId="092462A5" w14:textId="77777777" w:rsidR="00416259" w:rsidRPr="00416259" w:rsidRDefault="00416259" w:rsidP="001211FB">
      <w:pPr>
        <w:spacing w:line="360" w:lineRule="auto"/>
        <w:jc w:val="both"/>
        <w:rPr>
          <w:rFonts w:ascii="Trebuchet MS" w:hAnsi="Trebuchet MS"/>
          <w:lang w:val="en-US"/>
        </w:rPr>
      </w:pPr>
      <w:r w:rsidRPr="00416259">
        <w:rPr>
          <w:rFonts w:ascii="Trebuchet MS" w:hAnsi="Trebuchet MS"/>
          <w:lang w:val="en-US"/>
        </w:rPr>
        <w:t xml:space="preserve">The levels of </w:t>
      </w:r>
      <w:r w:rsidR="00D200F8">
        <w:rPr>
          <w:rFonts w:ascii="Trebuchet MS" w:hAnsi="Trebuchet MS"/>
          <w:lang w:val="en-US"/>
        </w:rPr>
        <w:t>sodium</w:t>
      </w:r>
      <w:r w:rsidRPr="00416259">
        <w:rPr>
          <w:rFonts w:ascii="Trebuchet MS" w:hAnsi="Trebuchet MS"/>
          <w:lang w:val="en-US"/>
        </w:rPr>
        <w:t xml:space="preserve"> (139,28 ±12,28 </w:t>
      </w:r>
      <w:proofErr w:type="spellStart"/>
      <w:r w:rsidRPr="00416259">
        <w:rPr>
          <w:rFonts w:ascii="Trebuchet MS" w:hAnsi="Trebuchet MS"/>
          <w:lang w:val="en-US"/>
        </w:rPr>
        <w:t>meq</w:t>
      </w:r>
      <w:proofErr w:type="spellEnd"/>
      <w:r w:rsidRPr="00416259">
        <w:rPr>
          <w:rFonts w:ascii="Trebuchet MS" w:hAnsi="Trebuchet MS"/>
          <w:lang w:val="en-US"/>
        </w:rPr>
        <w:t xml:space="preserve">/L; p-value &lt; 0,0001) and </w:t>
      </w:r>
      <w:r w:rsidR="00D200F8">
        <w:rPr>
          <w:rFonts w:ascii="Trebuchet MS" w:hAnsi="Trebuchet MS"/>
          <w:lang w:val="en-US"/>
        </w:rPr>
        <w:t>c</w:t>
      </w:r>
      <w:r w:rsidRPr="00416259">
        <w:rPr>
          <w:rFonts w:ascii="Trebuchet MS" w:hAnsi="Trebuchet MS"/>
          <w:lang w:val="en-US"/>
        </w:rPr>
        <w:t>a</w:t>
      </w:r>
      <w:r w:rsidR="00D200F8">
        <w:rPr>
          <w:rFonts w:ascii="Trebuchet MS" w:hAnsi="Trebuchet MS"/>
          <w:lang w:val="en-US"/>
        </w:rPr>
        <w:t>lcium</w:t>
      </w:r>
      <w:r w:rsidRPr="00416259">
        <w:rPr>
          <w:rFonts w:ascii="Trebuchet MS" w:hAnsi="Trebuchet MS"/>
          <w:lang w:val="en-US"/>
        </w:rPr>
        <w:t xml:space="preserve"> (T0: 9,20 ±1,55 </w:t>
      </w:r>
      <w:proofErr w:type="spellStart"/>
      <w:r w:rsidRPr="00416259">
        <w:rPr>
          <w:rFonts w:ascii="Trebuchet MS" w:hAnsi="Trebuchet MS"/>
          <w:lang w:val="en-US"/>
        </w:rPr>
        <w:t>meq</w:t>
      </w:r>
      <w:proofErr w:type="spellEnd"/>
      <w:r w:rsidRPr="00416259">
        <w:rPr>
          <w:rFonts w:ascii="Trebuchet MS" w:hAnsi="Trebuchet MS"/>
          <w:lang w:val="en-US"/>
        </w:rPr>
        <w:t xml:space="preserve">/L, T1: 9,10 ±1,94 </w:t>
      </w:r>
      <w:proofErr w:type="spellStart"/>
      <w:r w:rsidRPr="00416259">
        <w:rPr>
          <w:rFonts w:ascii="Trebuchet MS" w:hAnsi="Trebuchet MS"/>
          <w:lang w:val="en-US"/>
        </w:rPr>
        <w:t>meq</w:t>
      </w:r>
      <w:proofErr w:type="spellEnd"/>
      <w:r w:rsidRPr="00416259">
        <w:rPr>
          <w:rFonts w:ascii="Trebuchet MS" w:hAnsi="Trebuchet MS"/>
          <w:lang w:val="en-US"/>
        </w:rPr>
        <w:t xml:space="preserve">/L, T2: 8,89 ± 2,28 </w:t>
      </w:r>
      <w:proofErr w:type="spellStart"/>
      <w:r w:rsidRPr="00416259">
        <w:rPr>
          <w:rFonts w:ascii="Trebuchet MS" w:hAnsi="Trebuchet MS"/>
          <w:lang w:val="en-US"/>
        </w:rPr>
        <w:t>meq</w:t>
      </w:r>
      <w:proofErr w:type="spellEnd"/>
      <w:r w:rsidRPr="00416259">
        <w:rPr>
          <w:rFonts w:ascii="Trebuchet MS" w:hAnsi="Trebuchet MS"/>
          <w:lang w:val="en-US"/>
        </w:rPr>
        <w:t>/L; p-value &lt;0,0001) found in the C</w:t>
      </w:r>
      <w:r w:rsidR="00367BF0">
        <w:rPr>
          <w:rFonts w:ascii="Trebuchet MS" w:hAnsi="Trebuchet MS"/>
          <w:lang w:val="en-US"/>
        </w:rPr>
        <w:t>KD</w:t>
      </w:r>
      <w:r w:rsidRPr="00416259">
        <w:rPr>
          <w:rFonts w:ascii="Trebuchet MS" w:hAnsi="Trebuchet MS"/>
          <w:lang w:val="en-US"/>
        </w:rPr>
        <w:t xml:space="preserve"> population, in the three measured times, </w:t>
      </w:r>
      <w:r>
        <w:rPr>
          <w:rFonts w:ascii="Trebuchet MS" w:hAnsi="Trebuchet MS"/>
          <w:lang w:val="en-US"/>
        </w:rPr>
        <w:t>resulted all</w:t>
      </w:r>
      <w:r w:rsidRPr="00416259">
        <w:rPr>
          <w:rFonts w:ascii="Trebuchet MS" w:hAnsi="Trebuchet MS"/>
          <w:lang w:val="en-US"/>
        </w:rPr>
        <w:t xml:space="preserve"> in the reference ranges, </w:t>
      </w:r>
      <w:r>
        <w:rPr>
          <w:rFonts w:ascii="Trebuchet MS" w:hAnsi="Trebuchet MS"/>
          <w:lang w:val="en-US"/>
        </w:rPr>
        <w:t>due to the e</w:t>
      </w:r>
      <w:r w:rsidRPr="00416259">
        <w:rPr>
          <w:rFonts w:ascii="Trebuchet MS" w:hAnsi="Trebuchet MS"/>
          <w:lang w:val="en-US"/>
        </w:rPr>
        <w:t>xcellent monitoring</w:t>
      </w:r>
      <w:r>
        <w:rPr>
          <w:rFonts w:ascii="Trebuchet MS" w:hAnsi="Trebuchet MS"/>
          <w:lang w:val="en-US"/>
        </w:rPr>
        <w:t xml:space="preserve"> of the patients</w:t>
      </w:r>
      <w:r w:rsidRPr="00416259">
        <w:rPr>
          <w:rFonts w:ascii="Trebuchet MS" w:hAnsi="Trebuchet MS"/>
          <w:lang w:val="en-US"/>
        </w:rPr>
        <w:t xml:space="preserve"> by </w:t>
      </w:r>
      <w:r>
        <w:rPr>
          <w:rFonts w:ascii="Trebuchet MS" w:hAnsi="Trebuchet MS"/>
          <w:lang w:val="en-US"/>
        </w:rPr>
        <w:t>the N</w:t>
      </w:r>
      <w:r w:rsidRPr="00416259">
        <w:rPr>
          <w:rFonts w:ascii="Trebuchet MS" w:hAnsi="Trebuchet MS"/>
          <w:lang w:val="en-US"/>
        </w:rPr>
        <w:t xml:space="preserve">ephrologists and </w:t>
      </w:r>
      <w:r>
        <w:rPr>
          <w:rFonts w:ascii="Trebuchet MS" w:hAnsi="Trebuchet MS"/>
          <w:lang w:val="en-US"/>
        </w:rPr>
        <w:t xml:space="preserve">the </w:t>
      </w:r>
      <w:r w:rsidRPr="00416259">
        <w:rPr>
          <w:rFonts w:ascii="Trebuchet MS" w:hAnsi="Trebuchet MS"/>
          <w:lang w:val="en-US"/>
        </w:rPr>
        <w:t xml:space="preserve">good response to </w:t>
      </w:r>
      <w:r>
        <w:rPr>
          <w:rFonts w:ascii="Trebuchet MS" w:hAnsi="Trebuchet MS"/>
          <w:lang w:val="en-US"/>
        </w:rPr>
        <w:t xml:space="preserve">the </w:t>
      </w:r>
      <w:r w:rsidRPr="00416259">
        <w:rPr>
          <w:rFonts w:ascii="Trebuchet MS" w:hAnsi="Trebuchet MS"/>
          <w:lang w:val="en-US"/>
        </w:rPr>
        <w:t>therapy.</w:t>
      </w:r>
    </w:p>
    <w:p w14:paraId="53E9161A" w14:textId="77777777" w:rsidR="00416259" w:rsidRDefault="00416259" w:rsidP="001211FB">
      <w:pPr>
        <w:spacing w:line="360" w:lineRule="auto"/>
        <w:jc w:val="both"/>
        <w:rPr>
          <w:rFonts w:ascii="Trebuchet MS" w:hAnsi="Trebuchet MS"/>
          <w:lang w:val="en-US"/>
        </w:rPr>
      </w:pPr>
      <w:r w:rsidRPr="00416259">
        <w:rPr>
          <w:rFonts w:ascii="Trebuchet MS" w:hAnsi="Trebuchet MS"/>
          <w:lang w:val="en-US"/>
        </w:rPr>
        <w:t>Although 40% (n=12/30) of C</w:t>
      </w:r>
      <w:r w:rsidR="00367BF0">
        <w:rPr>
          <w:rFonts w:ascii="Trebuchet MS" w:hAnsi="Trebuchet MS"/>
          <w:lang w:val="en-US"/>
        </w:rPr>
        <w:t>KD</w:t>
      </w:r>
      <w:r w:rsidRPr="00416259">
        <w:rPr>
          <w:rFonts w:ascii="Trebuchet MS" w:hAnsi="Trebuchet MS"/>
          <w:lang w:val="en-US"/>
        </w:rPr>
        <w:t xml:space="preserve"> patients </w:t>
      </w:r>
      <w:r w:rsidR="00BE49C9">
        <w:rPr>
          <w:rFonts w:ascii="Trebuchet MS" w:hAnsi="Trebuchet MS"/>
          <w:lang w:val="en-US"/>
        </w:rPr>
        <w:t xml:space="preserve">were under </w:t>
      </w:r>
      <w:r w:rsidRPr="00416259">
        <w:rPr>
          <w:rFonts w:ascii="Trebuchet MS" w:hAnsi="Trebuchet MS"/>
          <w:lang w:val="en-US"/>
        </w:rPr>
        <w:t xml:space="preserve">a </w:t>
      </w:r>
      <w:proofErr w:type="spellStart"/>
      <w:r w:rsidRPr="00416259">
        <w:rPr>
          <w:rFonts w:ascii="Trebuchet MS" w:hAnsi="Trebuchet MS"/>
          <w:lang w:val="en-US"/>
        </w:rPr>
        <w:t>hypocholesterolemic</w:t>
      </w:r>
      <w:proofErr w:type="spellEnd"/>
      <w:r w:rsidRPr="00416259">
        <w:rPr>
          <w:rFonts w:ascii="Trebuchet MS" w:hAnsi="Trebuchet MS"/>
          <w:lang w:val="en-US"/>
        </w:rPr>
        <w:t xml:space="preserve"> treatment, the blood concentration of triglycerides was statistically higher than the controls (p-value=0.00799), confirming a situation of dyslipidemia typical of the C</w:t>
      </w:r>
      <w:r w:rsidR="00367BF0">
        <w:rPr>
          <w:rFonts w:ascii="Trebuchet MS" w:hAnsi="Trebuchet MS"/>
          <w:lang w:val="en-US"/>
        </w:rPr>
        <w:t xml:space="preserve">KD </w:t>
      </w:r>
      <w:r w:rsidRPr="00416259">
        <w:rPr>
          <w:rFonts w:ascii="Trebuchet MS" w:hAnsi="Trebuchet MS"/>
          <w:lang w:val="en-US"/>
        </w:rPr>
        <w:t>patient.</w:t>
      </w:r>
    </w:p>
    <w:p w14:paraId="3001CC32" w14:textId="77777777" w:rsidR="00BE49C9" w:rsidRPr="00BE49C9" w:rsidRDefault="00BE49C9" w:rsidP="00BE49C9">
      <w:pPr>
        <w:spacing w:line="360" w:lineRule="auto"/>
        <w:jc w:val="both"/>
        <w:rPr>
          <w:rFonts w:ascii="Trebuchet MS" w:hAnsi="Trebuchet MS"/>
          <w:lang w:val="en-US"/>
        </w:rPr>
      </w:pPr>
      <w:r w:rsidRPr="00BE49C9">
        <w:rPr>
          <w:rFonts w:ascii="Trebuchet MS" w:hAnsi="Trebuchet MS"/>
          <w:lang w:val="en-US"/>
        </w:rPr>
        <w:t xml:space="preserve">The analysis of food </w:t>
      </w:r>
      <w:r w:rsidR="00C37079">
        <w:rPr>
          <w:rFonts w:ascii="Trebuchet MS" w:hAnsi="Trebuchet MS"/>
          <w:lang w:val="en-US"/>
        </w:rPr>
        <w:t>intake</w:t>
      </w:r>
      <w:r w:rsidRPr="00BE49C9">
        <w:rPr>
          <w:rFonts w:ascii="Trebuchet MS" w:hAnsi="Trebuchet MS"/>
          <w:lang w:val="en-US"/>
        </w:rPr>
        <w:t xml:space="preserve"> of C</w:t>
      </w:r>
      <w:r w:rsidR="00367BF0">
        <w:rPr>
          <w:rFonts w:ascii="Trebuchet MS" w:hAnsi="Trebuchet MS"/>
          <w:lang w:val="en-US"/>
        </w:rPr>
        <w:t>KD</w:t>
      </w:r>
      <w:r w:rsidRPr="00BE49C9">
        <w:rPr>
          <w:rFonts w:ascii="Trebuchet MS" w:hAnsi="Trebuchet MS"/>
          <w:lang w:val="en-US"/>
        </w:rPr>
        <w:t xml:space="preserve"> patients showed a decrease in the consumption of fiber (p- value=0.0125) and soluble carbohydrates (p-value= 0.0120) between basal (T0) and T1, indicating the good compliance of patients to the nutritional advice given</w:t>
      </w:r>
      <w:r w:rsidR="00C37079">
        <w:rPr>
          <w:rFonts w:ascii="Trebuchet MS" w:hAnsi="Trebuchet MS"/>
          <w:lang w:val="en-US"/>
        </w:rPr>
        <w:t xml:space="preserve"> (Figure 1)</w:t>
      </w:r>
      <w:r w:rsidRPr="00BE49C9">
        <w:rPr>
          <w:rFonts w:ascii="Trebuchet MS" w:hAnsi="Trebuchet MS"/>
          <w:lang w:val="en-US"/>
        </w:rPr>
        <w:t xml:space="preserve">. </w:t>
      </w:r>
    </w:p>
    <w:p w14:paraId="50037174" w14:textId="28512541" w:rsidR="00416259" w:rsidRDefault="00BE49C9" w:rsidP="00BE49C9">
      <w:pPr>
        <w:spacing w:line="360" w:lineRule="auto"/>
        <w:jc w:val="both"/>
        <w:rPr>
          <w:rFonts w:ascii="Trebuchet MS" w:hAnsi="Trebuchet MS"/>
          <w:lang w:val="en-US"/>
        </w:rPr>
      </w:pPr>
      <w:r w:rsidRPr="00BE49C9">
        <w:rPr>
          <w:rFonts w:ascii="Trebuchet MS" w:hAnsi="Trebuchet MS"/>
          <w:lang w:val="en-US"/>
        </w:rPr>
        <w:t xml:space="preserve">Since inflammation is the basis of chronic kidney disease, the concentrations of pro-inflammatory cytokines at serum level (CCL-2, IL-1β, IL-6, IL-18, INF-γ, IL-4, IL-12p70, TNF-α) </w:t>
      </w:r>
      <w:r w:rsidR="00F91CBF">
        <w:rPr>
          <w:rFonts w:ascii="Trebuchet MS" w:hAnsi="Trebuchet MS"/>
          <w:lang w:val="en-US"/>
        </w:rPr>
        <w:t>have</w:t>
      </w:r>
      <w:r w:rsidRPr="00BE49C9">
        <w:rPr>
          <w:rFonts w:ascii="Trebuchet MS" w:hAnsi="Trebuchet MS"/>
          <w:lang w:val="en-US"/>
        </w:rPr>
        <w:t xml:space="preserve"> been evaluated. These analyses showed that, after six months of treatment with DBR, CCL-2 levels </w:t>
      </w:r>
      <w:proofErr w:type="gramStart"/>
      <w:r w:rsidRPr="00BE49C9">
        <w:rPr>
          <w:rFonts w:ascii="Trebuchet MS" w:hAnsi="Trebuchet MS"/>
          <w:lang w:val="en-US"/>
        </w:rPr>
        <w:t>decreased  significantly</w:t>
      </w:r>
      <w:proofErr w:type="gramEnd"/>
      <w:r w:rsidRPr="00BE49C9">
        <w:rPr>
          <w:rFonts w:ascii="Trebuchet MS" w:hAnsi="Trebuchet MS"/>
          <w:lang w:val="en-US"/>
        </w:rPr>
        <w:t xml:space="preserve"> (p-value 0.0</w:t>
      </w:r>
      <w:r w:rsidR="00440BAE">
        <w:rPr>
          <w:rFonts w:ascii="Trebuchet MS" w:hAnsi="Trebuchet MS"/>
          <w:lang w:val="en-US"/>
        </w:rPr>
        <w:t>72</w:t>
      </w:r>
      <w:r w:rsidR="00F473BE">
        <w:rPr>
          <w:rFonts w:ascii="Trebuchet MS" w:hAnsi="Trebuchet MS"/>
          <w:lang w:val="en-US"/>
        </w:rPr>
        <w:t>; Figure 2</w:t>
      </w:r>
      <w:r w:rsidRPr="00BE49C9">
        <w:rPr>
          <w:rFonts w:ascii="Trebuchet MS" w:hAnsi="Trebuchet MS"/>
          <w:lang w:val="en-US"/>
        </w:rPr>
        <w:t>).</w:t>
      </w:r>
    </w:p>
    <w:p w14:paraId="2F24606F" w14:textId="6FAAEEF1" w:rsidR="00BE49C9" w:rsidRDefault="00BE49C9" w:rsidP="00BE49C9">
      <w:pPr>
        <w:spacing w:line="360" w:lineRule="auto"/>
        <w:jc w:val="both"/>
        <w:rPr>
          <w:rFonts w:ascii="Trebuchet MS" w:hAnsi="Trebuchet MS"/>
          <w:lang w:val="en-US"/>
        </w:rPr>
      </w:pPr>
      <w:r w:rsidRPr="00BE49C9">
        <w:rPr>
          <w:rFonts w:ascii="Trebuchet MS" w:hAnsi="Trebuchet MS"/>
          <w:lang w:val="en-US"/>
        </w:rPr>
        <w:t xml:space="preserve">Given the correlation between dysbiosis and chronic </w:t>
      </w:r>
      <w:r w:rsidR="0082311B">
        <w:rPr>
          <w:rFonts w:ascii="Trebuchet MS" w:hAnsi="Trebuchet MS"/>
          <w:lang w:val="en-US"/>
        </w:rPr>
        <w:t>kidney disease</w:t>
      </w:r>
      <w:r w:rsidRPr="00BE49C9">
        <w:rPr>
          <w:rFonts w:ascii="Trebuchet MS" w:hAnsi="Trebuchet MS"/>
          <w:lang w:val="en-US"/>
        </w:rPr>
        <w:t xml:space="preserve">, the assessment of the </w:t>
      </w:r>
      <w:r w:rsidR="0082311B">
        <w:rPr>
          <w:rFonts w:ascii="Trebuchet MS" w:hAnsi="Trebuchet MS"/>
          <w:lang w:val="en-US"/>
        </w:rPr>
        <w:t>gut</w:t>
      </w:r>
      <w:r w:rsidRPr="00BE49C9">
        <w:rPr>
          <w:rFonts w:ascii="Trebuchet MS" w:hAnsi="Trebuchet MS"/>
          <w:lang w:val="en-US"/>
        </w:rPr>
        <w:t xml:space="preserve"> microbiota of C</w:t>
      </w:r>
      <w:r w:rsidR="000E405A">
        <w:rPr>
          <w:rFonts w:ascii="Trebuchet MS" w:hAnsi="Trebuchet MS"/>
          <w:lang w:val="en-US"/>
        </w:rPr>
        <w:t>KD</w:t>
      </w:r>
      <w:r w:rsidRPr="00BE49C9">
        <w:rPr>
          <w:rFonts w:ascii="Trebuchet MS" w:hAnsi="Trebuchet MS"/>
          <w:lang w:val="en-US"/>
        </w:rPr>
        <w:t xml:space="preserve"> patients has been deepened, through semi-quantitative analysis of 16S ribosomal RNA sequencing (rRNA). From these analyses</w:t>
      </w:r>
      <w:r w:rsidR="007B38C8">
        <w:rPr>
          <w:rFonts w:ascii="Trebuchet MS" w:hAnsi="Trebuchet MS"/>
          <w:lang w:val="en-US"/>
        </w:rPr>
        <w:t>,</w:t>
      </w:r>
      <w:r w:rsidRPr="00BE49C9">
        <w:rPr>
          <w:rFonts w:ascii="Trebuchet MS" w:hAnsi="Trebuchet MS"/>
          <w:lang w:val="en-US"/>
        </w:rPr>
        <w:t xml:space="preserve"> a relative abundance of the main phyla </w:t>
      </w:r>
      <w:r w:rsidRPr="00BE49C9">
        <w:rPr>
          <w:rFonts w:ascii="Trebuchet MS" w:hAnsi="Trebuchet MS"/>
          <w:i/>
          <w:lang w:val="en-US"/>
        </w:rPr>
        <w:t>Firmicutes, Bacteroidetes</w:t>
      </w:r>
      <w:r w:rsidR="00F91CBF">
        <w:rPr>
          <w:rFonts w:ascii="Trebuchet MS" w:hAnsi="Trebuchet MS"/>
          <w:i/>
          <w:lang w:val="en-US"/>
        </w:rPr>
        <w:t>,</w:t>
      </w:r>
      <w:r w:rsidRPr="00BE49C9">
        <w:rPr>
          <w:rFonts w:ascii="Trebuchet MS" w:hAnsi="Trebuchet MS"/>
          <w:i/>
          <w:lang w:val="en-US"/>
        </w:rPr>
        <w:t xml:space="preserve"> and Proteobacteria</w:t>
      </w:r>
      <w:r w:rsidRPr="00BE49C9">
        <w:rPr>
          <w:rFonts w:ascii="Trebuchet MS" w:hAnsi="Trebuchet MS"/>
          <w:lang w:val="en-US"/>
        </w:rPr>
        <w:t xml:space="preserve"> was found, in different proportions between the C</w:t>
      </w:r>
      <w:r w:rsidR="000E405A">
        <w:rPr>
          <w:rFonts w:ascii="Trebuchet MS" w:hAnsi="Trebuchet MS"/>
          <w:lang w:val="en-US"/>
        </w:rPr>
        <w:t>KD</w:t>
      </w:r>
      <w:r w:rsidRPr="00BE49C9">
        <w:rPr>
          <w:rFonts w:ascii="Trebuchet MS" w:hAnsi="Trebuchet MS"/>
          <w:lang w:val="en-US"/>
        </w:rPr>
        <w:t xml:space="preserve"> populations (T0, T1</w:t>
      </w:r>
      <w:r w:rsidR="00F91CBF">
        <w:rPr>
          <w:rFonts w:ascii="Trebuchet MS" w:hAnsi="Trebuchet MS"/>
          <w:lang w:val="en-US"/>
        </w:rPr>
        <w:t>,</w:t>
      </w:r>
      <w:r w:rsidRPr="00BE49C9">
        <w:rPr>
          <w:rFonts w:ascii="Trebuchet MS" w:hAnsi="Trebuchet MS"/>
          <w:lang w:val="en-US"/>
        </w:rPr>
        <w:t xml:space="preserve"> and T2) and the control population. Taxonomic analysis at </w:t>
      </w:r>
      <w:r w:rsidR="00F91CBF">
        <w:rPr>
          <w:rFonts w:ascii="Trebuchet MS" w:hAnsi="Trebuchet MS"/>
          <w:lang w:val="en-US"/>
        </w:rPr>
        <w:t xml:space="preserve">the </w:t>
      </w:r>
      <w:r w:rsidRPr="00BE49C9">
        <w:rPr>
          <w:rFonts w:ascii="Trebuchet MS" w:hAnsi="Trebuchet MS"/>
          <w:lang w:val="en-US"/>
        </w:rPr>
        <w:t xml:space="preserve">household level showed a greater presence of </w:t>
      </w:r>
      <w:proofErr w:type="spellStart"/>
      <w:r w:rsidRPr="00BE49C9">
        <w:rPr>
          <w:rFonts w:ascii="Trebuchet MS" w:hAnsi="Trebuchet MS"/>
          <w:i/>
          <w:lang w:val="en-US"/>
        </w:rPr>
        <w:t>Streptococcaceae</w:t>
      </w:r>
      <w:proofErr w:type="spellEnd"/>
      <w:r w:rsidRPr="00BE49C9">
        <w:rPr>
          <w:rFonts w:ascii="Trebuchet MS" w:hAnsi="Trebuchet MS"/>
          <w:i/>
          <w:lang w:val="en-US"/>
        </w:rPr>
        <w:t xml:space="preserve"> </w:t>
      </w:r>
      <w:r w:rsidRPr="00BE49C9">
        <w:rPr>
          <w:rFonts w:ascii="Trebuchet MS" w:hAnsi="Trebuchet MS"/>
          <w:lang w:val="en-US"/>
        </w:rPr>
        <w:t xml:space="preserve">(T0: 2.60% </w:t>
      </w:r>
      <w:proofErr w:type="gramStart"/>
      <w:r w:rsidRPr="00BE49C9">
        <w:rPr>
          <w:rFonts w:ascii="Trebuchet MS" w:hAnsi="Trebuchet MS"/>
          <w:lang w:val="en-US"/>
        </w:rPr>
        <w:t>±  2.98</w:t>
      </w:r>
      <w:proofErr w:type="gramEnd"/>
      <w:r w:rsidRPr="00BE49C9">
        <w:rPr>
          <w:rFonts w:ascii="Trebuchet MS" w:hAnsi="Trebuchet MS"/>
          <w:lang w:val="en-US"/>
        </w:rPr>
        <w:t xml:space="preserve">%, </w:t>
      </w:r>
      <w:proofErr w:type="spellStart"/>
      <w:r w:rsidRPr="00BE49C9">
        <w:rPr>
          <w:rFonts w:ascii="Trebuchet MS" w:hAnsi="Trebuchet MS"/>
          <w:lang w:val="en-US"/>
        </w:rPr>
        <w:t>Cntrl</w:t>
      </w:r>
      <w:proofErr w:type="spellEnd"/>
      <w:r w:rsidRPr="00BE49C9">
        <w:rPr>
          <w:rFonts w:ascii="Trebuchet MS" w:hAnsi="Trebuchet MS"/>
          <w:lang w:val="en-US"/>
        </w:rPr>
        <w:t xml:space="preserve">: 0.58% ±  0.76%; p-value=0.0153) in the </w:t>
      </w:r>
      <w:r w:rsidR="00D13410">
        <w:rPr>
          <w:rFonts w:ascii="Trebuchet MS" w:hAnsi="Trebuchet MS"/>
          <w:lang w:val="en-US"/>
        </w:rPr>
        <w:t>CKD</w:t>
      </w:r>
      <w:r w:rsidRPr="00BE49C9">
        <w:rPr>
          <w:rFonts w:ascii="Trebuchet MS" w:hAnsi="Trebuchet MS"/>
          <w:lang w:val="en-US"/>
        </w:rPr>
        <w:t xml:space="preserve"> population</w:t>
      </w:r>
      <w:r w:rsidR="00D13410">
        <w:rPr>
          <w:rFonts w:ascii="Trebuchet MS" w:hAnsi="Trebuchet MS"/>
          <w:lang w:val="en-US"/>
        </w:rPr>
        <w:t xml:space="preserve"> at baseline</w:t>
      </w:r>
      <w:r w:rsidRPr="00BE49C9">
        <w:rPr>
          <w:rFonts w:ascii="Trebuchet MS" w:hAnsi="Trebuchet MS"/>
          <w:lang w:val="en-US"/>
        </w:rPr>
        <w:t>, possibly associated with the use of proton pump inhibitory drugs taken by C</w:t>
      </w:r>
      <w:r w:rsidR="00D13410">
        <w:rPr>
          <w:rFonts w:ascii="Trebuchet MS" w:hAnsi="Trebuchet MS"/>
          <w:lang w:val="en-US"/>
        </w:rPr>
        <w:t>KD</w:t>
      </w:r>
      <w:r w:rsidRPr="00BE49C9">
        <w:rPr>
          <w:rFonts w:ascii="Trebuchet MS" w:hAnsi="Trebuchet MS"/>
          <w:lang w:val="en-US"/>
        </w:rPr>
        <w:t xml:space="preserve"> patients</w:t>
      </w:r>
      <w:r w:rsidR="00931A0C">
        <w:rPr>
          <w:rFonts w:ascii="Trebuchet MS" w:hAnsi="Trebuchet MS"/>
          <w:lang w:val="en-US"/>
        </w:rPr>
        <w:t xml:space="preserve"> (Figure 3)</w:t>
      </w:r>
      <w:r w:rsidRPr="00BE49C9">
        <w:rPr>
          <w:rFonts w:ascii="Trebuchet MS" w:hAnsi="Trebuchet MS"/>
          <w:lang w:val="en-US"/>
        </w:rPr>
        <w:t>.</w:t>
      </w:r>
    </w:p>
    <w:p w14:paraId="21944E61" w14:textId="253B3196" w:rsidR="00BE49C9" w:rsidRPr="00BE49C9" w:rsidRDefault="00BE49C9" w:rsidP="00BE49C9">
      <w:pPr>
        <w:spacing w:line="360" w:lineRule="auto"/>
        <w:jc w:val="both"/>
        <w:rPr>
          <w:rFonts w:ascii="Trebuchet MS" w:hAnsi="Trebuchet MS"/>
          <w:lang w:val="en-US"/>
        </w:rPr>
      </w:pPr>
      <w:r w:rsidRPr="00BE49C9">
        <w:rPr>
          <w:rFonts w:ascii="Trebuchet MS" w:hAnsi="Trebuchet MS"/>
          <w:lang w:val="en-US"/>
        </w:rPr>
        <w:t xml:space="preserve">In addition, there was an increase in the presence of </w:t>
      </w:r>
      <w:r w:rsidRPr="00BE49C9">
        <w:rPr>
          <w:rFonts w:ascii="Trebuchet MS" w:hAnsi="Trebuchet MS"/>
          <w:i/>
          <w:lang w:val="en-US"/>
        </w:rPr>
        <w:t>Enterobacteriaceae</w:t>
      </w:r>
      <w:r w:rsidRPr="00BE49C9">
        <w:rPr>
          <w:rFonts w:ascii="Trebuchet MS" w:hAnsi="Trebuchet MS"/>
          <w:lang w:val="en-US"/>
        </w:rPr>
        <w:t xml:space="preserve"> (T0: 3.90 %   ± 5.99%, </w:t>
      </w:r>
      <w:proofErr w:type="spellStart"/>
      <w:r w:rsidRPr="00BE49C9">
        <w:rPr>
          <w:rFonts w:ascii="Trebuchet MS" w:hAnsi="Trebuchet MS"/>
          <w:lang w:val="en-US"/>
        </w:rPr>
        <w:t>Cntrl</w:t>
      </w:r>
      <w:proofErr w:type="spellEnd"/>
      <w:r w:rsidRPr="00BE49C9">
        <w:rPr>
          <w:rFonts w:ascii="Trebuchet MS" w:hAnsi="Trebuchet MS"/>
          <w:lang w:val="en-US"/>
        </w:rPr>
        <w:t xml:space="preserve">: 15.62 </w:t>
      </w:r>
      <w:proofErr w:type="gramStart"/>
      <w:r w:rsidRPr="00BE49C9">
        <w:rPr>
          <w:rFonts w:ascii="Trebuchet MS" w:hAnsi="Trebuchet MS"/>
          <w:lang w:val="en-US"/>
        </w:rPr>
        <w:t>%  ±</w:t>
      </w:r>
      <w:proofErr w:type="gramEnd"/>
      <w:r w:rsidRPr="00BE49C9">
        <w:rPr>
          <w:rFonts w:ascii="Trebuchet MS" w:hAnsi="Trebuchet MS"/>
          <w:lang w:val="en-US"/>
        </w:rPr>
        <w:t xml:space="preserve">  22.14%; p-value= 0.0493) in the control population related to a state of dysbiosis, </w:t>
      </w:r>
      <w:r w:rsidR="00D13410">
        <w:rPr>
          <w:rFonts w:ascii="Trebuchet MS" w:hAnsi="Trebuchet MS"/>
          <w:lang w:val="en-US"/>
        </w:rPr>
        <w:t xml:space="preserve">possibly </w:t>
      </w:r>
      <w:r w:rsidRPr="00BE49C9">
        <w:rPr>
          <w:rFonts w:ascii="Trebuchet MS" w:hAnsi="Trebuchet MS"/>
          <w:lang w:val="en-US"/>
        </w:rPr>
        <w:t>influenced by the average age found (73 years)</w:t>
      </w:r>
      <w:r w:rsidR="000841B1">
        <w:rPr>
          <w:rFonts w:ascii="Trebuchet MS" w:hAnsi="Trebuchet MS"/>
          <w:lang w:val="en-US"/>
        </w:rPr>
        <w:t xml:space="preserve"> (Figure 4)</w:t>
      </w:r>
      <w:r w:rsidRPr="00BE49C9">
        <w:rPr>
          <w:rFonts w:ascii="Trebuchet MS" w:hAnsi="Trebuchet MS"/>
          <w:lang w:val="en-US"/>
        </w:rPr>
        <w:t xml:space="preserve">. Through the analysis of alpha-diversity, the Shannon indices obtained for the </w:t>
      </w:r>
      <w:r w:rsidR="00F91CBF">
        <w:rPr>
          <w:rFonts w:ascii="Trebuchet MS" w:hAnsi="Trebuchet MS"/>
          <w:lang w:val="en-US"/>
        </w:rPr>
        <w:t>population’s</w:t>
      </w:r>
      <w:r w:rsidRPr="00BE49C9">
        <w:rPr>
          <w:rFonts w:ascii="Trebuchet MS" w:hAnsi="Trebuchet MS"/>
          <w:lang w:val="en-US"/>
        </w:rPr>
        <w:t xml:space="preserve"> </w:t>
      </w:r>
      <w:r w:rsidR="00D13410">
        <w:rPr>
          <w:rFonts w:ascii="Trebuchet MS" w:hAnsi="Trebuchet MS"/>
          <w:lang w:val="en-US"/>
        </w:rPr>
        <w:t>groups</w:t>
      </w:r>
      <w:r w:rsidRPr="00BE49C9">
        <w:rPr>
          <w:rFonts w:ascii="Trebuchet MS" w:hAnsi="Trebuchet MS"/>
          <w:lang w:val="en-US"/>
        </w:rPr>
        <w:t xml:space="preserve"> were compared, resulting in statistically significant </w:t>
      </w:r>
      <w:r w:rsidR="007B38C8">
        <w:rPr>
          <w:rFonts w:ascii="Trebuchet MS" w:hAnsi="Trebuchet MS"/>
          <w:lang w:val="en-US"/>
        </w:rPr>
        <w:t>differences</w:t>
      </w:r>
      <w:r w:rsidRPr="00BE49C9">
        <w:rPr>
          <w:rFonts w:ascii="Trebuchet MS" w:hAnsi="Trebuchet MS"/>
          <w:lang w:val="en-US"/>
        </w:rPr>
        <w:t xml:space="preserve"> between controls and T0 (3,2 0,35, p-value=0,0321) and between controls and T2 (2,8 0,62, p-value = 0,0256)</w:t>
      </w:r>
      <w:r w:rsidR="000841B1">
        <w:rPr>
          <w:rFonts w:ascii="Trebuchet MS" w:hAnsi="Trebuchet MS"/>
          <w:lang w:val="en-US"/>
        </w:rPr>
        <w:t xml:space="preserve"> (Figure 5)</w:t>
      </w:r>
      <w:r w:rsidRPr="00BE49C9">
        <w:rPr>
          <w:rFonts w:ascii="Trebuchet MS" w:hAnsi="Trebuchet MS"/>
          <w:lang w:val="en-US"/>
        </w:rPr>
        <w:t xml:space="preserve">. </w:t>
      </w:r>
    </w:p>
    <w:p w14:paraId="518FA0BA" w14:textId="77777777" w:rsidR="001211FB" w:rsidRDefault="00BE49C9" w:rsidP="00BE49C9">
      <w:pPr>
        <w:spacing w:line="360" w:lineRule="auto"/>
        <w:jc w:val="both"/>
        <w:rPr>
          <w:rFonts w:ascii="Trebuchet MS" w:hAnsi="Trebuchet MS"/>
          <w:lang w:val="en-US"/>
        </w:rPr>
      </w:pPr>
      <w:r w:rsidRPr="00BE49C9">
        <w:rPr>
          <w:rFonts w:ascii="Trebuchet MS" w:hAnsi="Trebuchet MS"/>
          <w:lang w:val="en-US"/>
        </w:rPr>
        <w:t>Analysis of ure</w:t>
      </w:r>
      <w:r w:rsidR="004426DA">
        <w:rPr>
          <w:rFonts w:ascii="Trebuchet MS" w:hAnsi="Trebuchet MS"/>
          <w:lang w:val="en-US"/>
        </w:rPr>
        <w:t>mic</w:t>
      </w:r>
      <w:r w:rsidRPr="00BE49C9">
        <w:rPr>
          <w:rFonts w:ascii="Trebuchet MS" w:hAnsi="Trebuchet MS"/>
          <w:lang w:val="en-US"/>
        </w:rPr>
        <w:t xml:space="preserve"> toxins showed a significant increase in indoxyl sulfate (IS) levels in C</w:t>
      </w:r>
      <w:r w:rsidR="00F01557">
        <w:rPr>
          <w:rFonts w:ascii="Trebuchet MS" w:hAnsi="Trebuchet MS"/>
          <w:lang w:val="en-US"/>
        </w:rPr>
        <w:t xml:space="preserve">KD </w:t>
      </w:r>
      <w:r w:rsidRPr="00BE49C9">
        <w:rPr>
          <w:rFonts w:ascii="Trebuchet MS" w:hAnsi="Trebuchet MS"/>
          <w:lang w:val="en-US"/>
        </w:rPr>
        <w:t>patients from basal to 6 months of supplementation</w:t>
      </w:r>
      <w:r w:rsidR="002C7F2B">
        <w:rPr>
          <w:rFonts w:ascii="Trebuchet MS" w:hAnsi="Trebuchet MS"/>
          <w:lang w:val="en-US"/>
        </w:rPr>
        <w:t xml:space="preserve"> (Figure 6)</w:t>
      </w:r>
      <w:r w:rsidRPr="00BE49C9">
        <w:rPr>
          <w:rFonts w:ascii="Trebuchet MS" w:hAnsi="Trebuchet MS"/>
          <w:lang w:val="en-US"/>
        </w:rPr>
        <w:t>.</w:t>
      </w:r>
    </w:p>
    <w:p w14:paraId="0E15CFF9" w14:textId="77777777" w:rsidR="001755EE" w:rsidRDefault="00304F40" w:rsidP="00BE49C9">
      <w:pPr>
        <w:spacing w:line="36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T</w:t>
      </w:r>
      <w:r w:rsidR="001F4B3C">
        <w:rPr>
          <w:rFonts w:ascii="Trebuchet MS" w:hAnsi="Trebuchet MS"/>
          <w:lang w:val="en-US"/>
        </w:rPr>
        <w:t xml:space="preserve">he main result of the present study is the potential of DBR supplementation </w:t>
      </w:r>
      <w:r w:rsidR="00DC4210">
        <w:rPr>
          <w:rFonts w:ascii="Trebuchet MS" w:hAnsi="Trebuchet MS"/>
          <w:lang w:val="en-US"/>
        </w:rPr>
        <w:t>in</w:t>
      </w:r>
      <w:r w:rsidR="001F4B3C">
        <w:rPr>
          <w:rFonts w:ascii="Trebuchet MS" w:hAnsi="Trebuchet MS"/>
          <w:lang w:val="en-US"/>
        </w:rPr>
        <w:t xml:space="preserve"> decreasing CCL-2, </w:t>
      </w:r>
      <w:r w:rsidR="00C25C74">
        <w:rPr>
          <w:rFonts w:ascii="Trebuchet MS" w:hAnsi="Trebuchet MS"/>
          <w:lang w:val="en-US"/>
        </w:rPr>
        <w:t>a pro-inflammatory chemokine responsible for CKD worsening</w:t>
      </w:r>
      <w:r w:rsidR="00857415">
        <w:rPr>
          <w:rFonts w:ascii="Trebuchet MS" w:hAnsi="Trebuchet MS"/>
          <w:lang w:val="en-US"/>
        </w:rPr>
        <w:t xml:space="preserve">, together with an increase in </w:t>
      </w:r>
      <w:r w:rsidR="00160CB6">
        <w:rPr>
          <w:rFonts w:ascii="Trebuchet MS" w:hAnsi="Trebuchet MS"/>
          <w:lang w:val="en-US"/>
        </w:rPr>
        <w:t>metabolic active</w:t>
      </w:r>
      <w:r w:rsidR="00857415">
        <w:rPr>
          <w:rFonts w:ascii="Trebuchet MS" w:hAnsi="Trebuchet MS"/>
          <w:lang w:val="en-US"/>
        </w:rPr>
        <w:t xml:space="preserve"> mass</w:t>
      </w:r>
      <w:r w:rsidR="00C25C74">
        <w:rPr>
          <w:rFonts w:ascii="Trebuchet MS" w:hAnsi="Trebuchet MS"/>
          <w:lang w:val="en-US"/>
        </w:rPr>
        <w:t>.</w:t>
      </w:r>
      <w:r w:rsidR="001F4B3C">
        <w:rPr>
          <w:rFonts w:ascii="Trebuchet MS" w:hAnsi="Trebuchet MS"/>
          <w:lang w:val="en-US"/>
        </w:rPr>
        <w:t xml:space="preserve"> </w:t>
      </w:r>
    </w:p>
    <w:p w14:paraId="75D8331C" w14:textId="77777777" w:rsidR="00A2324B" w:rsidRDefault="00304F40" w:rsidP="00BE49C9">
      <w:pPr>
        <w:spacing w:line="36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In conclusion, DBR could be a promising adjuvant in CKD treatment.</w:t>
      </w:r>
    </w:p>
    <w:p w14:paraId="022DA719" w14:textId="77777777" w:rsidR="001C3D0A" w:rsidRDefault="001C3D0A" w:rsidP="00BE49C9">
      <w:pPr>
        <w:spacing w:line="360" w:lineRule="auto"/>
        <w:jc w:val="both"/>
        <w:rPr>
          <w:rFonts w:ascii="Trebuchet MS" w:hAnsi="Trebuchet MS"/>
          <w:lang w:val="en-US"/>
        </w:rPr>
      </w:pPr>
    </w:p>
    <w:p w14:paraId="2C70092E" w14:textId="77777777" w:rsidR="001C3D0A" w:rsidRDefault="001C3D0A" w:rsidP="00BE49C9">
      <w:pPr>
        <w:spacing w:line="360" w:lineRule="auto"/>
        <w:jc w:val="both"/>
        <w:rPr>
          <w:rFonts w:ascii="Trebuchet MS" w:hAnsi="Trebuchet MS"/>
          <w:lang w:val="en-US"/>
        </w:rPr>
      </w:pPr>
      <w:r w:rsidRPr="001C3D0A">
        <w:rPr>
          <w:rFonts w:ascii="Trebuchet MS" w:hAnsi="Trebuchet MS"/>
          <w:noProof/>
        </w:rPr>
        <w:drawing>
          <wp:inline distT="0" distB="0" distL="0" distR="0" wp14:anchorId="27F625A2" wp14:editId="290E7179">
            <wp:extent cx="6116320" cy="4806950"/>
            <wp:effectExtent l="0" t="0" r="5080" b="6350"/>
            <wp:docPr id="15363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D49C41DB-1F2A-3249-B186-27A2B7FFF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Immagine 4">
                      <a:extLst>
                        <a:ext uri="{FF2B5EF4-FFF2-40B4-BE49-F238E27FC236}">
                          <a16:creationId xmlns:a16="http://schemas.microsoft.com/office/drawing/2014/main" id="{D49C41DB-1F2A-3249-B186-27A2B7FFF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CEBCC" w14:textId="77777777" w:rsidR="00440BAE" w:rsidRPr="00C8577C" w:rsidRDefault="00440BAE" w:rsidP="00C8577C">
      <w:pPr>
        <w:jc w:val="both"/>
        <w:rPr>
          <w:rFonts w:ascii="Trebuchet MS" w:hAnsi="Trebuchet MS"/>
          <w:sz w:val="20"/>
          <w:lang w:val="en-US"/>
        </w:rPr>
      </w:pPr>
      <w:r w:rsidRPr="00C8577C">
        <w:rPr>
          <w:rFonts w:ascii="Trebuchet MS" w:hAnsi="Trebuchet MS"/>
          <w:sz w:val="20"/>
          <w:u w:val="single"/>
          <w:lang w:val="en-US"/>
        </w:rPr>
        <w:t>Figure 1.</w:t>
      </w:r>
      <w:r w:rsidR="00752195" w:rsidRPr="00C8577C">
        <w:rPr>
          <w:rFonts w:ascii="Trebuchet MS" w:hAnsi="Trebuchet MS"/>
          <w:sz w:val="20"/>
          <w:lang w:val="en-US"/>
        </w:rPr>
        <w:t xml:space="preserve"> </w:t>
      </w:r>
      <w:r w:rsidR="00BE4F94" w:rsidRPr="00C8577C">
        <w:rPr>
          <w:rFonts w:ascii="Trebuchet MS" w:hAnsi="Trebuchet MS"/>
          <w:sz w:val="20"/>
          <w:lang w:val="en-US"/>
        </w:rPr>
        <w:t>Main results of food intake in CKD patients and control group</w:t>
      </w:r>
      <w:r w:rsidR="00F9773D" w:rsidRPr="00C8577C">
        <w:rPr>
          <w:rFonts w:ascii="Trebuchet MS" w:hAnsi="Trebuchet MS"/>
          <w:sz w:val="20"/>
          <w:lang w:val="en-US"/>
        </w:rPr>
        <w:t>. CTRL: control group; IRC T0: CKD patients at baseline; IRC T1: CKD patients after 3 months of DBR supplementation; IRC T2: CKD patients after 6 months of DBR supplementation.</w:t>
      </w:r>
    </w:p>
    <w:p w14:paraId="2D8EE9E5" w14:textId="77777777" w:rsidR="00F473BE" w:rsidRDefault="00F473BE" w:rsidP="00BE49C9">
      <w:pPr>
        <w:spacing w:line="360" w:lineRule="auto"/>
        <w:jc w:val="both"/>
        <w:rPr>
          <w:rFonts w:ascii="Trebuchet MS" w:hAnsi="Trebuchet MS"/>
          <w:lang w:val="en-US"/>
        </w:rPr>
      </w:pPr>
    </w:p>
    <w:p w14:paraId="5EAFC889" w14:textId="77777777" w:rsidR="00F473BE" w:rsidRDefault="00F473BE" w:rsidP="00F473BE">
      <w:pPr>
        <w:spacing w:line="360" w:lineRule="auto"/>
        <w:jc w:val="center"/>
        <w:rPr>
          <w:rFonts w:ascii="Trebuchet MS" w:hAnsi="Trebuchet MS"/>
          <w:lang w:val="en-US"/>
        </w:rPr>
      </w:pPr>
      <w:r w:rsidRPr="00F473BE">
        <w:rPr>
          <w:rFonts w:ascii="Trebuchet MS" w:hAnsi="Trebuchet MS"/>
          <w:noProof/>
        </w:rPr>
        <w:drawing>
          <wp:inline distT="0" distB="0" distL="0" distR="0" wp14:anchorId="2A23FC96" wp14:editId="419DC0DD">
            <wp:extent cx="2880000" cy="2519036"/>
            <wp:effectExtent l="0" t="0" r="3175" b="0"/>
            <wp:docPr id="22533" name="Immagine 6">
              <a:extLst xmlns:a="http://schemas.openxmlformats.org/drawingml/2006/main">
                <a:ext uri="{FF2B5EF4-FFF2-40B4-BE49-F238E27FC236}">
                  <a16:creationId xmlns:a16="http://schemas.microsoft.com/office/drawing/2014/main" id="{3D1F432C-A8F4-2E47-B15F-BD0839ED5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Immagine 6">
                      <a:extLst>
                        <a:ext uri="{FF2B5EF4-FFF2-40B4-BE49-F238E27FC236}">
                          <a16:creationId xmlns:a16="http://schemas.microsoft.com/office/drawing/2014/main" id="{3D1F432C-A8F4-2E47-B15F-BD0839ED5A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1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2183" w14:textId="77777777" w:rsidR="00F473BE" w:rsidRPr="00C8577C" w:rsidRDefault="00F473BE" w:rsidP="00C8577C">
      <w:pPr>
        <w:rPr>
          <w:rFonts w:ascii="Trebuchet MS" w:hAnsi="Trebuchet MS"/>
          <w:sz w:val="20"/>
          <w:lang w:val="en-US"/>
        </w:rPr>
      </w:pPr>
      <w:r w:rsidRPr="00C8577C">
        <w:rPr>
          <w:rFonts w:ascii="Trebuchet MS" w:hAnsi="Trebuchet MS"/>
          <w:sz w:val="20"/>
          <w:u w:val="single"/>
          <w:lang w:val="en-US"/>
        </w:rPr>
        <w:t>Figure 2.</w:t>
      </w:r>
      <w:r w:rsidR="00F9773D" w:rsidRPr="00C8577C">
        <w:rPr>
          <w:rFonts w:ascii="Trebuchet MS" w:hAnsi="Trebuchet MS"/>
          <w:sz w:val="20"/>
          <w:lang w:val="en-US"/>
        </w:rPr>
        <w:t xml:space="preserve"> Levels of pro-inflammatory chemokine CCL-2/MCP-1</w:t>
      </w:r>
      <w:r w:rsidR="00AC0FEB" w:rsidRPr="00C8577C">
        <w:rPr>
          <w:rFonts w:ascii="Trebuchet MS" w:hAnsi="Trebuchet MS"/>
          <w:sz w:val="20"/>
          <w:lang w:val="en-US"/>
        </w:rPr>
        <w:t xml:space="preserve"> in CKD patients. </w:t>
      </w:r>
      <w:r w:rsidR="00F9773D" w:rsidRPr="00C8577C">
        <w:rPr>
          <w:rFonts w:ascii="Trebuchet MS" w:hAnsi="Trebuchet MS"/>
          <w:sz w:val="20"/>
          <w:lang w:val="en-US"/>
        </w:rPr>
        <w:t>IRC T0: CKD patients at baseline; IRC T2: CKD patients after 6 months of DBR supplementation.</w:t>
      </w:r>
    </w:p>
    <w:p w14:paraId="44EB6E17" w14:textId="77777777" w:rsidR="00CD1E2F" w:rsidRDefault="00CD1E2F" w:rsidP="00F473BE">
      <w:pPr>
        <w:spacing w:line="360" w:lineRule="auto"/>
        <w:rPr>
          <w:rFonts w:ascii="Trebuchet MS" w:hAnsi="Trebuchet MS"/>
          <w:lang w:val="en-US"/>
        </w:rPr>
      </w:pPr>
    </w:p>
    <w:p w14:paraId="16EB377C" w14:textId="77777777" w:rsidR="00CD1E2F" w:rsidRDefault="00CD1E2F" w:rsidP="00CD1E2F">
      <w:pPr>
        <w:spacing w:line="360" w:lineRule="auto"/>
        <w:jc w:val="center"/>
        <w:rPr>
          <w:rFonts w:ascii="Trebuchet MS" w:hAnsi="Trebuchet MS"/>
          <w:lang w:val="en-US"/>
        </w:rPr>
      </w:pPr>
      <w:r w:rsidRPr="00CD1E2F">
        <w:rPr>
          <w:rFonts w:ascii="Trebuchet MS" w:hAnsi="Trebuchet MS"/>
          <w:noProof/>
        </w:rPr>
        <w:drawing>
          <wp:inline distT="0" distB="0" distL="0" distR="0" wp14:anchorId="5BFCA4DE" wp14:editId="064DB68A">
            <wp:extent cx="2941637" cy="2540000"/>
            <wp:effectExtent l="0" t="0" r="5080" b="0"/>
            <wp:docPr id="12" name="Immagine 11">
              <a:extLst xmlns:a="http://schemas.openxmlformats.org/drawingml/2006/main">
                <a:ext uri="{FF2B5EF4-FFF2-40B4-BE49-F238E27FC236}">
                  <a16:creationId xmlns:a16="http://schemas.microsoft.com/office/drawing/2014/main" id="{3E52DA63-F7A4-8041-82A4-F60A697ACE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>
                      <a:extLst>
                        <a:ext uri="{FF2B5EF4-FFF2-40B4-BE49-F238E27FC236}">
                          <a16:creationId xmlns:a16="http://schemas.microsoft.com/office/drawing/2014/main" id="{3E52DA63-F7A4-8041-82A4-F60A697ACE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1637" cy="254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C3C54" w14:textId="189DFC41" w:rsidR="00CD1E2F" w:rsidRDefault="00CD1E2F" w:rsidP="00C8577C">
      <w:pPr>
        <w:jc w:val="both"/>
        <w:rPr>
          <w:rFonts w:ascii="Trebuchet MS" w:hAnsi="Trebuchet MS"/>
          <w:sz w:val="20"/>
          <w:lang w:val="en-US"/>
        </w:rPr>
      </w:pPr>
      <w:r w:rsidRPr="00C8577C">
        <w:rPr>
          <w:rFonts w:ascii="Trebuchet MS" w:hAnsi="Trebuchet MS"/>
          <w:sz w:val="20"/>
          <w:u w:val="single"/>
          <w:lang w:val="en-US"/>
        </w:rPr>
        <w:t>Figure 3.</w:t>
      </w:r>
      <w:r w:rsidR="00786DED" w:rsidRPr="00C8577C">
        <w:rPr>
          <w:rFonts w:ascii="Trebuchet MS" w:hAnsi="Trebuchet MS"/>
          <w:sz w:val="20"/>
          <w:lang w:val="en-US"/>
        </w:rPr>
        <w:t xml:space="preserve"> Amount of </w:t>
      </w:r>
      <w:proofErr w:type="spellStart"/>
      <w:r w:rsidR="00786DED" w:rsidRPr="00C8577C">
        <w:rPr>
          <w:rFonts w:ascii="Trebuchet MS" w:hAnsi="Trebuchet MS"/>
          <w:i/>
          <w:sz w:val="20"/>
          <w:lang w:val="en-US"/>
        </w:rPr>
        <w:t>Streptococcacea</w:t>
      </w:r>
      <w:r w:rsidR="00BC76D7" w:rsidRPr="00C8577C">
        <w:rPr>
          <w:rFonts w:ascii="Trebuchet MS" w:hAnsi="Trebuchet MS"/>
          <w:i/>
          <w:sz w:val="20"/>
          <w:lang w:val="en-US"/>
        </w:rPr>
        <w:t>e</w:t>
      </w:r>
      <w:proofErr w:type="spellEnd"/>
      <w:r w:rsidR="00BC76D7" w:rsidRPr="00C8577C">
        <w:rPr>
          <w:rFonts w:ascii="Trebuchet MS" w:hAnsi="Trebuchet MS"/>
          <w:sz w:val="20"/>
          <w:lang w:val="en-US"/>
        </w:rPr>
        <w:t xml:space="preserve"> in </w:t>
      </w:r>
      <w:r w:rsidR="00F91CBF" w:rsidRPr="00C8577C">
        <w:rPr>
          <w:rFonts w:ascii="Trebuchet MS" w:hAnsi="Trebuchet MS"/>
          <w:sz w:val="20"/>
          <w:lang w:val="en-US"/>
        </w:rPr>
        <w:t xml:space="preserve">the </w:t>
      </w:r>
      <w:r w:rsidR="00BC76D7" w:rsidRPr="00C8577C">
        <w:rPr>
          <w:rFonts w:ascii="Trebuchet MS" w:hAnsi="Trebuchet MS"/>
          <w:sz w:val="20"/>
          <w:lang w:val="en-US"/>
        </w:rPr>
        <w:t>gut microbiota of CKD patients and control group. CTRL: control group; IRC T0: CKD patients at baseline; IRC T1: CKD patients after 3 months of DBR supplementation; IRC T2: CKD patients after 6 months of DBR supplementation.</w:t>
      </w:r>
    </w:p>
    <w:p w14:paraId="7FE3101E" w14:textId="44EE4C2E" w:rsidR="00C8577C" w:rsidRDefault="00C8577C" w:rsidP="00C8577C">
      <w:pPr>
        <w:jc w:val="both"/>
        <w:rPr>
          <w:rFonts w:ascii="Trebuchet MS" w:hAnsi="Trebuchet MS"/>
          <w:sz w:val="20"/>
          <w:lang w:val="en-US"/>
        </w:rPr>
      </w:pPr>
    </w:p>
    <w:p w14:paraId="04ED4F2A" w14:textId="77777777" w:rsidR="00C8577C" w:rsidRPr="00C8577C" w:rsidRDefault="00C8577C" w:rsidP="00C8577C">
      <w:pPr>
        <w:jc w:val="both"/>
        <w:rPr>
          <w:rFonts w:ascii="Trebuchet MS" w:hAnsi="Trebuchet MS"/>
          <w:sz w:val="20"/>
          <w:lang w:val="en-US"/>
        </w:rPr>
      </w:pPr>
    </w:p>
    <w:p w14:paraId="092602F1" w14:textId="77777777" w:rsidR="00C8577C" w:rsidRDefault="00CD1E2F" w:rsidP="00C8577C">
      <w:pPr>
        <w:spacing w:line="360" w:lineRule="auto"/>
        <w:jc w:val="center"/>
        <w:rPr>
          <w:rFonts w:ascii="Trebuchet MS" w:hAnsi="Trebuchet MS"/>
          <w:sz w:val="20"/>
          <w:u w:val="single"/>
          <w:lang w:val="en-US"/>
        </w:rPr>
      </w:pPr>
      <w:r w:rsidRPr="00CD1E2F">
        <w:rPr>
          <w:rFonts w:ascii="Trebuchet MS" w:hAnsi="Trebuchet MS"/>
          <w:noProof/>
        </w:rPr>
        <w:drawing>
          <wp:inline distT="0" distB="0" distL="0" distR="0" wp14:anchorId="6E607019" wp14:editId="04B9501E">
            <wp:extent cx="2962275" cy="2482850"/>
            <wp:effectExtent l="0" t="0" r="0" b="6350"/>
            <wp:docPr id="11" name="Immagine 10">
              <a:extLst xmlns:a="http://schemas.openxmlformats.org/drawingml/2006/main">
                <a:ext uri="{FF2B5EF4-FFF2-40B4-BE49-F238E27FC236}">
                  <a16:creationId xmlns:a16="http://schemas.microsoft.com/office/drawing/2014/main" id="{A77A1861-7ED1-144D-B3E2-460947F002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>
                      <a:extLst>
                        <a:ext uri="{FF2B5EF4-FFF2-40B4-BE49-F238E27FC236}">
                          <a16:creationId xmlns:a16="http://schemas.microsoft.com/office/drawing/2014/main" id="{A77A1861-7ED1-144D-B3E2-460947F002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482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29C0" w14:textId="0F88AB73" w:rsidR="00BC76D7" w:rsidRPr="00C8577C" w:rsidRDefault="00CD1E2F" w:rsidP="00C8577C">
      <w:pPr>
        <w:rPr>
          <w:rFonts w:ascii="Trebuchet MS" w:hAnsi="Trebuchet MS"/>
          <w:sz w:val="20"/>
          <w:lang w:val="en-US"/>
        </w:rPr>
      </w:pPr>
      <w:r w:rsidRPr="00C8577C">
        <w:rPr>
          <w:rFonts w:ascii="Trebuchet MS" w:hAnsi="Trebuchet MS"/>
          <w:sz w:val="20"/>
          <w:u w:val="single"/>
          <w:lang w:val="en-US"/>
        </w:rPr>
        <w:t>Figure 4.</w:t>
      </w:r>
      <w:r w:rsidR="00BC76D7" w:rsidRPr="00C8577C">
        <w:rPr>
          <w:rFonts w:ascii="Trebuchet MS" w:hAnsi="Trebuchet MS"/>
          <w:sz w:val="20"/>
          <w:lang w:val="en-US"/>
        </w:rPr>
        <w:t xml:space="preserve"> Amount of </w:t>
      </w:r>
      <w:r w:rsidR="00BC76D7" w:rsidRPr="00C8577C">
        <w:rPr>
          <w:rFonts w:ascii="Trebuchet MS" w:hAnsi="Trebuchet MS"/>
          <w:i/>
          <w:sz w:val="20"/>
          <w:lang w:val="en-US"/>
        </w:rPr>
        <w:t>Enterobacteriaceae</w:t>
      </w:r>
      <w:r w:rsidR="00BC76D7" w:rsidRPr="00C8577C">
        <w:rPr>
          <w:rFonts w:ascii="Trebuchet MS" w:hAnsi="Trebuchet MS"/>
          <w:sz w:val="20"/>
          <w:lang w:val="en-US"/>
        </w:rPr>
        <w:t xml:space="preserve"> in </w:t>
      </w:r>
      <w:r w:rsidR="00F91CBF" w:rsidRPr="00C8577C">
        <w:rPr>
          <w:rFonts w:ascii="Trebuchet MS" w:hAnsi="Trebuchet MS"/>
          <w:sz w:val="20"/>
          <w:lang w:val="en-US"/>
        </w:rPr>
        <w:t xml:space="preserve">the </w:t>
      </w:r>
      <w:r w:rsidR="00BC76D7" w:rsidRPr="00C8577C">
        <w:rPr>
          <w:rFonts w:ascii="Trebuchet MS" w:hAnsi="Trebuchet MS"/>
          <w:sz w:val="20"/>
          <w:lang w:val="en-US"/>
        </w:rPr>
        <w:t>gut microbiota of CKD patients and control group. CTRL: control group; IRC T0: CKD patients at baseline; IRC T1: CKD patients after 3 months of DBR supplementation; IRC T2: CKD patients after 6 months of DBR supplementation.</w:t>
      </w:r>
    </w:p>
    <w:p w14:paraId="18A195AD" w14:textId="77777777" w:rsidR="00CD1E2F" w:rsidRDefault="00CD1E2F" w:rsidP="00CD1E2F">
      <w:pPr>
        <w:spacing w:line="360" w:lineRule="auto"/>
        <w:rPr>
          <w:rFonts w:ascii="Trebuchet MS" w:hAnsi="Trebuchet MS"/>
          <w:lang w:val="en-US"/>
        </w:rPr>
      </w:pPr>
    </w:p>
    <w:p w14:paraId="09F7C90B" w14:textId="77777777" w:rsidR="000841B1" w:rsidRDefault="000841B1" w:rsidP="000841B1">
      <w:pPr>
        <w:spacing w:line="360" w:lineRule="auto"/>
        <w:jc w:val="center"/>
        <w:rPr>
          <w:rFonts w:ascii="Trebuchet MS" w:hAnsi="Trebuchet MS"/>
          <w:lang w:val="en-US"/>
        </w:rPr>
      </w:pPr>
      <w:r w:rsidRPr="000841B1">
        <w:rPr>
          <w:rFonts w:ascii="Trebuchet MS" w:hAnsi="Trebuchet MS"/>
          <w:noProof/>
        </w:rPr>
        <w:drawing>
          <wp:inline distT="0" distB="0" distL="0" distR="0" wp14:anchorId="54434B11" wp14:editId="34A39F8C">
            <wp:extent cx="2880000" cy="2826552"/>
            <wp:effectExtent l="0" t="0" r="3175" b="5715"/>
            <wp:docPr id="17414" name="Immagine 13">
              <a:extLst xmlns:a="http://schemas.openxmlformats.org/drawingml/2006/main">
                <a:ext uri="{FF2B5EF4-FFF2-40B4-BE49-F238E27FC236}">
                  <a16:creationId xmlns:a16="http://schemas.microsoft.com/office/drawing/2014/main" id="{D8B6CE7D-5EB5-7444-AD70-69E210EB9E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Immagine 13">
                      <a:extLst>
                        <a:ext uri="{FF2B5EF4-FFF2-40B4-BE49-F238E27FC236}">
                          <a16:creationId xmlns:a16="http://schemas.microsoft.com/office/drawing/2014/main" id="{D8B6CE7D-5EB5-7444-AD70-69E210EB9E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2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7182" w14:textId="79DED91C" w:rsidR="00967D40" w:rsidRPr="00C8577C" w:rsidRDefault="000841B1" w:rsidP="00C8577C">
      <w:pPr>
        <w:jc w:val="both"/>
        <w:rPr>
          <w:rFonts w:ascii="Trebuchet MS" w:hAnsi="Trebuchet MS"/>
          <w:sz w:val="20"/>
          <w:lang w:val="en-US"/>
        </w:rPr>
      </w:pPr>
      <w:r w:rsidRPr="00C8577C">
        <w:rPr>
          <w:rFonts w:ascii="Trebuchet MS" w:hAnsi="Trebuchet MS"/>
          <w:sz w:val="20"/>
          <w:u w:val="single"/>
          <w:lang w:val="en-US"/>
        </w:rPr>
        <w:t>Figure 5</w:t>
      </w:r>
      <w:r w:rsidR="00967D40" w:rsidRPr="00C8577C">
        <w:rPr>
          <w:rFonts w:ascii="Trebuchet MS" w:hAnsi="Trebuchet MS"/>
          <w:sz w:val="20"/>
          <w:u w:val="single"/>
          <w:lang w:val="en-US"/>
        </w:rPr>
        <w:t>.</w:t>
      </w:r>
      <w:r w:rsidR="00967D40" w:rsidRPr="00C8577C">
        <w:rPr>
          <w:rFonts w:ascii="Trebuchet MS" w:hAnsi="Trebuchet MS"/>
          <w:sz w:val="20"/>
          <w:lang w:val="en-US"/>
        </w:rPr>
        <w:t xml:space="preserve"> Alpha-diversity (</w:t>
      </w:r>
      <w:r w:rsidR="00F91CBF" w:rsidRPr="00C8577C">
        <w:rPr>
          <w:rFonts w:ascii="Trebuchet MS" w:hAnsi="Trebuchet MS"/>
          <w:sz w:val="20"/>
          <w:lang w:val="en-US"/>
        </w:rPr>
        <w:t>Shannon</w:t>
      </w:r>
      <w:r w:rsidR="00967D40" w:rsidRPr="00C8577C">
        <w:rPr>
          <w:rFonts w:ascii="Trebuchet MS" w:hAnsi="Trebuchet MS"/>
          <w:sz w:val="20"/>
          <w:lang w:val="en-US"/>
        </w:rPr>
        <w:t xml:space="preserve"> Index) in </w:t>
      </w:r>
      <w:r w:rsidR="00F91CBF" w:rsidRPr="00C8577C">
        <w:rPr>
          <w:rFonts w:ascii="Trebuchet MS" w:hAnsi="Trebuchet MS"/>
          <w:sz w:val="20"/>
          <w:lang w:val="en-US"/>
        </w:rPr>
        <w:t xml:space="preserve">the </w:t>
      </w:r>
      <w:r w:rsidR="00967D40" w:rsidRPr="00C8577C">
        <w:rPr>
          <w:rFonts w:ascii="Trebuchet MS" w:hAnsi="Trebuchet MS"/>
          <w:sz w:val="20"/>
          <w:lang w:val="en-US"/>
        </w:rPr>
        <w:t>gut microbiota of CKD patients and control group. CTRL: control group; IRC T0: CKD patients at baseline; IRC T1: CKD patients after 3 months of DBR supplementation; IRC T2: CKD patients after 6 months of DBR supplementation.</w:t>
      </w:r>
    </w:p>
    <w:p w14:paraId="4D5738C8" w14:textId="77777777" w:rsidR="000841B1" w:rsidRDefault="000841B1" w:rsidP="000841B1">
      <w:pPr>
        <w:spacing w:line="360" w:lineRule="auto"/>
        <w:rPr>
          <w:rFonts w:ascii="Trebuchet MS" w:hAnsi="Trebuchet MS"/>
          <w:lang w:val="en-US"/>
        </w:rPr>
      </w:pPr>
    </w:p>
    <w:p w14:paraId="262A1F1C" w14:textId="77777777" w:rsidR="00857690" w:rsidRDefault="00857690" w:rsidP="000841B1">
      <w:pPr>
        <w:spacing w:line="360" w:lineRule="auto"/>
        <w:rPr>
          <w:rFonts w:ascii="Trebuchet MS" w:hAnsi="Trebuchet MS"/>
          <w:lang w:val="en-US"/>
        </w:rPr>
      </w:pPr>
    </w:p>
    <w:p w14:paraId="38F84678" w14:textId="77777777" w:rsidR="00857690" w:rsidRDefault="00857690" w:rsidP="000841B1">
      <w:pPr>
        <w:spacing w:line="360" w:lineRule="auto"/>
        <w:rPr>
          <w:rFonts w:ascii="Trebuchet MS" w:hAnsi="Trebuchet MS"/>
          <w:lang w:val="en-US"/>
        </w:rPr>
      </w:pPr>
      <w:r w:rsidRPr="00857690">
        <w:rPr>
          <w:rFonts w:ascii="Trebuchet MS" w:hAnsi="Trebuchet MS"/>
          <w:noProof/>
        </w:rPr>
        <w:drawing>
          <wp:inline distT="0" distB="0" distL="0" distR="0" wp14:anchorId="042C8592" wp14:editId="3B0CDEFF">
            <wp:extent cx="6216187" cy="4378178"/>
            <wp:effectExtent l="0" t="0" r="0" b="3810"/>
            <wp:docPr id="23557" name="Immagine 7">
              <a:extLst xmlns:a="http://schemas.openxmlformats.org/drawingml/2006/main">
                <a:ext uri="{FF2B5EF4-FFF2-40B4-BE49-F238E27FC236}">
                  <a16:creationId xmlns:a16="http://schemas.microsoft.com/office/drawing/2014/main" id="{E725D478-D2A0-C444-B024-68460965A4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Immagine 7">
                      <a:extLst>
                        <a:ext uri="{FF2B5EF4-FFF2-40B4-BE49-F238E27FC236}">
                          <a16:creationId xmlns:a16="http://schemas.microsoft.com/office/drawing/2014/main" id="{E725D478-D2A0-C444-B024-68460965A4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32" cy="43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4682" w14:textId="6A31BC84" w:rsidR="006A5DA5" w:rsidRPr="00C8577C" w:rsidRDefault="00D844C2" w:rsidP="00C8577C">
      <w:pPr>
        <w:jc w:val="both"/>
        <w:rPr>
          <w:rFonts w:ascii="Trebuchet MS" w:hAnsi="Trebuchet MS"/>
          <w:i/>
          <w:sz w:val="20"/>
          <w:lang w:val="en-US"/>
        </w:rPr>
      </w:pPr>
      <w:r w:rsidRPr="00C8577C">
        <w:rPr>
          <w:rFonts w:ascii="Trebuchet MS" w:hAnsi="Trebuchet MS"/>
          <w:i/>
          <w:sz w:val="20"/>
          <w:u w:val="single"/>
          <w:lang w:val="en-US"/>
        </w:rPr>
        <w:t>Figure</w:t>
      </w:r>
      <w:r w:rsidR="006A5DA5" w:rsidRPr="00C8577C">
        <w:rPr>
          <w:rFonts w:ascii="Trebuchet MS" w:hAnsi="Trebuchet MS"/>
          <w:i/>
          <w:sz w:val="20"/>
          <w:u w:val="single"/>
          <w:lang w:val="en-US"/>
        </w:rPr>
        <w:t xml:space="preserve"> 6.</w:t>
      </w:r>
      <w:r w:rsidR="006A5DA5" w:rsidRPr="00C8577C">
        <w:rPr>
          <w:rFonts w:ascii="Trebuchet MS" w:hAnsi="Trebuchet MS"/>
          <w:i/>
          <w:sz w:val="20"/>
          <w:lang w:val="en-US"/>
        </w:rPr>
        <w:t xml:space="preserve"> Levels of </w:t>
      </w:r>
      <w:r w:rsidR="004D02D3" w:rsidRPr="00C8577C">
        <w:rPr>
          <w:rFonts w:ascii="Trebuchet MS" w:hAnsi="Trebuchet MS"/>
          <w:i/>
          <w:sz w:val="20"/>
          <w:lang w:val="en-US"/>
        </w:rPr>
        <w:t xml:space="preserve">total and free </w:t>
      </w:r>
      <w:r w:rsidR="006A5DA5" w:rsidRPr="00C8577C">
        <w:rPr>
          <w:rFonts w:ascii="Trebuchet MS" w:hAnsi="Trebuchet MS"/>
          <w:i/>
          <w:sz w:val="20"/>
          <w:lang w:val="en-US"/>
        </w:rPr>
        <w:t>uremic toxins in CKD patients. IRC T0: CKD patients at baseline; IRC T1: CKD patients after 3 months of DBR supplementation; IRC T2: CKD patients after 6 months of DBR supplementation; IS, indoxyl sulfate; PC</w:t>
      </w:r>
      <w:r w:rsidR="004D02D3" w:rsidRPr="00C8577C">
        <w:rPr>
          <w:rFonts w:ascii="Trebuchet MS" w:hAnsi="Trebuchet MS"/>
          <w:i/>
          <w:sz w:val="20"/>
          <w:lang w:val="en-US"/>
        </w:rPr>
        <w:t>S, p-</w:t>
      </w:r>
      <w:proofErr w:type="spellStart"/>
      <w:r w:rsidR="004D02D3" w:rsidRPr="00C8577C">
        <w:rPr>
          <w:rFonts w:ascii="Trebuchet MS" w:hAnsi="Trebuchet MS"/>
          <w:i/>
          <w:sz w:val="20"/>
          <w:lang w:val="en-US"/>
        </w:rPr>
        <w:t>cresyl</w:t>
      </w:r>
      <w:proofErr w:type="spellEnd"/>
      <w:r w:rsidR="004D02D3" w:rsidRPr="00C8577C">
        <w:rPr>
          <w:rFonts w:ascii="Trebuchet MS" w:hAnsi="Trebuchet MS"/>
          <w:i/>
          <w:sz w:val="20"/>
          <w:lang w:val="en-US"/>
        </w:rPr>
        <w:t xml:space="preserve"> </w:t>
      </w:r>
      <w:r w:rsidR="00F91CBF" w:rsidRPr="00C8577C">
        <w:rPr>
          <w:rFonts w:ascii="Trebuchet MS" w:hAnsi="Trebuchet MS"/>
          <w:i/>
          <w:sz w:val="20"/>
          <w:lang w:val="en-US"/>
        </w:rPr>
        <w:t>sulfate</w:t>
      </w:r>
      <w:r w:rsidR="004D02D3" w:rsidRPr="00C8577C">
        <w:rPr>
          <w:rFonts w:ascii="Trebuchet MS" w:hAnsi="Trebuchet MS"/>
          <w:i/>
          <w:sz w:val="20"/>
          <w:lang w:val="en-US"/>
        </w:rPr>
        <w:t>.</w:t>
      </w:r>
    </w:p>
    <w:p w14:paraId="4A01A5B2" w14:textId="77777777" w:rsidR="00B940B1" w:rsidRDefault="00B940B1" w:rsidP="006A5DA5">
      <w:pPr>
        <w:spacing w:line="360" w:lineRule="auto"/>
        <w:jc w:val="both"/>
        <w:rPr>
          <w:rFonts w:ascii="Trebuchet MS" w:hAnsi="Trebuchet MS"/>
          <w:lang w:val="en-US"/>
        </w:rPr>
      </w:pPr>
    </w:p>
    <w:p w14:paraId="3C3E678B" w14:textId="77777777" w:rsidR="00B940B1" w:rsidRPr="00C8577C" w:rsidRDefault="00B940B1" w:rsidP="006A5DA5">
      <w:pPr>
        <w:spacing w:line="360" w:lineRule="auto"/>
        <w:jc w:val="both"/>
        <w:rPr>
          <w:rFonts w:ascii="Trebuchet MS" w:hAnsi="Trebuchet MS"/>
          <w:b/>
          <w:u w:val="single"/>
          <w:lang w:val="en-US"/>
        </w:rPr>
      </w:pPr>
      <w:r w:rsidRPr="00C8577C">
        <w:rPr>
          <w:rFonts w:ascii="Trebuchet MS" w:hAnsi="Trebuchet MS"/>
          <w:b/>
          <w:u w:val="single"/>
          <w:lang w:val="en-US"/>
        </w:rPr>
        <w:t>References</w:t>
      </w:r>
    </w:p>
    <w:p w14:paraId="41171D15" w14:textId="77777777" w:rsidR="00B940B1" w:rsidRDefault="00C80E19" w:rsidP="00204043">
      <w:pPr>
        <w:jc w:val="both"/>
        <w:rPr>
          <w:lang w:val="en-US"/>
        </w:rPr>
      </w:pPr>
      <w:r w:rsidRPr="00204043">
        <w:rPr>
          <w:lang w:val="en-US"/>
        </w:rPr>
        <w:t>Kidney Disease: Improving Global Outcomes (KDIGO) CKD Work Group. KDIGO 2012 Clinical</w:t>
      </w:r>
      <w:r w:rsidR="00204043">
        <w:rPr>
          <w:lang w:val="en-US"/>
        </w:rPr>
        <w:t xml:space="preserve"> </w:t>
      </w:r>
      <w:r w:rsidRPr="00204043">
        <w:rPr>
          <w:lang w:val="en-US"/>
        </w:rPr>
        <w:t>Practice Guideline for the Evaluation and Management of Chronic Kidney Disease. Kidney inter., Suppl. 2013; 3: 1–150.</w:t>
      </w:r>
    </w:p>
    <w:p w14:paraId="2EC38373" w14:textId="77777777" w:rsidR="00AC0349" w:rsidRDefault="00AC0349" w:rsidP="00204043">
      <w:pPr>
        <w:jc w:val="both"/>
        <w:rPr>
          <w:lang w:val="en-US"/>
        </w:rPr>
      </w:pPr>
    </w:p>
    <w:p w14:paraId="1D969DEF" w14:textId="77777777" w:rsidR="00AC0349" w:rsidRDefault="00AC0349" w:rsidP="00204043">
      <w:pPr>
        <w:jc w:val="both"/>
        <w:rPr>
          <w:lang w:val="en-US"/>
        </w:rPr>
      </w:pPr>
      <w:r w:rsidRPr="00AC0349">
        <w:rPr>
          <w:lang w:val="en-US"/>
        </w:rPr>
        <w:t xml:space="preserve">M. Van Der Velde et al., “Lower estimated glomerular filtration rate and higher albuminuria are associated with all-cause and cardiovascular mortality. A collaborative meta-analysis of high-risk population cohorts,” Kidney International, 2011, </w:t>
      </w:r>
      <w:proofErr w:type="spellStart"/>
      <w:r w:rsidRPr="00AC0349">
        <w:rPr>
          <w:lang w:val="en-US"/>
        </w:rPr>
        <w:t>doi</w:t>
      </w:r>
      <w:proofErr w:type="spellEnd"/>
      <w:r w:rsidRPr="00AC0349">
        <w:rPr>
          <w:lang w:val="en-US"/>
        </w:rPr>
        <w:t>: 10.1038/ki.2010.536.</w:t>
      </w:r>
    </w:p>
    <w:p w14:paraId="3635946B" w14:textId="77777777" w:rsidR="00204043" w:rsidRPr="00204043" w:rsidRDefault="00204043" w:rsidP="00204043">
      <w:pPr>
        <w:jc w:val="both"/>
        <w:rPr>
          <w:lang w:val="en-US"/>
        </w:rPr>
      </w:pPr>
    </w:p>
    <w:p w14:paraId="408BA85C" w14:textId="77777777" w:rsidR="00204043" w:rsidRPr="008E727C" w:rsidRDefault="00204043" w:rsidP="00204043">
      <w:pPr>
        <w:jc w:val="both"/>
        <w:rPr>
          <w:lang w:val="en-US"/>
        </w:rPr>
      </w:pPr>
      <w:r w:rsidRPr="00204043">
        <w:rPr>
          <w:lang w:val="en-US"/>
        </w:rPr>
        <w:t xml:space="preserve">E. Riccio, A. Di Nuzzi, and A. Pisani, “Nutritional treatment in chronic kidney disease: the concept of nephroprotection,” </w:t>
      </w:r>
      <w:r w:rsidRPr="00204043">
        <w:rPr>
          <w:i/>
          <w:iCs/>
          <w:lang w:val="en-US"/>
        </w:rPr>
        <w:t>Clinical and Experimental Nephrology</w:t>
      </w:r>
      <w:r w:rsidRPr="00204043">
        <w:rPr>
          <w:lang w:val="en-US"/>
        </w:rPr>
        <w:t xml:space="preserve">, vol. 19, no. 2. </w:t>
      </w:r>
      <w:r w:rsidRPr="008E727C">
        <w:rPr>
          <w:lang w:val="en-US"/>
        </w:rPr>
        <w:t xml:space="preserve">Springer-Verlag Tokyo, pp. 161–167, Apr. 01, 2015. </w:t>
      </w:r>
      <w:proofErr w:type="spellStart"/>
      <w:r w:rsidRPr="008E727C">
        <w:rPr>
          <w:lang w:val="en-US"/>
        </w:rPr>
        <w:t>doi</w:t>
      </w:r>
      <w:proofErr w:type="spellEnd"/>
      <w:r w:rsidRPr="008E727C">
        <w:rPr>
          <w:lang w:val="en-US"/>
        </w:rPr>
        <w:t xml:space="preserve">: 10.1007/s10157-014-1041-7. </w:t>
      </w:r>
    </w:p>
    <w:p w14:paraId="48C6A2F2" w14:textId="77777777" w:rsidR="00B853E9" w:rsidRPr="008E727C" w:rsidRDefault="00B853E9" w:rsidP="00204043">
      <w:pPr>
        <w:jc w:val="both"/>
        <w:rPr>
          <w:lang w:val="en-US"/>
        </w:rPr>
      </w:pPr>
    </w:p>
    <w:p w14:paraId="0765E95F" w14:textId="77777777" w:rsidR="002148B0" w:rsidRPr="008E727C" w:rsidRDefault="00B853E9" w:rsidP="002148B0">
      <w:pPr>
        <w:jc w:val="both"/>
        <w:rPr>
          <w:lang w:val="en-US"/>
        </w:rPr>
      </w:pPr>
      <w:r w:rsidRPr="00AC0349">
        <w:rPr>
          <w:lang w:val="en-US"/>
        </w:rPr>
        <w:t>V. M. R. et al. Krishnamurthy, “High dietary fiber intake is associated with decreased inflammation and all- cause mortality in patients with chronic kidney disease</w:t>
      </w:r>
      <w:proofErr w:type="gramStart"/>
      <w:r w:rsidRPr="00AC0349">
        <w:rPr>
          <w:lang w:val="en-US"/>
        </w:rPr>
        <w:t>. ,</w:t>
      </w:r>
      <w:proofErr w:type="gramEnd"/>
      <w:r w:rsidRPr="00AC0349">
        <w:rPr>
          <w:lang w:val="en-US"/>
        </w:rPr>
        <w:t xml:space="preserve">” </w:t>
      </w:r>
      <w:r w:rsidRPr="00AC0349">
        <w:rPr>
          <w:i/>
          <w:iCs/>
          <w:lang w:val="en-US"/>
        </w:rPr>
        <w:t xml:space="preserve">Kidney Int. </w:t>
      </w:r>
      <w:r w:rsidRPr="008E727C">
        <w:rPr>
          <w:i/>
          <w:iCs/>
          <w:lang w:val="en-US"/>
        </w:rPr>
        <w:t>(2012). doi:10.1038/ki.2011.355</w:t>
      </w:r>
      <w:r w:rsidRPr="008E727C">
        <w:rPr>
          <w:lang w:val="en-US"/>
        </w:rPr>
        <w:t xml:space="preserve">. </w:t>
      </w:r>
    </w:p>
    <w:p w14:paraId="6BB6919D" w14:textId="77777777" w:rsidR="002148B0" w:rsidRPr="008E727C" w:rsidRDefault="002148B0" w:rsidP="002148B0">
      <w:pPr>
        <w:jc w:val="both"/>
        <w:rPr>
          <w:lang w:val="en-US"/>
        </w:rPr>
      </w:pPr>
    </w:p>
    <w:p w14:paraId="55FD2567" w14:textId="77777777" w:rsidR="002148B0" w:rsidRPr="008E727C" w:rsidRDefault="002148B0" w:rsidP="002148B0">
      <w:pPr>
        <w:jc w:val="both"/>
        <w:rPr>
          <w:lang w:val="en-US"/>
        </w:rPr>
      </w:pPr>
      <w:r w:rsidRPr="002148B0">
        <w:rPr>
          <w:lang w:val="en-US"/>
        </w:rPr>
        <w:t xml:space="preserve">S. Al </w:t>
      </w:r>
      <w:proofErr w:type="spellStart"/>
      <w:r w:rsidRPr="002148B0">
        <w:rPr>
          <w:lang w:val="en-US"/>
        </w:rPr>
        <w:t>Khodor</w:t>
      </w:r>
      <w:proofErr w:type="spellEnd"/>
      <w:r w:rsidRPr="002148B0">
        <w:rPr>
          <w:lang w:val="en-US"/>
        </w:rPr>
        <w:t xml:space="preserve"> and I. F. </w:t>
      </w:r>
      <w:proofErr w:type="spellStart"/>
      <w:r w:rsidRPr="002148B0">
        <w:rPr>
          <w:lang w:val="en-US"/>
        </w:rPr>
        <w:t>Shatat</w:t>
      </w:r>
      <w:proofErr w:type="spellEnd"/>
      <w:r w:rsidRPr="002148B0">
        <w:rPr>
          <w:lang w:val="en-US"/>
        </w:rPr>
        <w:t xml:space="preserve">, “Gut microbiome and kidney disease: a bidirectional relationship,” </w:t>
      </w:r>
      <w:r w:rsidRPr="002148B0">
        <w:rPr>
          <w:i/>
          <w:iCs/>
          <w:lang w:val="en-US"/>
        </w:rPr>
        <w:t>Pediatric Nephrology</w:t>
      </w:r>
      <w:r w:rsidRPr="002148B0">
        <w:rPr>
          <w:lang w:val="en-US"/>
        </w:rPr>
        <w:t xml:space="preserve">. </w:t>
      </w:r>
      <w:r w:rsidRPr="008E727C">
        <w:rPr>
          <w:lang w:val="en-US"/>
        </w:rPr>
        <w:t xml:space="preserve">2017. </w:t>
      </w:r>
      <w:proofErr w:type="spellStart"/>
      <w:r w:rsidRPr="008E727C">
        <w:rPr>
          <w:lang w:val="en-US"/>
        </w:rPr>
        <w:t>doi</w:t>
      </w:r>
      <w:proofErr w:type="spellEnd"/>
      <w:r w:rsidRPr="008E727C">
        <w:rPr>
          <w:lang w:val="en-US"/>
        </w:rPr>
        <w:t xml:space="preserve">: 10.1007/s00467-016-3392-7. </w:t>
      </w:r>
    </w:p>
    <w:p w14:paraId="6B90B383" w14:textId="77777777" w:rsidR="00EA6783" w:rsidRPr="008E727C" w:rsidRDefault="00EA6783" w:rsidP="002148B0">
      <w:pPr>
        <w:jc w:val="both"/>
        <w:rPr>
          <w:lang w:val="en-US"/>
        </w:rPr>
      </w:pPr>
    </w:p>
    <w:p w14:paraId="2943934A" w14:textId="77777777" w:rsidR="00EA6783" w:rsidRDefault="00EA6783" w:rsidP="002148B0">
      <w:pPr>
        <w:jc w:val="both"/>
        <w:rPr>
          <w:lang w:val="en-US"/>
        </w:rPr>
      </w:pPr>
      <w:r w:rsidRPr="00EA6783">
        <w:rPr>
          <w:lang w:val="en-US"/>
        </w:rPr>
        <w:t xml:space="preserve">H. </w:t>
      </w:r>
      <w:proofErr w:type="spellStart"/>
      <w:r w:rsidRPr="00EA6783">
        <w:rPr>
          <w:lang w:val="en-US"/>
        </w:rPr>
        <w:t>Fujii</w:t>
      </w:r>
      <w:proofErr w:type="spellEnd"/>
      <w:r w:rsidRPr="00EA6783">
        <w:rPr>
          <w:lang w:val="en-US"/>
        </w:rPr>
        <w:t xml:space="preserve">, K. </w:t>
      </w:r>
      <w:proofErr w:type="spellStart"/>
      <w:r w:rsidRPr="00EA6783">
        <w:rPr>
          <w:lang w:val="en-US"/>
        </w:rPr>
        <w:t>Nakai</w:t>
      </w:r>
      <w:proofErr w:type="spellEnd"/>
      <w:r w:rsidRPr="00EA6783">
        <w:rPr>
          <w:lang w:val="en-US"/>
        </w:rPr>
        <w:t xml:space="preserve">, and M. </w:t>
      </w:r>
      <w:proofErr w:type="spellStart"/>
      <w:r w:rsidRPr="00EA6783">
        <w:rPr>
          <w:lang w:val="en-US"/>
        </w:rPr>
        <w:t>Fukagawa</w:t>
      </w:r>
      <w:proofErr w:type="spellEnd"/>
      <w:r w:rsidRPr="00EA6783">
        <w:rPr>
          <w:lang w:val="en-US"/>
        </w:rPr>
        <w:t xml:space="preserve">, “Role of Oxidative Stress and Indoxyl Sulfate in Progression of Cardiovascular Disease in Chronic Kidney Disease,” Therapeutic Apheresis and Dialysis, vol. 15, no. 2, pp. 125– 128, Apr. 2011, </w:t>
      </w:r>
      <w:proofErr w:type="spellStart"/>
      <w:r w:rsidRPr="00EA6783">
        <w:rPr>
          <w:lang w:val="en-US"/>
        </w:rPr>
        <w:t>doi</w:t>
      </w:r>
      <w:proofErr w:type="spellEnd"/>
      <w:r w:rsidRPr="00EA6783">
        <w:rPr>
          <w:lang w:val="en-US"/>
        </w:rPr>
        <w:t>: 10.1111/j.1744-9987.2010.</w:t>
      </w:r>
      <w:proofErr w:type="gramStart"/>
      <w:r w:rsidRPr="00EA6783">
        <w:rPr>
          <w:lang w:val="en-US"/>
        </w:rPr>
        <w:t>00883.x.</w:t>
      </w:r>
      <w:proofErr w:type="gramEnd"/>
    </w:p>
    <w:p w14:paraId="20764A89" w14:textId="77777777" w:rsidR="00EA6783" w:rsidRDefault="00EA6783" w:rsidP="002148B0">
      <w:pPr>
        <w:jc w:val="both"/>
        <w:rPr>
          <w:lang w:val="en-US"/>
        </w:rPr>
      </w:pPr>
    </w:p>
    <w:p w14:paraId="75163CA3" w14:textId="77777777" w:rsidR="00EA6783" w:rsidRDefault="00EA6783" w:rsidP="002148B0">
      <w:pPr>
        <w:jc w:val="both"/>
        <w:rPr>
          <w:lang w:val="en-US"/>
        </w:rPr>
      </w:pPr>
      <w:r w:rsidRPr="00EA6783">
        <w:rPr>
          <w:lang w:val="en-US"/>
        </w:rPr>
        <w:t xml:space="preserve">M. B. </w:t>
      </w:r>
      <w:proofErr w:type="spellStart"/>
      <w:r w:rsidRPr="00EA6783">
        <w:rPr>
          <w:lang w:val="en-US"/>
        </w:rPr>
        <w:t>Stockler</w:t>
      </w:r>
      <w:proofErr w:type="spellEnd"/>
      <w:r w:rsidRPr="00EA6783">
        <w:rPr>
          <w:lang w:val="en-US"/>
        </w:rPr>
        <w:t xml:space="preserve">-Pinto, D. </w:t>
      </w:r>
      <w:proofErr w:type="spellStart"/>
      <w:r w:rsidRPr="00EA6783">
        <w:rPr>
          <w:lang w:val="en-US"/>
        </w:rPr>
        <w:t>Fouque</w:t>
      </w:r>
      <w:proofErr w:type="spellEnd"/>
      <w:r w:rsidRPr="00EA6783">
        <w:rPr>
          <w:lang w:val="en-US"/>
        </w:rPr>
        <w:t xml:space="preserve">, C. O. </w:t>
      </w:r>
      <w:proofErr w:type="spellStart"/>
      <w:r w:rsidRPr="00EA6783">
        <w:rPr>
          <w:lang w:val="en-US"/>
        </w:rPr>
        <w:t>Soulage</w:t>
      </w:r>
      <w:proofErr w:type="spellEnd"/>
      <w:r w:rsidRPr="00EA6783">
        <w:rPr>
          <w:lang w:val="en-US"/>
        </w:rPr>
        <w:t xml:space="preserve">, M. </w:t>
      </w:r>
      <w:proofErr w:type="spellStart"/>
      <w:r w:rsidRPr="00EA6783">
        <w:rPr>
          <w:lang w:val="en-US"/>
        </w:rPr>
        <w:t>Croze</w:t>
      </w:r>
      <w:proofErr w:type="spellEnd"/>
      <w:r w:rsidRPr="00EA6783">
        <w:rPr>
          <w:lang w:val="en-US"/>
        </w:rPr>
        <w:t xml:space="preserve">, and D. </w:t>
      </w:r>
      <w:proofErr w:type="spellStart"/>
      <w:r w:rsidRPr="00EA6783">
        <w:rPr>
          <w:lang w:val="en-US"/>
        </w:rPr>
        <w:t>Mafra</w:t>
      </w:r>
      <w:proofErr w:type="spellEnd"/>
      <w:r w:rsidRPr="00EA6783">
        <w:rPr>
          <w:lang w:val="en-US"/>
        </w:rPr>
        <w:t>, “Indoxyl Sulfate and p-</w:t>
      </w:r>
      <w:proofErr w:type="spellStart"/>
      <w:r w:rsidRPr="00EA6783">
        <w:rPr>
          <w:lang w:val="en-US"/>
        </w:rPr>
        <w:t>Cresyl</w:t>
      </w:r>
      <w:proofErr w:type="spellEnd"/>
      <w:r w:rsidRPr="00EA6783">
        <w:rPr>
          <w:lang w:val="en-US"/>
        </w:rPr>
        <w:t xml:space="preserve"> Sulfate in Chronic Kidney Disease. Could These Toxins Modulate the Antioxidant Nrf2-Keap1 </w:t>
      </w:r>
      <w:proofErr w:type="gramStart"/>
      <w:r w:rsidRPr="00EA6783">
        <w:rPr>
          <w:lang w:val="en-US"/>
        </w:rPr>
        <w:t>Pathway?,</w:t>
      </w:r>
      <w:proofErr w:type="gramEnd"/>
      <w:r w:rsidRPr="00EA6783">
        <w:rPr>
          <w:lang w:val="en-US"/>
        </w:rPr>
        <w:t xml:space="preserve">” Journal of Renal Nutrition, vol. 24, no. 5, pp. 286–291, Jan. 2014, </w:t>
      </w:r>
      <w:proofErr w:type="spellStart"/>
      <w:r w:rsidRPr="00EA6783">
        <w:rPr>
          <w:lang w:val="en-US"/>
        </w:rPr>
        <w:t>doi</w:t>
      </w:r>
      <w:proofErr w:type="spellEnd"/>
      <w:r w:rsidRPr="00EA6783">
        <w:rPr>
          <w:lang w:val="en-US"/>
        </w:rPr>
        <w:t>: 10.1053/j.jrn.2013.11.006.</w:t>
      </w:r>
    </w:p>
    <w:p w14:paraId="7121355E" w14:textId="77777777" w:rsidR="006946E9" w:rsidRDefault="006946E9" w:rsidP="002148B0">
      <w:pPr>
        <w:jc w:val="both"/>
        <w:rPr>
          <w:lang w:val="en-US"/>
        </w:rPr>
      </w:pPr>
    </w:p>
    <w:p w14:paraId="2209569B" w14:textId="77777777" w:rsidR="006946E9" w:rsidRPr="00EA6783" w:rsidRDefault="006946E9" w:rsidP="006946E9">
      <w:pPr>
        <w:jc w:val="both"/>
        <w:rPr>
          <w:lang w:val="en-US"/>
        </w:rPr>
      </w:pPr>
      <w:r w:rsidRPr="006946E9">
        <w:rPr>
          <w:lang w:val="en-US"/>
        </w:rPr>
        <w:t>E. Castillo-Rodriguez et al., “Impact of Altered Intestinal Microbiota on Chronic Kidney Disease Progression,”</w:t>
      </w:r>
      <w:r w:rsidR="0071216E">
        <w:rPr>
          <w:lang w:val="en-US"/>
        </w:rPr>
        <w:t xml:space="preserve"> </w:t>
      </w:r>
      <w:r w:rsidRPr="006946E9">
        <w:rPr>
          <w:lang w:val="en-US"/>
        </w:rPr>
        <w:t xml:space="preserve">Toxins, vol. 10, no. 7, p. 300, Jul. 2018, </w:t>
      </w:r>
      <w:proofErr w:type="spellStart"/>
      <w:r w:rsidRPr="006946E9">
        <w:rPr>
          <w:lang w:val="en-US"/>
        </w:rPr>
        <w:t>doi</w:t>
      </w:r>
      <w:proofErr w:type="spellEnd"/>
      <w:r w:rsidRPr="006946E9">
        <w:rPr>
          <w:lang w:val="en-US"/>
        </w:rPr>
        <w:t>: 10.3390/toxins10070300.</w:t>
      </w:r>
    </w:p>
    <w:p w14:paraId="5B4C2ABC" w14:textId="77777777" w:rsidR="002148B0" w:rsidRPr="00EA6783" w:rsidRDefault="002148B0" w:rsidP="00B853E9">
      <w:pPr>
        <w:jc w:val="both"/>
        <w:rPr>
          <w:lang w:val="en-US"/>
        </w:rPr>
      </w:pPr>
    </w:p>
    <w:p w14:paraId="14105181" w14:textId="77777777" w:rsidR="00B853E9" w:rsidRPr="00EA6783" w:rsidRDefault="00B853E9" w:rsidP="00204043">
      <w:pPr>
        <w:jc w:val="both"/>
        <w:rPr>
          <w:lang w:val="en-US"/>
        </w:rPr>
      </w:pPr>
    </w:p>
    <w:p w14:paraId="51138838" w14:textId="77777777" w:rsidR="00204043" w:rsidRPr="00204043" w:rsidRDefault="00204043" w:rsidP="00204043">
      <w:pPr>
        <w:spacing w:line="360" w:lineRule="auto"/>
        <w:jc w:val="both"/>
        <w:rPr>
          <w:rFonts w:ascii="Trebuchet MS" w:hAnsi="Trebuchet MS"/>
          <w:lang w:val="en-US"/>
        </w:rPr>
      </w:pPr>
    </w:p>
    <w:p w14:paraId="755DBBAF" w14:textId="5D42829F" w:rsidR="00D844C2" w:rsidRPr="00BE49C9" w:rsidRDefault="00C8577C" w:rsidP="000841B1">
      <w:pPr>
        <w:spacing w:line="36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Milano May 3</w:t>
      </w:r>
      <w:r w:rsidRPr="00C8577C">
        <w:rPr>
          <w:rFonts w:ascii="Trebuchet MS" w:hAnsi="Trebuchet MS"/>
          <w:vertAlign w:val="superscript"/>
          <w:lang w:val="en-US"/>
        </w:rPr>
        <w:t>rd</w:t>
      </w:r>
      <w:r>
        <w:rPr>
          <w:rFonts w:ascii="Trebuchet MS" w:hAnsi="Trebuchet MS"/>
          <w:lang w:val="en-US"/>
        </w:rPr>
        <w:t xml:space="preserve"> 2023</w:t>
      </w:r>
    </w:p>
    <w:sectPr w:rsidR="00D844C2" w:rsidRPr="00BE49C9" w:rsidSect="003802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44894" w14:textId="77777777" w:rsidR="00B65381" w:rsidRDefault="00B65381" w:rsidP="00F91CBF">
      <w:r>
        <w:separator/>
      </w:r>
    </w:p>
  </w:endnote>
  <w:endnote w:type="continuationSeparator" w:id="0">
    <w:p w14:paraId="4D97C3E5" w14:textId="77777777" w:rsidR="00B65381" w:rsidRDefault="00B65381" w:rsidP="00F9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BB92" w14:textId="77777777" w:rsidR="00C8577C" w:rsidRDefault="00C857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063792"/>
      <w:docPartObj>
        <w:docPartGallery w:val="Page Numbers (Bottom of Page)"/>
        <w:docPartUnique/>
      </w:docPartObj>
    </w:sdtPr>
    <w:sdtContent>
      <w:p w14:paraId="3A272AB7" w14:textId="5B81A7BA" w:rsidR="00C8577C" w:rsidRDefault="00C857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9F615" w14:textId="77777777" w:rsidR="00C8577C" w:rsidRDefault="00C857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8800" w14:textId="77777777" w:rsidR="00C8577C" w:rsidRDefault="00C857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71A9" w14:textId="77777777" w:rsidR="00B65381" w:rsidRDefault="00B65381" w:rsidP="00F91CBF">
      <w:r>
        <w:separator/>
      </w:r>
    </w:p>
  </w:footnote>
  <w:footnote w:type="continuationSeparator" w:id="0">
    <w:p w14:paraId="6C14DB42" w14:textId="77777777" w:rsidR="00B65381" w:rsidRDefault="00B65381" w:rsidP="00F9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CBAD" w14:textId="4318B53B" w:rsidR="00C8577C" w:rsidRDefault="00C8577C">
    <w:pPr>
      <w:pStyle w:val="Intestazione"/>
    </w:pPr>
    <w:r>
      <w:rPr>
        <w:noProof/>
      </w:rPr>
      <w:pict w14:anchorId="7FE65A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356251" o:spid="_x0000_s2051" type="#_x0000_t136" style="position:absolute;margin-left:0;margin-top:0;width:594.05pt;height:8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iversità degli Studi di Milan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2170" w14:textId="1B4DDEA8" w:rsidR="00F91CBF" w:rsidRPr="008E727C" w:rsidRDefault="00C8577C">
    <w:pPr>
      <w:pStyle w:val="Intestazione"/>
      <w:rPr>
        <w:i/>
        <w:iCs/>
        <w:lang w:val="en-US"/>
      </w:rPr>
    </w:pPr>
    <w:r>
      <w:rPr>
        <w:noProof/>
      </w:rPr>
      <w:pict w14:anchorId="3B0073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356252" o:spid="_x0000_s2052" type="#_x0000_t136" style="position:absolute;margin-left:0;margin-top:0;width:594.05pt;height:8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iversità degli Studi di Milano"/>
        </v:shape>
      </w:pict>
    </w:r>
    <w:r w:rsidR="00F91CBF" w:rsidRPr="008E727C">
      <w:rPr>
        <w:i/>
        <w:iCs/>
        <w:lang w:val="en-US"/>
      </w:rPr>
      <w:t>Department of Health Sciences</w:t>
    </w:r>
  </w:p>
  <w:p w14:paraId="2BA35578" w14:textId="77777777" w:rsidR="00F91CBF" w:rsidRPr="008E727C" w:rsidRDefault="00F91CBF">
    <w:pPr>
      <w:pStyle w:val="Intestazione"/>
      <w:rPr>
        <w:i/>
        <w:iCs/>
        <w:lang w:val="en-US"/>
      </w:rPr>
    </w:pPr>
    <w:r w:rsidRPr="008E727C">
      <w:rPr>
        <w:i/>
        <w:iCs/>
        <w:lang w:val="en-US"/>
      </w:rPr>
      <w:t>University of Milan, Milan, Italy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E0E7" w14:textId="5871E83B" w:rsidR="00C8577C" w:rsidRDefault="00C8577C">
    <w:pPr>
      <w:pStyle w:val="Intestazione"/>
    </w:pPr>
    <w:r>
      <w:rPr>
        <w:noProof/>
      </w:rPr>
      <w:pict w14:anchorId="7A3ED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356250" o:spid="_x0000_s2050" type="#_x0000_t136" style="position:absolute;margin-left:0;margin-top:0;width:594.05pt;height:8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iversità degli Studi di Mila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6B1"/>
    <w:multiLevelType w:val="hybridMultilevel"/>
    <w:tmpl w:val="73A87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F5F1F"/>
    <w:multiLevelType w:val="multilevel"/>
    <w:tmpl w:val="F5844D06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C5FAC"/>
    <w:multiLevelType w:val="multilevel"/>
    <w:tmpl w:val="3CF26E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B542F"/>
    <w:multiLevelType w:val="multilevel"/>
    <w:tmpl w:val="B35EC7D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sTA2MzMyMDA0NzRS0lEKTi0uzszPAykwrgUAkdsKcSwAAAA="/>
  </w:docVars>
  <w:rsids>
    <w:rsidRoot w:val="00474D83"/>
    <w:rsid w:val="00056E2E"/>
    <w:rsid w:val="000841B1"/>
    <w:rsid w:val="000A148D"/>
    <w:rsid w:val="000B4ADA"/>
    <w:rsid w:val="000B5372"/>
    <w:rsid w:val="000C2B9A"/>
    <w:rsid w:val="000E405A"/>
    <w:rsid w:val="001211FB"/>
    <w:rsid w:val="00142844"/>
    <w:rsid w:val="001604B8"/>
    <w:rsid w:val="00160CB6"/>
    <w:rsid w:val="001755EE"/>
    <w:rsid w:val="00176505"/>
    <w:rsid w:val="001A6124"/>
    <w:rsid w:val="001C3D0A"/>
    <w:rsid w:val="001F4B3C"/>
    <w:rsid w:val="001F6B67"/>
    <w:rsid w:val="00204043"/>
    <w:rsid w:val="002148B0"/>
    <w:rsid w:val="00214F12"/>
    <w:rsid w:val="002246F3"/>
    <w:rsid w:val="00254253"/>
    <w:rsid w:val="00255CBF"/>
    <w:rsid w:val="002A1FE3"/>
    <w:rsid w:val="002C7F2B"/>
    <w:rsid w:val="00304F40"/>
    <w:rsid w:val="003163C2"/>
    <w:rsid w:val="00357222"/>
    <w:rsid w:val="00367BF0"/>
    <w:rsid w:val="00377C6F"/>
    <w:rsid w:val="003802B2"/>
    <w:rsid w:val="0041290D"/>
    <w:rsid w:val="00413410"/>
    <w:rsid w:val="00416259"/>
    <w:rsid w:val="00440BAE"/>
    <w:rsid w:val="004426DA"/>
    <w:rsid w:val="0044289C"/>
    <w:rsid w:val="00474D83"/>
    <w:rsid w:val="004B2BA3"/>
    <w:rsid w:val="004D02D3"/>
    <w:rsid w:val="004D766F"/>
    <w:rsid w:val="005113F9"/>
    <w:rsid w:val="00597EE2"/>
    <w:rsid w:val="005E59C0"/>
    <w:rsid w:val="00607795"/>
    <w:rsid w:val="006203DB"/>
    <w:rsid w:val="0064196B"/>
    <w:rsid w:val="006946E9"/>
    <w:rsid w:val="006A5DA5"/>
    <w:rsid w:val="006F0DC8"/>
    <w:rsid w:val="00700C6E"/>
    <w:rsid w:val="0071216E"/>
    <w:rsid w:val="00747DE2"/>
    <w:rsid w:val="00752195"/>
    <w:rsid w:val="00786DED"/>
    <w:rsid w:val="007B38C8"/>
    <w:rsid w:val="007E29A2"/>
    <w:rsid w:val="0082311B"/>
    <w:rsid w:val="00845838"/>
    <w:rsid w:val="008570F2"/>
    <w:rsid w:val="00857415"/>
    <w:rsid w:val="00857690"/>
    <w:rsid w:val="00870BEC"/>
    <w:rsid w:val="008E727C"/>
    <w:rsid w:val="008F1B86"/>
    <w:rsid w:val="00931A0C"/>
    <w:rsid w:val="00947950"/>
    <w:rsid w:val="00960E8C"/>
    <w:rsid w:val="00967D40"/>
    <w:rsid w:val="00993665"/>
    <w:rsid w:val="009B4483"/>
    <w:rsid w:val="00A03819"/>
    <w:rsid w:val="00A2324B"/>
    <w:rsid w:val="00A2354F"/>
    <w:rsid w:val="00A54A1C"/>
    <w:rsid w:val="00AC0349"/>
    <w:rsid w:val="00AC0FEB"/>
    <w:rsid w:val="00B2256D"/>
    <w:rsid w:val="00B65381"/>
    <w:rsid w:val="00B82DB8"/>
    <w:rsid w:val="00B84574"/>
    <w:rsid w:val="00B853E9"/>
    <w:rsid w:val="00B940B1"/>
    <w:rsid w:val="00BB44D3"/>
    <w:rsid w:val="00BC57DE"/>
    <w:rsid w:val="00BC76D7"/>
    <w:rsid w:val="00BE01C4"/>
    <w:rsid w:val="00BE49C9"/>
    <w:rsid w:val="00BE4F94"/>
    <w:rsid w:val="00C25C74"/>
    <w:rsid w:val="00C37079"/>
    <w:rsid w:val="00C543FF"/>
    <w:rsid w:val="00C7575A"/>
    <w:rsid w:val="00C80E19"/>
    <w:rsid w:val="00C8577C"/>
    <w:rsid w:val="00CA539A"/>
    <w:rsid w:val="00CD1E2F"/>
    <w:rsid w:val="00CE4AE5"/>
    <w:rsid w:val="00D13410"/>
    <w:rsid w:val="00D200F8"/>
    <w:rsid w:val="00D563E3"/>
    <w:rsid w:val="00D844C2"/>
    <w:rsid w:val="00DC4210"/>
    <w:rsid w:val="00DD7FCE"/>
    <w:rsid w:val="00E9094A"/>
    <w:rsid w:val="00EA5E45"/>
    <w:rsid w:val="00EA6783"/>
    <w:rsid w:val="00EC0CDA"/>
    <w:rsid w:val="00ED32BA"/>
    <w:rsid w:val="00EE7D4A"/>
    <w:rsid w:val="00F01557"/>
    <w:rsid w:val="00F15DEC"/>
    <w:rsid w:val="00F473BE"/>
    <w:rsid w:val="00F91CBF"/>
    <w:rsid w:val="00F9773D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FF53908"/>
  <w15:chartTrackingRefBased/>
  <w15:docId w15:val="{3E7CCA49-2D41-F841-A1B0-506C499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0E1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040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91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CBF"/>
  </w:style>
  <w:style w:type="paragraph" w:styleId="Pidipagina">
    <w:name w:val="footer"/>
    <w:basedOn w:val="Normale"/>
    <w:link w:val="PidipaginaCarattere"/>
    <w:uiPriority w:val="99"/>
    <w:unhideWhenUsed/>
    <w:rsid w:val="00F91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0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36D18C-8186-49CA-B74A-7B0B5B62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Pivari</dc:creator>
  <cp:keywords/>
  <dc:description/>
  <cp:lastModifiedBy>rita paroni</cp:lastModifiedBy>
  <cp:revision>6</cp:revision>
  <dcterms:created xsi:type="dcterms:W3CDTF">2022-10-15T14:11:00Z</dcterms:created>
  <dcterms:modified xsi:type="dcterms:W3CDTF">2023-05-03T12:55:00Z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b48d645c60e75159375669b75ee3512bb54175df84bc655bbd5d3122cb6b32af</vt:lpwstr>
  </property>
</Properties>
</file>