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6E" w:rsidRDefault="00347D6E" w:rsidP="00347D6E">
      <w:pPr>
        <w:shd w:val="clear" w:color="auto" w:fill="FFFFFF"/>
        <w:spacing w:after="60" w:line="240" w:lineRule="auto"/>
        <w:outlineLvl w:val="2"/>
        <w:rPr>
          <w:rFonts w:ascii="Helvetica" w:eastAsia="Times New Roman" w:hAnsi="Helvetica" w:cs="Helvetica"/>
          <w:b/>
          <w:bCs/>
          <w:color w:val="38395A"/>
          <w:sz w:val="34"/>
          <w:szCs w:val="34"/>
          <w:lang w:val="en-US"/>
        </w:rPr>
      </w:pPr>
      <w:hyperlink r:id="rId4" w:history="1">
        <w:r w:rsidRPr="00347D6E">
          <w:rPr>
            <w:rFonts w:ascii="Helvetica" w:eastAsia="Times New Roman" w:hAnsi="Helvetica" w:cs="Helvetica"/>
            <w:b/>
            <w:bCs/>
            <w:color w:val="092238"/>
            <w:sz w:val="34"/>
            <w:lang w:val="en-US"/>
          </w:rPr>
          <w:t>Bank of Canada assets and liabilities: Month-end (formerly B1)</w:t>
        </w:r>
      </w:hyperlink>
    </w:p>
    <w:p w:rsidR="00347D6E" w:rsidRDefault="00347D6E" w:rsidP="00347D6E">
      <w:pPr>
        <w:shd w:val="clear" w:color="auto" w:fill="FFFFFF"/>
        <w:spacing w:after="60" w:line="240" w:lineRule="auto"/>
        <w:outlineLvl w:val="2"/>
        <w:rPr>
          <w:rFonts w:ascii="Helvetica" w:eastAsia="Times New Roman" w:hAnsi="Helvetica" w:cs="Helvetica"/>
          <w:b/>
          <w:bCs/>
          <w:color w:val="38395A"/>
          <w:sz w:val="34"/>
          <w:szCs w:val="34"/>
          <w:lang w:val="en-US"/>
        </w:rPr>
      </w:pPr>
      <w:hyperlink r:id="rId5" w:history="1">
        <w:r>
          <w:rPr>
            <w:rStyle w:val="Hyperlink"/>
          </w:rPr>
          <w:t>https://www.bankofcanada.ca/rates/banking-and-financial-statistics/bank-of-canada-assets-and-liabilities-month-end-formerly-b1/</w:t>
        </w:r>
      </w:hyperlink>
    </w:p>
    <w:p w:rsidR="00347D6E" w:rsidRPr="00347D6E" w:rsidRDefault="00347D6E" w:rsidP="00347D6E">
      <w:pPr>
        <w:shd w:val="clear" w:color="auto" w:fill="FFFFFF"/>
        <w:spacing w:before="339" w:after="120" w:line="240" w:lineRule="auto"/>
        <w:outlineLvl w:val="1"/>
        <w:rPr>
          <w:rFonts w:ascii="Helvetica" w:eastAsia="Times New Roman" w:hAnsi="Helvetica" w:cs="Helvetica"/>
          <w:b/>
          <w:bCs/>
          <w:color w:val="38395A"/>
          <w:sz w:val="34"/>
          <w:szCs w:val="34"/>
          <w:lang w:val="en-US"/>
        </w:rPr>
      </w:pPr>
      <w:r w:rsidRPr="00347D6E">
        <w:rPr>
          <w:rFonts w:ascii="Helvetica" w:eastAsia="Times New Roman" w:hAnsi="Helvetica" w:cs="Helvetica"/>
          <w:b/>
          <w:bCs/>
          <w:color w:val="38395A"/>
          <w:sz w:val="34"/>
          <w:szCs w:val="34"/>
          <w:lang w:val="en-US"/>
        </w:rPr>
        <w:t>Monthly Series</w:t>
      </w:r>
    </w:p>
    <w:p w:rsidR="00347D6E" w:rsidRPr="00347D6E" w:rsidRDefault="00347D6E" w:rsidP="00347D6E">
      <w:pPr>
        <w:shd w:val="clear" w:color="auto" w:fill="FFFFFF"/>
        <w:spacing w:line="240" w:lineRule="auto"/>
        <w:rPr>
          <w:rFonts w:ascii="Helvetica" w:eastAsia="Times New Roman" w:hAnsi="Helvetica" w:cs="Helvetica"/>
          <w:color w:val="38395A"/>
          <w:lang w:val="en-US"/>
        </w:rPr>
      </w:pPr>
      <w:r w:rsidRPr="00347D6E">
        <w:rPr>
          <w:rFonts w:ascii="Helvetica" w:eastAsia="Times New Roman" w:hAnsi="Helvetica" w:cs="Helvetica"/>
          <w:color w:val="38395A"/>
          <w:lang w:val="en-US"/>
        </w:rPr>
        <w:t>Data available as: </w:t>
      </w:r>
      <w:hyperlink r:id="rId6" w:history="1">
        <w:r w:rsidRPr="00347D6E">
          <w:rPr>
            <w:rFonts w:ascii="Helvetica" w:eastAsia="Times New Roman" w:hAnsi="Helvetica" w:cs="Helvetica"/>
            <w:b/>
            <w:bCs/>
            <w:color w:val="397AB2"/>
            <w:lang w:val="en-US"/>
          </w:rPr>
          <w:t>CSV</w:t>
        </w:r>
      </w:hyperlink>
      <w:r w:rsidRPr="00347D6E">
        <w:rPr>
          <w:rFonts w:ascii="Helvetica" w:eastAsia="Times New Roman" w:hAnsi="Helvetica" w:cs="Helvetica"/>
          <w:color w:val="38395A"/>
          <w:lang w:val="en-US"/>
        </w:rPr>
        <w:t>, </w:t>
      </w:r>
      <w:hyperlink r:id="rId7" w:history="1">
        <w:r w:rsidRPr="00347D6E">
          <w:rPr>
            <w:rFonts w:ascii="Helvetica" w:eastAsia="Times New Roman" w:hAnsi="Helvetica" w:cs="Helvetica"/>
            <w:b/>
            <w:bCs/>
            <w:color w:val="397AB2"/>
            <w:lang w:val="en-US"/>
          </w:rPr>
          <w:t>JSON</w:t>
        </w:r>
      </w:hyperlink>
      <w:r w:rsidRPr="00347D6E">
        <w:rPr>
          <w:rFonts w:ascii="Helvetica" w:eastAsia="Times New Roman" w:hAnsi="Helvetica" w:cs="Helvetica"/>
          <w:color w:val="38395A"/>
          <w:lang w:val="en-US"/>
        </w:rPr>
        <w:t> and </w:t>
      </w:r>
      <w:hyperlink r:id="rId8" w:history="1">
        <w:r w:rsidRPr="00347D6E">
          <w:rPr>
            <w:rFonts w:ascii="Helvetica" w:eastAsia="Times New Roman" w:hAnsi="Helvetica" w:cs="Helvetica"/>
            <w:b/>
            <w:bCs/>
            <w:color w:val="397AB2"/>
            <w:lang w:val="en-US"/>
          </w:rPr>
          <w:t>XML</w:t>
        </w:r>
      </w:hyperlink>
    </w:p>
    <w:tbl>
      <w:tblPr>
        <w:tblW w:w="13680" w:type="dxa"/>
        <w:tblBorders>
          <w:top w:val="single" w:sz="4" w:space="0" w:color="32333E"/>
          <w:left w:val="single" w:sz="4" w:space="0" w:color="32333E"/>
          <w:bottom w:val="single" w:sz="2" w:space="0" w:color="32333E"/>
          <w:right w:val="single" w:sz="4" w:space="0" w:color="32333E"/>
        </w:tblBorders>
        <w:tblCellMar>
          <w:top w:w="15" w:type="dxa"/>
          <w:left w:w="15" w:type="dxa"/>
          <w:bottom w:w="15" w:type="dxa"/>
          <w:right w:w="15" w:type="dxa"/>
        </w:tblCellMar>
        <w:tblLook w:val="04A0"/>
      </w:tblPr>
      <w:tblGrid>
        <w:gridCol w:w="1385"/>
        <w:gridCol w:w="4801"/>
        <w:gridCol w:w="1729"/>
        <w:gridCol w:w="1153"/>
        <w:gridCol w:w="1153"/>
        <w:gridCol w:w="1153"/>
        <w:gridCol w:w="1153"/>
        <w:gridCol w:w="1153"/>
      </w:tblGrid>
      <w:tr w:rsidR="00347D6E" w:rsidRPr="00347D6E" w:rsidTr="00347D6E">
        <w:trPr>
          <w:tblHeader/>
        </w:trPr>
        <w:tc>
          <w:tcPr>
            <w:tcW w:w="0" w:type="auto"/>
            <w:gridSpan w:val="2"/>
            <w:shd w:val="clear" w:color="auto" w:fill="32333E"/>
            <w:tcMar>
              <w:top w:w="36" w:type="dxa"/>
              <w:left w:w="72"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FFFCF3"/>
                <w:lang w:val="en-US"/>
              </w:rPr>
            </w:pPr>
            <w:r w:rsidRPr="00347D6E">
              <w:rPr>
                <w:rFonts w:ascii="Helvetica" w:eastAsia="Times New Roman" w:hAnsi="Helvetica" w:cs="Helvetica"/>
                <w:color w:val="FFFCF3"/>
                <w:lang w:val="en-US"/>
              </w:rPr>
              <w:t>Month-end, Millions of dollars</w:t>
            </w:r>
            <w:hyperlink r:id="rId9" w:anchor="footnote-1" w:tooltip="The Bank accounts for all financial instruments using settlement-date accounting." w:history="1">
              <w:r w:rsidRPr="00347D6E">
                <w:rPr>
                  <w:rFonts w:ascii="Helvetica" w:eastAsia="Times New Roman" w:hAnsi="Helvetica" w:cs="Helvetica"/>
                  <w:b/>
                  <w:bCs/>
                  <w:color w:val="9BCEF8"/>
                  <w:sz w:val="13"/>
                  <w:lang w:val="en-US"/>
                </w:rPr>
                <w:t>1</w:t>
              </w:r>
            </w:hyperlink>
            <w:r w:rsidRPr="00347D6E">
              <w:rPr>
                <w:rFonts w:ascii="Helvetica" w:eastAsia="Times New Roman" w:hAnsi="Helvetica" w:cs="Helvetica"/>
                <w:color w:val="FFFCF3"/>
                <w:lang w:val="en-US"/>
              </w:rPr>
              <w:t> </w:t>
            </w:r>
            <w:hyperlink r:id="rId10" w:anchor="footnote-2" w:tooltip="Includes Overnight Repo and Term Repo Operations." w:history="1">
              <w:r w:rsidRPr="00347D6E">
                <w:rPr>
                  <w:rFonts w:ascii="Helvetica" w:eastAsia="Times New Roman" w:hAnsi="Helvetica" w:cs="Helvetica"/>
                  <w:b/>
                  <w:bCs/>
                  <w:color w:val="9BCEF8"/>
                  <w:sz w:val="13"/>
                  <w:lang w:val="en-US"/>
                </w:rPr>
                <w:t>2</w:t>
              </w:r>
            </w:hyperlink>
          </w:p>
        </w:tc>
        <w:tc>
          <w:tcPr>
            <w:tcW w:w="0" w:type="auto"/>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CANSIM</w:t>
            </w:r>
          </w:p>
        </w:tc>
        <w:tc>
          <w:tcPr>
            <w:tcW w:w="0" w:type="auto"/>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01</w:t>
            </w:r>
          </w:p>
        </w:tc>
        <w:tc>
          <w:tcPr>
            <w:tcW w:w="0" w:type="auto"/>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02</w:t>
            </w:r>
          </w:p>
        </w:tc>
        <w:tc>
          <w:tcPr>
            <w:tcW w:w="0" w:type="auto"/>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03</w:t>
            </w:r>
          </w:p>
        </w:tc>
        <w:tc>
          <w:tcPr>
            <w:tcW w:w="0" w:type="auto"/>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04</w:t>
            </w:r>
          </w:p>
        </w:tc>
        <w:tc>
          <w:tcPr>
            <w:tcW w:w="0" w:type="auto"/>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05</w:t>
            </w:r>
          </w:p>
        </w:tc>
      </w:tr>
      <w:tr w:rsidR="00347D6E" w:rsidRPr="00347D6E" w:rsidTr="00347D6E">
        <w:tblPrEx>
          <w:tblBorders>
            <w:bottom w:val="single" w:sz="4" w:space="0" w:color="32333E"/>
          </w:tblBorders>
        </w:tblPrEx>
        <w:trPr>
          <w:gridBefore w:val="1"/>
          <w:trHeight w:val="330"/>
          <w:tblHeader/>
        </w:trPr>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r>
      <w:tr w:rsidR="00347D6E" w:rsidRPr="00347D6E" w:rsidTr="00347D6E">
        <w:tblPrEx>
          <w:tblBorders>
            <w:bottom w:val="single" w:sz="4" w:space="0" w:color="32333E"/>
          </w:tblBorders>
        </w:tblPrEx>
        <w:trPr>
          <w:gridBefore w:val="1"/>
        </w:trPr>
        <w:tc>
          <w:tcPr>
            <w:tcW w:w="0" w:type="auto"/>
            <w:gridSpan w:val="7"/>
            <w:shd w:val="clear" w:color="auto" w:fill="auto"/>
            <w:tcMar>
              <w:top w:w="36" w:type="dxa"/>
              <w:left w:w="72"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Assets</w:t>
            </w:r>
          </w:p>
        </w:tc>
      </w:tr>
      <w:tr w:rsidR="00347D6E" w:rsidRPr="00347D6E" w:rsidTr="00347D6E">
        <w:tblPrEx>
          <w:tblBorders>
            <w:bottom w:val="single" w:sz="4" w:space="0" w:color="32333E"/>
          </w:tblBorders>
        </w:tblPrEx>
        <w:trPr>
          <w:gridBefore w:val="1"/>
        </w:trPr>
        <w:tc>
          <w:tcPr>
            <w:tcW w:w="0" w:type="auto"/>
            <w:gridSpan w:val="7"/>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Government of Canada direct and guaranteed securities</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Treasury Bills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V36653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23,644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25,035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25,780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65,818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107,840</w:t>
            </w:r>
          </w:p>
        </w:tc>
      </w:tr>
      <w:tr w:rsidR="00347D6E" w:rsidRPr="00347D6E" w:rsidTr="00347D6E">
        <w:tblPrEx>
          <w:tblBorders>
            <w:bottom w:val="single" w:sz="4" w:space="0" w:color="32333E"/>
          </w:tblBorders>
        </w:tblPrEx>
        <w:trPr>
          <w:gridBefore w:val="1"/>
        </w:trPr>
        <w:tc>
          <w:tcPr>
            <w:tcW w:w="0" w:type="auto"/>
            <w:gridSpan w:val="7"/>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Government of Canada Bonds</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108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3 years and under</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V36655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40,157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38,554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38,892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49,567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63,223</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108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3-5 years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V36656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13,531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14,189</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13,028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21,788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26,163</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108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5-10 years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V36657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14,728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15,854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13,707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17,905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22,312</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108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Over 10 years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V36658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11,961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11,991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12,023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16,382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22,435</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108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Total Government of Canada Bonds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V36654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80,377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80,588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77,650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105,642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134,133</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Real Return Bonds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V1160914547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1,270</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Canada Mortgage Bonds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V1038100657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512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513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1,926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4,346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6,198</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Total</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V36652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104,534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106,135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105,356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175,806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249,441</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Provincial Money Market</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v1146067265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570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4,382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6,376</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Provincial Bonds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V1160914548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2,613</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Bankers’ Acceptances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v1146067266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14,759</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17,022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3,831</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Commercial Paper</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v1146067267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2,993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1,924</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Corporate Bonds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V1160914549</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22</w:t>
            </w:r>
          </w:p>
        </w:tc>
      </w:tr>
      <w:tr w:rsidR="00347D6E" w:rsidRPr="00347D6E" w:rsidTr="00347D6E">
        <w:tblPrEx>
          <w:tblBorders>
            <w:bottom w:val="single" w:sz="4" w:space="0" w:color="32333E"/>
          </w:tblBorders>
        </w:tblPrEx>
        <w:trPr>
          <w:gridBefore w:val="1"/>
        </w:trPr>
        <w:tc>
          <w:tcPr>
            <w:tcW w:w="0" w:type="auto"/>
            <w:gridSpan w:val="7"/>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Loans and receivables</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lastRenderedPageBreak/>
              <w:t>Advances to members of Payments Canada</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V36663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8,900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881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606</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Securities purchased under resale agreements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V36670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13,090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15,485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64,770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187,421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204,289</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Other loans and receivables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V41550172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Other investments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V36660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450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462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491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481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492</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Cash and foreign currency deposits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V36661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All other assets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V36659</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766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762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775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770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774</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Total assets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V36651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118,851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122,856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195,631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389,767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470,381</w:t>
            </w:r>
          </w:p>
        </w:tc>
      </w:tr>
      <w:tr w:rsidR="00347D6E" w:rsidRPr="00347D6E" w:rsidTr="00347D6E">
        <w:tblPrEx>
          <w:tblBorders>
            <w:bottom w:val="single" w:sz="4" w:space="0" w:color="32333E"/>
          </w:tblBorders>
        </w:tblPrEx>
        <w:trPr>
          <w:gridBefore w:val="1"/>
        </w:trPr>
        <w:tc>
          <w:tcPr>
            <w:tcW w:w="0" w:type="auto"/>
            <w:gridSpan w:val="7"/>
            <w:shd w:val="clear" w:color="auto" w:fill="auto"/>
            <w:tcMar>
              <w:top w:w="36" w:type="dxa"/>
              <w:left w:w="72"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Liabilities and capital</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Notes in circulation</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V36672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89,491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89,147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92,039</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93,896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96,954</w:t>
            </w:r>
          </w:p>
        </w:tc>
      </w:tr>
      <w:tr w:rsidR="00347D6E" w:rsidRPr="00347D6E" w:rsidTr="00347D6E">
        <w:tblPrEx>
          <w:tblBorders>
            <w:bottom w:val="single" w:sz="4" w:space="0" w:color="32333E"/>
          </w:tblBorders>
        </w:tblPrEx>
        <w:trPr>
          <w:gridBefore w:val="1"/>
        </w:trPr>
        <w:tc>
          <w:tcPr>
            <w:tcW w:w="0" w:type="auto"/>
            <w:gridSpan w:val="7"/>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Canadian dollar deposits</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Government of Canada</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V36677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24,700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25,658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30,438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85,913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138,323</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Members of Payments Canada</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V41886561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250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250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61,125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198,759</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224,085</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Other</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V36681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2,994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6,282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10,325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9,571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9,174</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Foreign currency liabilities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V36682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All other liabilities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V36684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875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965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1,120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1,056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1,261</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Securities sold under repurchase agreements</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V41886562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Capital</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V41886563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542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554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583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573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584</w:t>
            </w:r>
          </w:p>
        </w:tc>
      </w:tr>
      <w:tr w:rsidR="00347D6E" w:rsidRPr="00347D6E" w:rsidTr="00347D6E">
        <w:tblPrEx>
          <w:tblBorders>
            <w:bottom w:val="single" w:sz="4" w:space="0" w:color="32333E"/>
          </w:tblBorders>
        </w:tblPrEx>
        <w:trPr>
          <w:gridBefore w:val="1"/>
        </w:trPr>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Total liabilities and capital</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V36671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118,851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122,856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195,631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389,767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470,381</w:t>
            </w:r>
          </w:p>
        </w:tc>
      </w:tr>
    </w:tbl>
    <w:p w:rsidR="00347D6E" w:rsidRDefault="00347D6E" w:rsidP="00347D6E">
      <w:pPr>
        <w:shd w:val="clear" w:color="auto" w:fill="FFFFFF"/>
        <w:spacing w:after="60" w:line="240" w:lineRule="auto"/>
        <w:outlineLvl w:val="2"/>
        <w:rPr>
          <w:rFonts w:ascii="Helvetica" w:eastAsia="Times New Roman" w:hAnsi="Helvetica" w:cs="Helvetica"/>
          <w:b/>
          <w:bCs/>
          <w:color w:val="38395A"/>
          <w:sz w:val="34"/>
          <w:szCs w:val="34"/>
          <w:lang w:val="en-US"/>
        </w:rPr>
      </w:pPr>
    </w:p>
    <w:p w:rsidR="00347D6E" w:rsidRDefault="00347D6E" w:rsidP="00347D6E">
      <w:pPr>
        <w:shd w:val="clear" w:color="auto" w:fill="FFFFFF"/>
        <w:spacing w:after="60" w:line="240" w:lineRule="auto"/>
        <w:outlineLvl w:val="2"/>
        <w:rPr>
          <w:rFonts w:ascii="Helvetica" w:eastAsia="Times New Roman" w:hAnsi="Helvetica" w:cs="Helvetica"/>
          <w:b/>
          <w:bCs/>
          <w:color w:val="38395A"/>
          <w:sz w:val="34"/>
          <w:szCs w:val="34"/>
          <w:lang w:val="en-US"/>
        </w:rPr>
      </w:pPr>
    </w:p>
    <w:p w:rsidR="00347D6E" w:rsidRDefault="00347D6E" w:rsidP="00347D6E">
      <w:pPr>
        <w:shd w:val="clear" w:color="auto" w:fill="FFFFFF"/>
        <w:spacing w:after="60" w:line="240" w:lineRule="auto"/>
        <w:outlineLvl w:val="2"/>
        <w:rPr>
          <w:rFonts w:ascii="Helvetica" w:eastAsia="Times New Roman" w:hAnsi="Helvetica" w:cs="Helvetica"/>
          <w:b/>
          <w:bCs/>
          <w:color w:val="38395A"/>
          <w:sz w:val="34"/>
          <w:szCs w:val="34"/>
          <w:lang w:val="en-US"/>
        </w:rPr>
      </w:pPr>
    </w:p>
    <w:p w:rsidR="00347D6E" w:rsidRDefault="00347D6E" w:rsidP="00347D6E">
      <w:pPr>
        <w:shd w:val="clear" w:color="auto" w:fill="FFFFFF"/>
        <w:spacing w:after="60" w:line="240" w:lineRule="auto"/>
        <w:outlineLvl w:val="2"/>
        <w:rPr>
          <w:rFonts w:ascii="Helvetica" w:eastAsia="Times New Roman" w:hAnsi="Helvetica" w:cs="Helvetica"/>
          <w:b/>
          <w:bCs/>
          <w:color w:val="38395A"/>
          <w:sz w:val="34"/>
          <w:szCs w:val="34"/>
          <w:lang w:val="en-US"/>
        </w:rPr>
      </w:pPr>
    </w:p>
    <w:p w:rsidR="00347D6E" w:rsidRDefault="00347D6E" w:rsidP="00347D6E">
      <w:pPr>
        <w:shd w:val="clear" w:color="auto" w:fill="FFFFFF"/>
        <w:spacing w:after="60" w:line="240" w:lineRule="auto"/>
        <w:outlineLvl w:val="2"/>
        <w:rPr>
          <w:rFonts w:ascii="Helvetica" w:eastAsia="Times New Roman" w:hAnsi="Helvetica" w:cs="Helvetica"/>
          <w:b/>
          <w:bCs/>
          <w:color w:val="38395A"/>
          <w:sz w:val="34"/>
          <w:szCs w:val="34"/>
          <w:lang w:val="en-US"/>
        </w:rPr>
      </w:pPr>
      <w:hyperlink r:id="rId11" w:history="1">
        <w:r w:rsidRPr="00347D6E">
          <w:rPr>
            <w:rFonts w:ascii="Helvetica" w:eastAsia="Times New Roman" w:hAnsi="Helvetica" w:cs="Helvetica"/>
            <w:b/>
            <w:bCs/>
            <w:color w:val="092238"/>
            <w:sz w:val="34"/>
            <w:lang w:val="en-US"/>
          </w:rPr>
          <w:t>Bank of Canada assets and liabilities: Weekly (formerly B2)</w:t>
        </w:r>
      </w:hyperlink>
    </w:p>
    <w:p w:rsidR="00347D6E" w:rsidRDefault="00347D6E" w:rsidP="00347D6E">
      <w:pPr>
        <w:shd w:val="clear" w:color="auto" w:fill="FFFFFF"/>
        <w:spacing w:after="60" w:line="240" w:lineRule="auto"/>
        <w:outlineLvl w:val="2"/>
        <w:rPr>
          <w:rFonts w:ascii="Helvetica" w:eastAsia="Times New Roman" w:hAnsi="Helvetica" w:cs="Helvetica"/>
          <w:b/>
          <w:bCs/>
          <w:color w:val="38395A"/>
          <w:sz w:val="34"/>
          <w:szCs w:val="34"/>
          <w:lang w:val="en-US"/>
        </w:rPr>
      </w:pPr>
      <w:hyperlink r:id="rId12" w:history="1">
        <w:r>
          <w:rPr>
            <w:rStyle w:val="Hyperlink"/>
          </w:rPr>
          <w:t>https://www.bankofcanada.ca/rates/banking-and-financial-statistics/bank-of-canada-assets-and-liabilities-weekly-formerly-b2/</w:t>
        </w:r>
      </w:hyperlink>
    </w:p>
    <w:p w:rsidR="00347D6E" w:rsidRPr="00347D6E" w:rsidRDefault="00347D6E" w:rsidP="00347D6E">
      <w:pPr>
        <w:shd w:val="clear" w:color="auto" w:fill="FFFFFF"/>
        <w:spacing w:before="339" w:after="120" w:line="240" w:lineRule="auto"/>
        <w:outlineLvl w:val="1"/>
        <w:rPr>
          <w:rFonts w:ascii="Helvetica" w:eastAsia="Times New Roman" w:hAnsi="Helvetica" w:cs="Helvetica"/>
          <w:b/>
          <w:bCs/>
          <w:color w:val="38395A"/>
          <w:sz w:val="34"/>
          <w:szCs w:val="34"/>
          <w:lang w:val="en-US"/>
        </w:rPr>
      </w:pPr>
      <w:r w:rsidRPr="00347D6E">
        <w:rPr>
          <w:rFonts w:ascii="Helvetica" w:eastAsia="Times New Roman" w:hAnsi="Helvetica" w:cs="Helvetica"/>
          <w:b/>
          <w:bCs/>
          <w:color w:val="38395A"/>
          <w:sz w:val="34"/>
          <w:szCs w:val="34"/>
          <w:lang w:val="en-US"/>
        </w:rPr>
        <w:t>Weekly Series</w:t>
      </w:r>
    </w:p>
    <w:p w:rsidR="00347D6E" w:rsidRPr="00347D6E" w:rsidRDefault="00347D6E" w:rsidP="00347D6E">
      <w:pPr>
        <w:shd w:val="clear" w:color="auto" w:fill="FFFFFF"/>
        <w:spacing w:line="240" w:lineRule="auto"/>
        <w:rPr>
          <w:rFonts w:ascii="Helvetica" w:eastAsia="Times New Roman" w:hAnsi="Helvetica" w:cs="Helvetica"/>
          <w:color w:val="38395A"/>
          <w:lang w:val="en-US"/>
        </w:rPr>
      </w:pPr>
      <w:r w:rsidRPr="00347D6E">
        <w:rPr>
          <w:rFonts w:ascii="Helvetica" w:eastAsia="Times New Roman" w:hAnsi="Helvetica" w:cs="Helvetica"/>
          <w:color w:val="38395A"/>
          <w:lang w:val="en-US"/>
        </w:rPr>
        <w:t>Data available as: </w:t>
      </w:r>
      <w:hyperlink r:id="rId13" w:history="1">
        <w:r w:rsidRPr="00347D6E">
          <w:rPr>
            <w:rFonts w:ascii="Helvetica" w:eastAsia="Times New Roman" w:hAnsi="Helvetica" w:cs="Helvetica"/>
            <w:b/>
            <w:bCs/>
            <w:color w:val="397AB2"/>
            <w:lang w:val="en-US"/>
          </w:rPr>
          <w:t>CSV</w:t>
        </w:r>
      </w:hyperlink>
      <w:r w:rsidRPr="00347D6E">
        <w:rPr>
          <w:rFonts w:ascii="Helvetica" w:eastAsia="Times New Roman" w:hAnsi="Helvetica" w:cs="Helvetica"/>
          <w:color w:val="38395A"/>
          <w:lang w:val="en-US"/>
        </w:rPr>
        <w:t>, </w:t>
      </w:r>
      <w:hyperlink r:id="rId14" w:history="1">
        <w:r w:rsidRPr="00347D6E">
          <w:rPr>
            <w:rFonts w:ascii="Helvetica" w:eastAsia="Times New Roman" w:hAnsi="Helvetica" w:cs="Helvetica"/>
            <w:b/>
            <w:bCs/>
            <w:color w:val="397AB2"/>
            <w:lang w:val="en-US"/>
          </w:rPr>
          <w:t>JSON</w:t>
        </w:r>
      </w:hyperlink>
      <w:r w:rsidRPr="00347D6E">
        <w:rPr>
          <w:rFonts w:ascii="Helvetica" w:eastAsia="Times New Roman" w:hAnsi="Helvetica" w:cs="Helvetica"/>
          <w:color w:val="38395A"/>
          <w:lang w:val="en-US"/>
        </w:rPr>
        <w:t> and </w:t>
      </w:r>
      <w:hyperlink r:id="rId15" w:history="1">
        <w:r w:rsidRPr="00347D6E">
          <w:rPr>
            <w:rFonts w:ascii="Helvetica" w:eastAsia="Times New Roman" w:hAnsi="Helvetica" w:cs="Helvetica"/>
            <w:b/>
            <w:bCs/>
            <w:color w:val="397AB2"/>
            <w:lang w:val="en-US"/>
          </w:rPr>
          <w:t>XML</w:t>
        </w:r>
      </w:hyperlink>
    </w:p>
    <w:tbl>
      <w:tblPr>
        <w:tblW w:w="13680" w:type="dxa"/>
        <w:tblBorders>
          <w:top w:val="single" w:sz="4" w:space="0" w:color="32333E"/>
          <w:left w:val="single" w:sz="4" w:space="0" w:color="32333E"/>
          <w:bottom w:val="single" w:sz="2" w:space="0" w:color="32333E"/>
          <w:right w:val="single" w:sz="4" w:space="0" w:color="32333E"/>
        </w:tblBorders>
        <w:tblCellMar>
          <w:top w:w="15" w:type="dxa"/>
          <w:left w:w="15" w:type="dxa"/>
          <w:bottom w:w="15" w:type="dxa"/>
          <w:right w:w="15" w:type="dxa"/>
        </w:tblCellMar>
        <w:tblLook w:val="04A0"/>
      </w:tblPr>
      <w:tblGrid>
        <w:gridCol w:w="1493"/>
        <w:gridCol w:w="3040"/>
        <w:gridCol w:w="814"/>
        <w:gridCol w:w="539"/>
        <w:gridCol w:w="1372"/>
        <w:gridCol w:w="1372"/>
        <w:gridCol w:w="1372"/>
        <w:gridCol w:w="1153"/>
        <w:gridCol w:w="1153"/>
        <w:gridCol w:w="1372"/>
      </w:tblGrid>
      <w:tr w:rsidR="00347D6E" w:rsidRPr="00347D6E" w:rsidTr="00347D6E">
        <w:trPr>
          <w:tblHeader/>
        </w:trPr>
        <w:tc>
          <w:tcPr>
            <w:tcW w:w="0" w:type="auto"/>
            <w:gridSpan w:val="2"/>
            <w:shd w:val="clear" w:color="auto" w:fill="32333E"/>
            <w:tcMar>
              <w:top w:w="36" w:type="dxa"/>
              <w:left w:w="72"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FFFCF3"/>
                <w:lang w:val="en-US"/>
              </w:rPr>
            </w:pPr>
            <w:r w:rsidRPr="00347D6E">
              <w:rPr>
                <w:rFonts w:ascii="Helvetica" w:eastAsia="Times New Roman" w:hAnsi="Helvetica" w:cs="Helvetica"/>
                <w:color w:val="FFFCF3"/>
                <w:lang w:val="en-US"/>
              </w:rPr>
              <w:t>Weekly Wednesday, Millions of dollars</w:t>
            </w:r>
            <w:hyperlink r:id="rId16" w:anchor="footnote-1" w:tooltip="The Bank accounts for all financial instruments using settlement-date accounting." w:history="1">
              <w:r w:rsidRPr="00347D6E">
                <w:rPr>
                  <w:rFonts w:ascii="Helvetica" w:eastAsia="Times New Roman" w:hAnsi="Helvetica" w:cs="Helvetica"/>
                  <w:b/>
                  <w:bCs/>
                  <w:color w:val="9BCEF8"/>
                  <w:sz w:val="13"/>
                  <w:lang w:val="en-US"/>
                </w:rPr>
                <w:t>1</w:t>
              </w:r>
            </w:hyperlink>
            <w:r w:rsidRPr="00347D6E">
              <w:rPr>
                <w:rFonts w:ascii="Helvetica" w:eastAsia="Times New Roman" w:hAnsi="Helvetica" w:cs="Helvetica"/>
                <w:color w:val="FFFCF3"/>
                <w:lang w:val="en-US"/>
              </w:rPr>
              <w:t> </w:t>
            </w:r>
            <w:hyperlink r:id="rId17" w:anchor="footnote-2" w:tooltip="In the event that an Emergency Lending Assistance (ELA) advance is made, the advance will not be included until public disclosures have otherwise occurred. Any outstanding ELA advances are included in the Bank’s monthly balance sheet and its annual and quarterly financial statements. The Banking and Financial Statistics will not be restated after ELA has been otherwise disclosed." w:history="1">
              <w:r w:rsidRPr="00347D6E">
                <w:rPr>
                  <w:rFonts w:ascii="Helvetica" w:eastAsia="Times New Roman" w:hAnsi="Helvetica" w:cs="Helvetica"/>
                  <w:b/>
                  <w:bCs/>
                  <w:color w:val="9BCEF8"/>
                  <w:sz w:val="13"/>
                  <w:lang w:val="en-US"/>
                </w:rPr>
                <w:t>2</w:t>
              </w:r>
            </w:hyperlink>
          </w:p>
        </w:tc>
        <w:tc>
          <w:tcPr>
            <w:tcW w:w="0" w:type="auto"/>
            <w:gridSpan w:val="2"/>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CANSIM</w:t>
            </w:r>
          </w:p>
        </w:tc>
        <w:tc>
          <w:tcPr>
            <w:tcW w:w="0" w:type="auto"/>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06</w:t>
            </w:r>
            <w:r w:rsidRPr="00347D6E">
              <w:rPr>
                <w:rFonts w:ascii="Helvetica" w:eastAsia="Times New Roman" w:hAnsi="Helvetica" w:cs="Helvetica"/>
                <w:color w:val="FFFCF3"/>
                <w:lang w:val="en-US"/>
              </w:rPr>
              <w:noBreakHyphen/>
              <w:t>10</w:t>
            </w:r>
          </w:p>
        </w:tc>
        <w:tc>
          <w:tcPr>
            <w:tcW w:w="0" w:type="auto"/>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06</w:t>
            </w:r>
            <w:r w:rsidRPr="00347D6E">
              <w:rPr>
                <w:rFonts w:ascii="Helvetica" w:eastAsia="Times New Roman" w:hAnsi="Helvetica" w:cs="Helvetica"/>
                <w:color w:val="FFFCF3"/>
                <w:lang w:val="en-US"/>
              </w:rPr>
              <w:noBreakHyphen/>
              <w:t>17</w:t>
            </w:r>
          </w:p>
        </w:tc>
        <w:tc>
          <w:tcPr>
            <w:tcW w:w="0" w:type="auto"/>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06</w:t>
            </w:r>
            <w:r w:rsidRPr="00347D6E">
              <w:rPr>
                <w:rFonts w:ascii="Helvetica" w:eastAsia="Times New Roman" w:hAnsi="Helvetica" w:cs="Helvetica"/>
                <w:color w:val="FFFCF3"/>
                <w:lang w:val="en-US"/>
              </w:rPr>
              <w:noBreakHyphen/>
              <w:t>24</w:t>
            </w:r>
          </w:p>
        </w:tc>
        <w:tc>
          <w:tcPr>
            <w:tcW w:w="0" w:type="auto"/>
            <w:gridSpan w:val="2"/>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07</w:t>
            </w:r>
            <w:r w:rsidRPr="00347D6E">
              <w:rPr>
                <w:rFonts w:ascii="Helvetica" w:eastAsia="Times New Roman" w:hAnsi="Helvetica" w:cs="Helvetica"/>
                <w:color w:val="FFFCF3"/>
                <w:lang w:val="en-US"/>
              </w:rPr>
              <w:noBreakHyphen/>
              <w:t>01</w:t>
            </w:r>
          </w:p>
        </w:tc>
        <w:tc>
          <w:tcPr>
            <w:tcW w:w="0" w:type="auto"/>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07</w:t>
            </w:r>
            <w:r w:rsidRPr="00347D6E">
              <w:rPr>
                <w:rFonts w:ascii="Helvetica" w:eastAsia="Times New Roman" w:hAnsi="Helvetica" w:cs="Helvetica"/>
                <w:color w:val="FFFCF3"/>
                <w:lang w:val="en-US"/>
              </w:rPr>
              <w:noBreakHyphen/>
              <w:t>08</w:t>
            </w:r>
          </w:p>
        </w:tc>
      </w:tr>
      <w:tr w:rsidR="00347D6E" w:rsidRPr="00347D6E" w:rsidTr="00347D6E">
        <w:tblPrEx>
          <w:tblBorders>
            <w:bottom w:val="single" w:sz="4" w:space="0" w:color="32333E"/>
          </w:tblBorders>
        </w:tblPrEx>
        <w:trPr>
          <w:gridBefore w:val="1"/>
          <w:trHeight w:val="330"/>
          <w:tblHeader/>
        </w:trPr>
        <w:tc>
          <w:tcPr>
            <w:tcW w:w="0" w:type="auto"/>
            <w:gridSpan w:val="2"/>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gridSpan w:val="2"/>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r>
      <w:tr w:rsidR="00347D6E" w:rsidRPr="00347D6E" w:rsidTr="00347D6E">
        <w:tblPrEx>
          <w:tblBorders>
            <w:bottom w:val="single" w:sz="4" w:space="0" w:color="32333E"/>
          </w:tblBorders>
        </w:tblPrEx>
        <w:trPr>
          <w:gridBefore w:val="1"/>
        </w:trPr>
        <w:tc>
          <w:tcPr>
            <w:tcW w:w="0" w:type="auto"/>
            <w:gridSpan w:val="9"/>
            <w:shd w:val="clear" w:color="auto" w:fill="auto"/>
            <w:tcMar>
              <w:top w:w="36" w:type="dxa"/>
              <w:left w:w="72"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Assets</w:t>
            </w:r>
          </w:p>
        </w:tc>
      </w:tr>
      <w:tr w:rsidR="00347D6E" w:rsidRPr="00347D6E" w:rsidTr="00347D6E">
        <w:tblPrEx>
          <w:tblBorders>
            <w:bottom w:val="single" w:sz="4" w:space="0" w:color="32333E"/>
          </w:tblBorders>
        </w:tblPrEx>
        <w:trPr>
          <w:gridBefore w:val="1"/>
        </w:trPr>
        <w:tc>
          <w:tcPr>
            <w:tcW w:w="0" w:type="auto"/>
            <w:gridSpan w:val="9"/>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Government of Canada direct and guaranteed securities</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Treasury Bills</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V36612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115,844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118,446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124,449</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129,527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135,530</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Government of Canada Bonds</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V36613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145,218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152,192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160,039</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166,662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173,163</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Real Return Bonds</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V1160788296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1,268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1,273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1,280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1,283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1,277</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Canada Mortgage Bonds</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V1038114416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6,564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7,111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7,258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7,448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7,611</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Provincial Money Market</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v1146067261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6,934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7,326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7,549</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7,629</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7,415</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Provincial Bonds</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v1154426989</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3,794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4,388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4,770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5,130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5,193</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Bankers’ Acceptances</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v1146067262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3,717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3,513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3,098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1,709</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1,165</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Commercial Paper</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v1146067263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1,725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1,726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1,676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1,627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758</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Corporate Bonds</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v1154426990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94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105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139</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140</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Advances</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V36634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606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606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607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606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612</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Securities purchased under resale agreements</w:t>
            </w:r>
            <w:hyperlink r:id="rId18" w:anchor="footnote-3" w:tooltip="Includes Overnight Repo and Term Repo Operations." w:history="1">
              <w:r w:rsidRPr="00347D6E">
                <w:rPr>
                  <w:rFonts w:ascii="Helvetica" w:eastAsia="Times New Roman" w:hAnsi="Helvetica" w:cs="Helvetica"/>
                  <w:b/>
                  <w:bCs/>
                  <w:color w:val="3E74CA"/>
                  <w:sz w:val="13"/>
                  <w:lang w:val="en-US"/>
                </w:rPr>
                <w:t>3</w:t>
              </w:r>
            </w:hyperlink>
            <w:r w:rsidRPr="00347D6E">
              <w:rPr>
                <w:rFonts w:ascii="Helvetica" w:eastAsia="Times New Roman" w:hAnsi="Helvetica" w:cs="Helvetica"/>
                <w:color w:val="32333E"/>
                <w:lang w:val="en-US"/>
              </w:rPr>
              <w:t> </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V44201362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211,227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211,180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209,290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205,188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195,225</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All other assets</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V36635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1,267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1,266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1,265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1,262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1,257</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Total assets</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V36610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498,223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509,120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521,387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528,211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529,346</w:t>
            </w:r>
          </w:p>
        </w:tc>
      </w:tr>
      <w:tr w:rsidR="00347D6E" w:rsidRPr="00347D6E" w:rsidTr="00347D6E">
        <w:tblPrEx>
          <w:tblBorders>
            <w:bottom w:val="single" w:sz="4" w:space="0" w:color="32333E"/>
          </w:tblBorders>
        </w:tblPrEx>
        <w:trPr>
          <w:gridBefore w:val="1"/>
        </w:trPr>
        <w:tc>
          <w:tcPr>
            <w:tcW w:w="0" w:type="auto"/>
            <w:gridSpan w:val="9"/>
            <w:shd w:val="clear" w:color="auto" w:fill="auto"/>
            <w:tcMar>
              <w:top w:w="36" w:type="dxa"/>
              <w:left w:w="72"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Liabilities and capital</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lastRenderedPageBreak/>
              <w:t>Notes in circulation</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V36625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97,981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98,438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99,114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100,066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100,550</w:t>
            </w:r>
          </w:p>
        </w:tc>
      </w:tr>
      <w:tr w:rsidR="00347D6E" w:rsidRPr="00347D6E" w:rsidTr="00347D6E">
        <w:tblPrEx>
          <w:tblBorders>
            <w:bottom w:val="single" w:sz="4" w:space="0" w:color="32333E"/>
          </w:tblBorders>
        </w:tblPrEx>
        <w:trPr>
          <w:gridBefore w:val="1"/>
        </w:trPr>
        <w:tc>
          <w:tcPr>
            <w:tcW w:w="0" w:type="auto"/>
            <w:gridSpan w:val="9"/>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Canadian dollar deposits</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Government of Canada</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V36628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140,509</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138,700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143,061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146,573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174,986</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Members of Payments Canada</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V36636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249,213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261,176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266,891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269,228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243,167</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72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Other Deposits</w:t>
            </w:r>
            <w:hyperlink r:id="rId19" w:anchor="footnote-4" w:tooltip="Other Deposit figures are included as part of All other liabilities and capital for all periods prior to 2020-03-25." w:history="1">
              <w:r w:rsidRPr="00347D6E">
                <w:rPr>
                  <w:rFonts w:ascii="Helvetica" w:eastAsia="Times New Roman" w:hAnsi="Helvetica" w:cs="Helvetica"/>
                  <w:b/>
                  <w:bCs/>
                  <w:color w:val="3E74CA"/>
                  <w:sz w:val="13"/>
                  <w:lang w:val="en-US"/>
                </w:rPr>
                <w:t>4</w:t>
              </w:r>
            </w:hyperlink>
            <w:r w:rsidRPr="00347D6E">
              <w:rPr>
                <w:rFonts w:ascii="Helvetica" w:eastAsia="Times New Roman" w:hAnsi="Helvetica" w:cs="Helvetica"/>
                <w:color w:val="32333E"/>
                <w:lang w:val="en-US"/>
              </w:rPr>
              <w:t> </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v1146067264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9,243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9,351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10,819</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10,697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9,073</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All other liabilities and capital</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V36632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1,277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1,456</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1,502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1,648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1,570</w:t>
            </w:r>
          </w:p>
        </w:tc>
      </w:tr>
      <w:tr w:rsidR="00347D6E" w:rsidRPr="00347D6E" w:rsidTr="00347D6E">
        <w:tblPrEx>
          <w:tblBorders>
            <w:bottom w:val="single" w:sz="4" w:space="0" w:color="32333E"/>
          </w:tblBorders>
        </w:tblPrEx>
        <w:trPr>
          <w:gridBefore w:val="1"/>
        </w:trPr>
        <w:tc>
          <w:tcPr>
            <w:tcW w:w="0" w:type="auto"/>
            <w:gridSpan w:val="2"/>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Total liabilities and capital</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V36624</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498,223</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509,120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521,387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528,211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529,346</w:t>
            </w:r>
          </w:p>
        </w:tc>
      </w:tr>
    </w:tbl>
    <w:p w:rsidR="00347D6E" w:rsidRDefault="00347D6E" w:rsidP="00347D6E">
      <w:pPr>
        <w:shd w:val="clear" w:color="auto" w:fill="FFFFFF"/>
        <w:spacing w:before="339" w:after="120" w:line="240" w:lineRule="auto"/>
        <w:outlineLvl w:val="1"/>
        <w:rPr>
          <w:rFonts w:ascii="Helvetica" w:eastAsia="Times New Roman" w:hAnsi="Helvetica" w:cs="Helvetica"/>
          <w:b/>
          <w:bCs/>
          <w:color w:val="38395A"/>
          <w:sz w:val="34"/>
          <w:szCs w:val="34"/>
          <w:lang w:val="en-US"/>
        </w:rPr>
      </w:pPr>
    </w:p>
    <w:p w:rsidR="00347D6E" w:rsidRDefault="00347D6E" w:rsidP="00347D6E">
      <w:pPr>
        <w:shd w:val="clear" w:color="auto" w:fill="FFFFFF"/>
        <w:spacing w:before="339" w:after="120" w:line="240" w:lineRule="auto"/>
        <w:outlineLvl w:val="1"/>
        <w:rPr>
          <w:rFonts w:ascii="Helvetica" w:eastAsia="Times New Roman" w:hAnsi="Helvetica" w:cs="Helvetica"/>
          <w:b/>
          <w:bCs/>
          <w:color w:val="38395A"/>
          <w:sz w:val="34"/>
          <w:szCs w:val="34"/>
          <w:lang w:val="en-US"/>
        </w:rPr>
      </w:pPr>
      <w:r w:rsidRPr="00347D6E">
        <w:rPr>
          <w:rFonts w:ascii="Helvetica" w:eastAsia="Times New Roman" w:hAnsi="Helvetica" w:cs="Helvetica"/>
          <w:b/>
          <w:bCs/>
          <w:color w:val="38395A"/>
          <w:sz w:val="34"/>
          <w:szCs w:val="34"/>
          <w:lang w:val="en-US"/>
        </w:rPr>
        <w:t>Positions of members of Payments Canada with the Bank of Canada</w:t>
      </w:r>
      <w:r>
        <w:rPr>
          <w:rFonts w:ascii="Helvetica" w:eastAsia="Times New Roman" w:hAnsi="Helvetica" w:cs="Helvetica"/>
          <w:b/>
          <w:bCs/>
          <w:color w:val="38395A"/>
          <w:sz w:val="34"/>
          <w:szCs w:val="34"/>
          <w:lang w:val="en-US"/>
        </w:rPr>
        <w:t xml:space="preserve"> (B3)</w:t>
      </w:r>
      <w:r w:rsidRPr="00347D6E">
        <w:rPr>
          <w:rFonts w:ascii="Helvetica" w:eastAsia="Times New Roman" w:hAnsi="Helvetica" w:cs="Helvetica"/>
          <w:b/>
          <w:bCs/>
          <w:color w:val="38395A"/>
          <w:sz w:val="34"/>
          <w:szCs w:val="34"/>
          <w:lang w:val="en-US"/>
        </w:rPr>
        <w:t xml:space="preserve"> </w:t>
      </w:r>
      <w:hyperlink r:id="rId20" w:history="1">
        <w:r>
          <w:rPr>
            <w:rStyle w:val="Hyperlink"/>
          </w:rPr>
          <w:t>https://www.bankofcanada.ca/rates/banking-and-financial-statistics/positions-of-members-of-payments-canada-with-the-bank-of-canada-formerly-b3/</w:t>
        </w:r>
      </w:hyperlink>
    </w:p>
    <w:p w:rsidR="00347D6E" w:rsidRPr="00347D6E" w:rsidRDefault="00347D6E" w:rsidP="00347D6E">
      <w:pPr>
        <w:shd w:val="clear" w:color="auto" w:fill="FFFFFF"/>
        <w:spacing w:before="339" w:after="120" w:line="240" w:lineRule="auto"/>
        <w:outlineLvl w:val="1"/>
        <w:rPr>
          <w:rFonts w:ascii="Helvetica" w:eastAsia="Times New Roman" w:hAnsi="Helvetica" w:cs="Helvetica"/>
          <w:b/>
          <w:bCs/>
          <w:color w:val="38395A"/>
          <w:sz w:val="34"/>
          <w:szCs w:val="34"/>
          <w:lang w:val="en-US"/>
        </w:rPr>
      </w:pPr>
      <w:r w:rsidRPr="00347D6E">
        <w:rPr>
          <w:rFonts w:ascii="Helvetica" w:eastAsia="Times New Roman" w:hAnsi="Helvetica" w:cs="Helvetica"/>
          <w:b/>
          <w:bCs/>
          <w:color w:val="38395A"/>
          <w:sz w:val="34"/>
          <w:szCs w:val="34"/>
          <w:lang w:val="en-US"/>
        </w:rPr>
        <w:t>Weekly Series</w:t>
      </w:r>
    </w:p>
    <w:p w:rsidR="00347D6E" w:rsidRPr="00347D6E" w:rsidRDefault="00347D6E" w:rsidP="00347D6E">
      <w:pPr>
        <w:shd w:val="clear" w:color="auto" w:fill="FFFFFF"/>
        <w:spacing w:line="240" w:lineRule="auto"/>
        <w:rPr>
          <w:rFonts w:ascii="Helvetica" w:eastAsia="Times New Roman" w:hAnsi="Helvetica" w:cs="Helvetica"/>
          <w:color w:val="38395A"/>
          <w:lang w:val="en-US"/>
        </w:rPr>
      </w:pPr>
      <w:r w:rsidRPr="00347D6E">
        <w:rPr>
          <w:rFonts w:ascii="Helvetica" w:eastAsia="Times New Roman" w:hAnsi="Helvetica" w:cs="Helvetica"/>
          <w:color w:val="38395A"/>
          <w:lang w:val="en-US"/>
        </w:rPr>
        <w:t>Data available as: </w:t>
      </w:r>
      <w:hyperlink r:id="rId21" w:history="1">
        <w:r w:rsidRPr="00347D6E">
          <w:rPr>
            <w:rFonts w:ascii="Helvetica" w:eastAsia="Times New Roman" w:hAnsi="Helvetica" w:cs="Helvetica"/>
            <w:b/>
            <w:bCs/>
            <w:color w:val="397AB2"/>
            <w:lang w:val="en-US"/>
          </w:rPr>
          <w:t>CSV</w:t>
        </w:r>
      </w:hyperlink>
      <w:r w:rsidRPr="00347D6E">
        <w:rPr>
          <w:rFonts w:ascii="Helvetica" w:eastAsia="Times New Roman" w:hAnsi="Helvetica" w:cs="Helvetica"/>
          <w:color w:val="38395A"/>
          <w:lang w:val="en-US"/>
        </w:rPr>
        <w:t>, </w:t>
      </w:r>
      <w:hyperlink r:id="rId22" w:history="1">
        <w:r w:rsidRPr="00347D6E">
          <w:rPr>
            <w:rFonts w:ascii="Helvetica" w:eastAsia="Times New Roman" w:hAnsi="Helvetica" w:cs="Helvetica"/>
            <w:b/>
            <w:bCs/>
            <w:color w:val="397AB2"/>
            <w:lang w:val="en-US"/>
          </w:rPr>
          <w:t>JSON</w:t>
        </w:r>
      </w:hyperlink>
      <w:r w:rsidRPr="00347D6E">
        <w:rPr>
          <w:rFonts w:ascii="Helvetica" w:eastAsia="Times New Roman" w:hAnsi="Helvetica" w:cs="Helvetica"/>
          <w:color w:val="38395A"/>
          <w:lang w:val="en-US"/>
        </w:rPr>
        <w:t> and </w:t>
      </w:r>
      <w:hyperlink r:id="rId23" w:history="1">
        <w:r w:rsidRPr="00347D6E">
          <w:rPr>
            <w:rFonts w:ascii="Helvetica" w:eastAsia="Times New Roman" w:hAnsi="Helvetica" w:cs="Helvetica"/>
            <w:b/>
            <w:bCs/>
            <w:color w:val="397AB2"/>
            <w:lang w:val="en-US"/>
          </w:rPr>
          <w:t>XML</w:t>
        </w:r>
      </w:hyperlink>
    </w:p>
    <w:tbl>
      <w:tblPr>
        <w:tblW w:w="13680" w:type="dxa"/>
        <w:tblBorders>
          <w:top w:val="single" w:sz="4" w:space="0" w:color="32333E"/>
          <w:left w:val="single" w:sz="4" w:space="0" w:color="32333E"/>
          <w:bottom w:val="single" w:sz="2" w:space="0" w:color="32333E"/>
          <w:right w:val="single" w:sz="4" w:space="0" w:color="32333E"/>
        </w:tblBorders>
        <w:tblCellMar>
          <w:top w:w="15" w:type="dxa"/>
          <w:left w:w="15" w:type="dxa"/>
          <w:bottom w:w="15" w:type="dxa"/>
          <w:right w:w="15" w:type="dxa"/>
        </w:tblCellMar>
        <w:tblLook w:val="04A0"/>
      </w:tblPr>
      <w:tblGrid>
        <w:gridCol w:w="2901"/>
        <w:gridCol w:w="1931"/>
        <w:gridCol w:w="1170"/>
        <w:gridCol w:w="745"/>
        <w:gridCol w:w="783"/>
        <w:gridCol w:w="783"/>
        <w:gridCol w:w="783"/>
        <w:gridCol w:w="783"/>
        <w:gridCol w:w="783"/>
        <w:gridCol w:w="783"/>
        <w:gridCol w:w="745"/>
        <w:gridCol w:w="1490"/>
      </w:tblGrid>
      <w:tr w:rsidR="00347D6E" w:rsidRPr="00347D6E" w:rsidTr="00347D6E">
        <w:trPr>
          <w:tblHeader/>
        </w:trPr>
        <w:tc>
          <w:tcPr>
            <w:tcW w:w="0" w:type="auto"/>
            <w:gridSpan w:val="2"/>
            <w:shd w:val="clear" w:color="auto" w:fill="32333E"/>
            <w:tcMar>
              <w:top w:w="36" w:type="dxa"/>
              <w:left w:w="72"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FFFCF3"/>
                <w:lang w:val="en-US"/>
              </w:rPr>
            </w:pPr>
            <w:r w:rsidRPr="00347D6E">
              <w:rPr>
                <w:rFonts w:ascii="Helvetica" w:eastAsia="Times New Roman" w:hAnsi="Helvetica" w:cs="Helvetica"/>
                <w:color w:val="FFFCF3"/>
                <w:lang w:val="en-US"/>
              </w:rPr>
              <w:t>Weekly Wednesday, Millions of dollars</w:t>
            </w:r>
            <w:hyperlink r:id="rId24" w:anchor="footnote-1" w:tooltip="In the event that an Emergency Lending Assistance (ELA) advance is made, the advance will not be included until public disclosures have otherwise occurred. Any outstanding ELA advances are included in the Bank’s monthly balance sheet and its annual and quarterly financial statements. The Banking and Financial Statistics will not be restated after ELA has been otherwise disclosed." w:history="1">
              <w:r w:rsidRPr="00347D6E">
                <w:rPr>
                  <w:rFonts w:ascii="Helvetica" w:eastAsia="Times New Roman" w:hAnsi="Helvetica" w:cs="Helvetica"/>
                  <w:b/>
                  <w:bCs/>
                  <w:color w:val="9BCEF8"/>
                  <w:sz w:val="13"/>
                  <w:lang w:val="en-US"/>
                </w:rPr>
                <w:t>1</w:t>
              </w:r>
            </w:hyperlink>
            <w:r w:rsidRPr="00347D6E">
              <w:rPr>
                <w:rFonts w:ascii="Helvetica" w:eastAsia="Times New Roman" w:hAnsi="Helvetica" w:cs="Helvetica"/>
                <w:color w:val="FFFCF3"/>
                <w:lang w:val="en-US"/>
              </w:rPr>
              <w:t> </w:t>
            </w:r>
            <w:hyperlink r:id="rId25" w:anchor="footnote-2" w:tooltip="Payments Canada was formerly known as Canadian Payments Association." w:history="1">
              <w:r w:rsidRPr="00347D6E">
                <w:rPr>
                  <w:rFonts w:ascii="Helvetica" w:eastAsia="Times New Roman" w:hAnsi="Helvetica" w:cs="Helvetica"/>
                  <w:b/>
                  <w:bCs/>
                  <w:color w:val="9BCEF8"/>
                  <w:sz w:val="13"/>
                  <w:lang w:val="en-US"/>
                </w:rPr>
                <w:t>2</w:t>
              </w:r>
            </w:hyperlink>
          </w:p>
        </w:tc>
        <w:tc>
          <w:tcPr>
            <w:tcW w:w="0" w:type="auto"/>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CANSIM</w:t>
            </w:r>
          </w:p>
        </w:tc>
        <w:tc>
          <w:tcPr>
            <w:tcW w:w="0" w:type="auto"/>
            <w:gridSpan w:val="2"/>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06</w:t>
            </w:r>
            <w:r w:rsidRPr="00347D6E">
              <w:rPr>
                <w:rFonts w:ascii="Helvetica" w:eastAsia="Times New Roman" w:hAnsi="Helvetica" w:cs="Helvetica"/>
                <w:color w:val="FFFCF3"/>
                <w:lang w:val="en-US"/>
              </w:rPr>
              <w:noBreakHyphen/>
              <w:t>10</w:t>
            </w:r>
          </w:p>
        </w:tc>
        <w:tc>
          <w:tcPr>
            <w:tcW w:w="0" w:type="auto"/>
            <w:gridSpan w:val="2"/>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06</w:t>
            </w:r>
            <w:r w:rsidRPr="00347D6E">
              <w:rPr>
                <w:rFonts w:ascii="Helvetica" w:eastAsia="Times New Roman" w:hAnsi="Helvetica" w:cs="Helvetica"/>
                <w:color w:val="FFFCF3"/>
                <w:lang w:val="en-US"/>
              </w:rPr>
              <w:noBreakHyphen/>
              <w:t>17</w:t>
            </w:r>
          </w:p>
        </w:tc>
        <w:tc>
          <w:tcPr>
            <w:tcW w:w="0" w:type="auto"/>
            <w:gridSpan w:val="2"/>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06</w:t>
            </w:r>
            <w:r w:rsidRPr="00347D6E">
              <w:rPr>
                <w:rFonts w:ascii="Helvetica" w:eastAsia="Times New Roman" w:hAnsi="Helvetica" w:cs="Helvetica"/>
                <w:color w:val="FFFCF3"/>
                <w:lang w:val="en-US"/>
              </w:rPr>
              <w:noBreakHyphen/>
              <w:t>24</w:t>
            </w:r>
          </w:p>
        </w:tc>
        <w:tc>
          <w:tcPr>
            <w:tcW w:w="0" w:type="auto"/>
            <w:gridSpan w:val="2"/>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07</w:t>
            </w:r>
            <w:r w:rsidRPr="00347D6E">
              <w:rPr>
                <w:rFonts w:ascii="Helvetica" w:eastAsia="Times New Roman" w:hAnsi="Helvetica" w:cs="Helvetica"/>
                <w:color w:val="FFFCF3"/>
                <w:lang w:val="en-US"/>
              </w:rPr>
              <w:noBreakHyphen/>
              <w:t>01</w:t>
            </w:r>
          </w:p>
        </w:tc>
        <w:tc>
          <w:tcPr>
            <w:tcW w:w="0" w:type="auto"/>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07</w:t>
            </w:r>
            <w:r w:rsidRPr="00347D6E">
              <w:rPr>
                <w:rFonts w:ascii="Helvetica" w:eastAsia="Times New Roman" w:hAnsi="Helvetica" w:cs="Helvetica"/>
                <w:color w:val="FFFCF3"/>
                <w:lang w:val="en-US"/>
              </w:rPr>
              <w:noBreakHyphen/>
              <w:t>08</w:t>
            </w:r>
          </w:p>
        </w:tc>
      </w:tr>
      <w:tr w:rsidR="00347D6E" w:rsidRPr="00347D6E" w:rsidTr="00347D6E">
        <w:tblPrEx>
          <w:tblBorders>
            <w:bottom w:val="single" w:sz="4" w:space="0" w:color="32333E"/>
          </w:tblBorders>
        </w:tblPrEx>
        <w:trPr>
          <w:trHeight w:val="330"/>
          <w:tblHeader/>
        </w:trPr>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gridSpan w:val="2"/>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gridSpan w:val="2"/>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gridSpan w:val="2"/>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gridSpan w:val="2"/>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gridSpan w:val="2"/>
            <w:shd w:val="clear" w:color="auto" w:fill="auto"/>
            <w:hideMark/>
          </w:tcPr>
          <w:p w:rsidR="00347D6E" w:rsidRPr="00347D6E" w:rsidRDefault="00347D6E" w:rsidP="00347D6E">
            <w:pPr>
              <w:spacing w:after="0" w:line="240" w:lineRule="auto"/>
              <w:rPr>
                <w:rFonts w:eastAsia="Times New Roman"/>
                <w:b/>
                <w:bCs/>
                <w:color w:val="32333E"/>
                <w:lang w:val="en-US"/>
              </w:rPr>
            </w:pPr>
          </w:p>
        </w:tc>
      </w:tr>
      <w:tr w:rsidR="00347D6E" w:rsidRPr="00347D6E" w:rsidTr="00347D6E">
        <w:tblPrEx>
          <w:tblBorders>
            <w:bottom w:val="single" w:sz="4" w:space="0" w:color="32333E"/>
          </w:tblBorders>
        </w:tblPrEx>
        <w:tc>
          <w:tcPr>
            <w:tcW w:w="0" w:type="auto"/>
            <w:gridSpan w:val="12"/>
            <w:shd w:val="clear" w:color="auto" w:fill="auto"/>
            <w:tcMar>
              <w:top w:w="36" w:type="dxa"/>
              <w:left w:w="72"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Total overdraft loans</w:t>
            </w:r>
          </w:p>
        </w:tc>
      </w:tr>
      <w:tr w:rsidR="00347D6E" w:rsidRPr="00347D6E" w:rsidTr="00347D6E">
        <w:tblPrEx>
          <w:tblBorders>
            <w:bottom w:val="single" w:sz="4" w:space="0" w:color="32333E"/>
          </w:tblBorders>
        </w:tblPrEx>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Total amount</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V41838391</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w:t>
            </w:r>
          </w:p>
        </w:tc>
      </w:tr>
      <w:tr w:rsidR="00347D6E" w:rsidRPr="00347D6E" w:rsidTr="00347D6E">
        <w:tblPrEx>
          <w:tblBorders>
            <w:bottom w:val="single" w:sz="4" w:space="0" w:color="32333E"/>
          </w:tblBorders>
        </w:tblPrEx>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Days transacted</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V41838392</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w:t>
            </w:r>
          </w:p>
        </w:tc>
      </w:tr>
      <w:tr w:rsidR="00347D6E" w:rsidRPr="00347D6E" w:rsidTr="00347D6E">
        <w:tblPrEx>
          <w:tblBorders>
            <w:bottom w:val="single" w:sz="4" w:space="0" w:color="32333E"/>
          </w:tblBorders>
        </w:tblPrEx>
        <w:tc>
          <w:tcPr>
            <w:tcW w:w="0" w:type="auto"/>
            <w:gridSpan w:val="12"/>
            <w:shd w:val="clear" w:color="auto" w:fill="auto"/>
            <w:tcMar>
              <w:top w:w="36" w:type="dxa"/>
              <w:left w:w="72"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Total positive balances</w:t>
            </w:r>
          </w:p>
        </w:tc>
      </w:tr>
      <w:tr w:rsidR="00347D6E" w:rsidRPr="00347D6E" w:rsidTr="00347D6E">
        <w:tblPrEx>
          <w:tblBorders>
            <w:bottom w:val="single" w:sz="4" w:space="0" w:color="32333E"/>
          </w:tblBorders>
        </w:tblPrEx>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Total amount</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V41838393</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1,203,131</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1,286,455</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1,306,445</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1,084,301</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1,225,815</w:t>
            </w:r>
          </w:p>
        </w:tc>
      </w:tr>
      <w:tr w:rsidR="00347D6E" w:rsidRPr="00347D6E" w:rsidTr="00347D6E">
        <w:tblPrEx>
          <w:tblBorders>
            <w:bottom w:val="single" w:sz="4" w:space="0" w:color="32333E"/>
          </w:tblBorders>
        </w:tblPrEx>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lastRenderedPageBreak/>
              <w:t>Days transacted</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V41838394</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4</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w:t>
            </w:r>
          </w:p>
        </w:tc>
      </w:tr>
      <w:tr w:rsidR="00347D6E" w:rsidRPr="00347D6E" w:rsidTr="00347D6E">
        <w:tblPrEx>
          <w:tblBorders>
            <w:bottom w:val="single" w:sz="4" w:space="0" w:color="32333E"/>
          </w:tblBorders>
        </w:tblPrEx>
        <w:tc>
          <w:tcPr>
            <w:tcW w:w="0" w:type="auto"/>
            <w:gridSpan w:val="12"/>
            <w:shd w:val="clear" w:color="auto" w:fill="auto"/>
            <w:tcMar>
              <w:top w:w="36" w:type="dxa"/>
              <w:left w:w="72"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Special deposit accounts</w:t>
            </w:r>
          </w:p>
        </w:tc>
      </w:tr>
      <w:tr w:rsidR="00347D6E" w:rsidRPr="00347D6E" w:rsidTr="00347D6E">
        <w:tblPrEx>
          <w:tblBorders>
            <w:bottom w:val="single" w:sz="4" w:space="0" w:color="32333E"/>
          </w:tblBorders>
        </w:tblPrEx>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Total amount</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V41838395</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r>
      <w:tr w:rsidR="00347D6E" w:rsidRPr="00347D6E" w:rsidTr="00347D6E">
        <w:tblPrEx>
          <w:tblBorders>
            <w:bottom w:val="single" w:sz="4" w:space="0" w:color="32333E"/>
          </w:tblBorders>
        </w:tblPrEx>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Days transacted</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V41838396</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r>
    </w:tbl>
    <w:p w:rsidR="00347D6E" w:rsidRPr="00347D6E" w:rsidRDefault="00347D6E" w:rsidP="00347D6E">
      <w:pPr>
        <w:shd w:val="clear" w:color="auto" w:fill="FFFFFF"/>
        <w:spacing w:before="339" w:after="120" w:line="240" w:lineRule="auto"/>
        <w:outlineLvl w:val="1"/>
        <w:rPr>
          <w:rFonts w:ascii="Helvetica" w:eastAsia="Times New Roman" w:hAnsi="Helvetica" w:cs="Helvetica"/>
          <w:b/>
          <w:bCs/>
          <w:color w:val="38395A"/>
          <w:sz w:val="34"/>
          <w:szCs w:val="34"/>
          <w:lang w:val="en-US"/>
        </w:rPr>
      </w:pPr>
      <w:r w:rsidRPr="00347D6E">
        <w:rPr>
          <w:rFonts w:ascii="Helvetica" w:eastAsia="Times New Roman" w:hAnsi="Helvetica" w:cs="Helvetica"/>
          <w:b/>
          <w:bCs/>
          <w:color w:val="38395A"/>
          <w:sz w:val="34"/>
          <w:szCs w:val="34"/>
          <w:lang w:val="en-US"/>
        </w:rPr>
        <w:t>Monthly Series</w:t>
      </w:r>
    </w:p>
    <w:p w:rsidR="00347D6E" w:rsidRPr="00347D6E" w:rsidRDefault="00347D6E" w:rsidP="00347D6E">
      <w:pPr>
        <w:shd w:val="clear" w:color="auto" w:fill="FFFFFF"/>
        <w:spacing w:line="240" w:lineRule="auto"/>
        <w:rPr>
          <w:rFonts w:ascii="Helvetica" w:eastAsia="Times New Roman" w:hAnsi="Helvetica" w:cs="Helvetica"/>
          <w:color w:val="38395A"/>
          <w:lang w:val="en-US"/>
        </w:rPr>
      </w:pPr>
      <w:r w:rsidRPr="00347D6E">
        <w:rPr>
          <w:rFonts w:ascii="Helvetica" w:eastAsia="Times New Roman" w:hAnsi="Helvetica" w:cs="Helvetica"/>
          <w:color w:val="38395A"/>
          <w:lang w:val="en-US"/>
        </w:rPr>
        <w:t>Data available as: </w:t>
      </w:r>
      <w:hyperlink r:id="rId26" w:history="1">
        <w:r w:rsidRPr="00347D6E">
          <w:rPr>
            <w:rFonts w:ascii="Helvetica" w:eastAsia="Times New Roman" w:hAnsi="Helvetica" w:cs="Helvetica"/>
            <w:b/>
            <w:bCs/>
            <w:color w:val="397AB2"/>
            <w:lang w:val="en-US"/>
          </w:rPr>
          <w:t>CSV</w:t>
        </w:r>
      </w:hyperlink>
      <w:r w:rsidRPr="00347D6E">
        <w:rPr>
          <w:rFonts w:ascii="Helvetica" w:eastAsia="Times New Roman" w:hAnsi="Helvetica" w:cs="Helvetica"/>
          <w:color w:val="38395A"/>
          <w:lang w:val="en-US"/>
        </w:rPr>
        <w:t>, </w:t>
      </w:r>
      <w:hyperlink r:id="rId27" w:history="1">
        <w:r w:rsidRPr="00347D6E">
          <w:rPr>
            <w:rFonts w:ascii="Helvetica" w:eastAsia="Times New Roman" w:hAnsi="Helvetica" w:cs="Helvetica"/>
            <w:b/>
            <w:bCs/>
            <w:color w:val="397AB2"/>
            <w:lang w:val="en-US"/>
          </w:rPr>
          <w:t>JSON</w:t>
        </w:r>
      </w:hyperlink>
      <w:r w:rsidRPr="00347D6E">
        <w:rPr>
          <w:rFonts w:ascii="Helvetica" w:eastAsia="Times New Roman" w:hAnsi="Helvetica" w:cs="Helvetica"/>
          <w:color w:val="38395A"/>
          <w:lang w:val="en-US"/>
        </w:rPr>
        <w:t> and </w:t>
      </w:r>
      <w:hyperlink r:id="rId28" w:history="1">
        <w:r w:rsidRPr="00347D6E">
          <w:rPr>
            <w:rFonts w:ascii="Helvetica" w:eastAsia="Times New Roman" w:hAnsi="Helvetica" w:cs="Helvetica"/>
            <w:b/>
            <w:bCs/>
            <w:color w:val="397AB2"/>
            <w:lang w:val="en-US"/>
          </w:rPr>
          <w:t>XML</w:t>
        </w:r>
      </w:hyperlink>
    </w:p>
    <w:tbl>
      <w:tblPr>
        <w:tblW w:w="13680" w:type="dxa"/>
        <w:tblBorders>
          <w:top w:val="single" w:sz="4" w:space="0" w:color="32333E"/>
          <w:left w:val="single" w:sz="4" w:space="0" w:color="32333E"/>
          <w:bottom w:val="single" w:sz="2" w:space="0" w:color="32333E"/>
          <w:right w:val="single" w:sz="4" w:space="0" w:color="32333E"/>
        </w:tblBorders>
        <w:tblCellMar>
          <w:top w:w="15" w:type="dxa"/>
          <w:left w:w="15" w:type="dxa"/>
          <w:bottom w:w="15" w:type="dxa"/>
          <w:right w:w="15" w:type="dxa"/>
        </w:tblCellMar>
        <w:tblLook w:val="04A0"/>
      </w:tblPr>
      <w:tblGrid>
        <w:gridCol w:w="4078"/>
        <w:gridCol w:w="845"/>
        <w:gridCol w:w="845"/>
        <w:gridCol w:w="1264"/>
        <w:gridCol w:w="1352"/>
        <w:gridCol w:w="1202"/>
        <w:gridCol w:w="601"/>
        <w:gridCol w:w="845"/>
        <w:gridCol w:w="845"/>
        <w:gridCol w:w="601"/>
        <w:gridCol w:w="1202"/>
      </w:tblGrid>
      <w:tr w:rsidR="00347D6E" w:rsidRPr="00347D6E" w:rsidTr="00347D6E">
        <w:trPr>
          <w:tblHeader/>
        </w:trPr>
        <w:tc>
          <w:tcPr>
            <w:tcW w:w="0" w:type="auto"/>
            <w:gridSpan w:val="2"/>
            <w:shd w:val="clear" w:color="auto" w:fill="32333E"/>
            <w:tcMar>
              <w:top w:w="36" w:type="dxa"/>
              <w:left w:w="72"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FFFCF3"/>
                <w:lang w:val="en-US"/>
              </w:rPr>
            </w:pPr>
            <w:r w:rsidRPr="00347D6E">
              <w:rPr>
                <w:rFonts w:ascii="Helvetica" w:eastAsia="Times New Roman" w:hAnsi="Helvetica" w:cs="Helvetica"/>
                <w:color w:val="FFFCF3"/>
                <w:lang w:val="en-US"/>
              </w:rPr>
              <w:t>Month-end, Millions of dollars</w:t>
            </w:r>
            <w:hyperlink r:id="rId29" w:anchor="footnote-1" w:tooltip="In the event that an Emergency Lending Assistance (ELA) advance is made, the advance will not be included until public disclosures have otherwise occurred. Any outstanding ELA advances are included in the Bank’s monthly balance sheet and its annual and quarterly financial statements. The Banking and Financial Statistics will not be restated after ELA has been otherwise disclosed." w:history="1">
              <w:r w:rsidRPr="00347D6E">
                <w:rPr>
                  <w:rFonts w:ascii="Helvetica" w:eastAsia="Times New Roman" w:hAnsi="Helvetica" w:cs="Helvetica"/>
                  <w:b/>
                  <w:bCs/>
                  <w:color w:val="9BCEF8"/>
                  <w:sz w:val="13"/>
                  <w:lang w:val="en-US"/>
                </w:rPr>
                <w:t>1</w:t>
              </w:r>
            </w:hyperlink>
            <w:r w:rsidRPr="00347D6E">
              <w:rPr>
                <w:rFonts w:ascii="Helvetica" w:eastAsia="Times New Roman" w:hAnsi="Helvetica" w:cs="Helvetica"/>
                <w:color w:val="FFFCF3"/>
                <w:lang w:val="en-US"/>
              </w:rPr>
              <w:t> </w:t>
            </w:r>
            <w:hyperlink r:id="rId30" w:anchor="footnote-2" w:tooltip="Payments Canada was formerly known as Canadian Payments Association." w:history="1">
              <w:r w:rsidRPr="00347D6E">
                <w:rPr>
                  <w:rFonts w:ascii="Helvetica" w:eastAsia="Times New Roman" w:hAnsi="Helvetica" w:cs="Helvetica"/>
                  <w:b/>
                  <w:bCs/>
                  <w:color w:val="9BCEF8"/>
                  <w:sz w:val="13"/>
                  <w:lang w:val="en-US"/>
                </w:rPr>
                <w:t>2</w:t>
              </w:r>
            </w:hyperlink>
          </w:p>
        </w:tc>
        <w:tc>
          <w:tcPr>
            <w:tcW w:w="0" w:type="auto"/>
            <w:gridSpan w:val="2"/>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CANSIM</w:t>
            </w:r>
          </w:p>
        </w:tc>
        <w:tc>
          <w:tcPr>
            <w:tcW w:w="0" w:type="auto"/>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02</w:t>
            </w:r>
          </w:p>
        </w:tc>
        <w:tc>
          <w:tcPr>
            <w:tcW w:w="0" w:type="auto"/>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03</w:t>
            </w:r>
          </w:p>
        </w:tc>
        <w:tc>
          <w:tcPr>
            <w:tcW w:w="0" w:type="auto"/>
            <w:gridSpan w:val="2"/>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04</w:t>
            </w:r>
          </w:p>
        </w:tc>
        <w:tc>
          <w:tcPr>
            <w:tcW w:w="0" w:type="auto"/>
            <w:gridSpan w:val="2"/>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05</w:t>
            </w:r>
          </w:p>
        </w:tc>
        <w:tc>
          <w:tcPr>
            <w:tcW w:w="0" w:type="auto"/>
            <w:shd w:val="clear" w:color="auto" w:fill="32333E"/>
            <w:tcMar>
              <w:top w:w="36" w:type="dxa"/>
              <w:left w:w="72" w:type="dxa"/>
              <w:bottom w:w="36" w:type="dxa"/>
              <w:right w:w="72" w:type="dxa"/>
            </w:tcMar>
            <w:hideMark/>
          </w:tcPr>
          <w:p w:rsidR="00347D6E" w:rsidRPr="00347D6E" w:rsidRDefault="00347D6E" w:rsidP="00347D6E">
            <w:pPr>
              <w:spacing w:after="0" w:line="240" w:lineRule="auto"/>
              <w:jc w:val="right"/>
              <w:rPr>
                <w:rFonts w:ascii="Helvetica" w:eastAsia="Times New Roman" w:hAnsi="Helvetica" w:cs="Helvetica"/>
                <w:color w:val="FFFCF3"/>
                <w:lang w:val="en-US"/>
              </w:rPr>
            </w:pPr>
            <w:r w:rsidRPr="00347D6E">
              <w:rPr>
                <w:rFonts w:ascii="Helvetica" w:eastAsia="Times New Roman" w:hAnsi="Helvetica" w:cs="Helvetica"/>
                <w:color w:val="FFFCF3"/>
                <w:lang w:val="en-US"/>
              </w:rPr>
              <w:t>2020</w:t>
            </w:r>
            <w:r w:rsidRPr="00347D6E">
              <w:rPr>
                <w:rFonts w:ascii="Helvetica" w:eastAsia="Times New Roman" w:hAnsi="Helvetica" w:cs="Helvetica"/>
                <w:color w:val="FFFCF3"/>
                <w:lang w:val="en-US"/>
              </w:rPr>
              <w:noBreakHyphen/>
              <w:t>06</w:t>
            </w:r>
          </w:p>
        </w:tc>
      </w:tr>
      <w:tr w:rsidR="00347D6E" w:rsidRPr="00347D6E" w:rsidTr="00347D6E">
        <w:tblPrEx>
          <w:tblBorders>
            <w:bottom w:val="single" w:sz="4" w:space="0" w:color="32333E"/>
          </w:tblBorders>
        </w:tblPrEx>
        <w:trPr>
          <w:trHeight w:val="330"/>
          <w:tblHeader/>
        </w:trPr>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gridSpan w:val="2"/>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gridSpan w:val="2"/>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gridSpan w:val="2"/>
            <w:shd w:val="clear" w:color="auto" w:fill="auto"/>
            <w:hideMark/>
          </w:tcPr>
          <w:p w:rsidR="00347D6E" w:rsidRPr="00347D6E" w:rsidRDefault="00347D6E" w:rsidP="00347D6E">
            <w:pPr>
              <w:spacing w:after="0" w:line="240" w:lineRule="auto"/>
              <w:rPr>
                <w:rFonts w:eastAsia="Times New Roman"/>
                <w:b/>
                <w:bCs/>
                <w:color w:val="32333E"/>
                <w:lang w:val="en-US"/>
              </w:rPr>
            </w:pPr>
          </w:p>
        </w:tc>
        <w:tc>
          <w:tcPr>
            <w:tcW w:w="0" w:type="auto"/>
            <w:gridSpan w:val="2"/>
            <w:shd w:val="clear" w:color="auto" w:fill="auto"/>
            <w:hideMark/>
          </w:tcPr>
          <w:p w:rsidR="00347D6E" w:rsidRPr="00347D6E" w:rsidRDefault="00347D6E" w:rsidP="00347D6E">
            <w:pPr>
              <w:spacing w:after="0" w:line="240" w:lineRule="auto"/>
              <w:rPr>
                <w:rFonts w:eastAsia="Times New Roman"/>
                <w:b/>
                <w:bCs/>
                <w:color w:val="32333E"/>
                <w:lang w:val="en-US"/>
              </w:rPr>
            </w:pPr>
          </w:p>
        </w:tc>
      </w:tr>
      <w:tr w:rsidR="00347D6E" w:rsidRPr="00347D6E" w:rsidTr="00347D6E">
        <w:tblPrEx>
          <w:tblBorders>
            <w:bottom w:val="single" w:sz="4" w:space="0" w:color="32333E"/>
          </w:tblBorders>
        </w:tblPrEx>
        <w:tc>
          <w:tcPr>
            <w:tcW w:w="0" w:type="auto"/>
            <w:gridSpan w:val="11"/>
            <w:shd w:val="clear" w:color="auto" w:fill="auto"/>
            <w:tcMar>
              <w:top w:w="36" w:type="dxa"/>
              <w:left w:w="72"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Total overdraft loans</w:t>
            </w:r>
          </w:p>
        </w:tc>
      </w:tr>
      <w:tr w:rsidR="00347D6E" w:rsidRPr="00347D6E" w:rsidTr="00347D6E">
        <w:tblPrEx>
          <w:tblBorders>
            <w:bottom w:val="single" w:sz="4" w:space="0" w:color="32333E"/>
          </w:tblBorders>
        </w:tblPrEx>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Total amount</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V41838377</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9,417</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1,883</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w:t>
            </w:r>
          </w:p>
        </w:tc>
      </w:tr>
      <w:tr w:rsidR="00347D6E" w:rsidRPr="00347D6E" w:rsidTr="00347D6E">
        <w:tblPrEx>
          <w:tblBorders>
            <w:bottom w:val="single" w:sz="4" w:space="0" w:color="32333E"/>
          </w:tblBorders>
        </w:tblPrEx>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Days transacted</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V41838378</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7</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6</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1</w:t>
            </w:r>
          </w:p>
        </w:tc>
      </w:tr>
      <w:tr w:rsidR="00347D6E" w:rsidRPr="00347D6E" w:rsidTr="00347D6E">
        <w:tblPrEx>
          <w:tblBorders>
            <w:bottom w:val="single" w:sz="4" w:space="0" w:color="32333E"/>
          </w:tblBorders>
        </w:tblPrEx>
        <w:tc>
          <w:tcPr>
            <w:tcW w:w="0" w:type="auto"/>
            <w:gridSpan w:val="11"/>
            <w:shd w:val="clear" w:color="auto" w:fill="auto"/>
            <w:tcMar>
              <w:top w:w="36" w:type="dxa"/>
              <w:left w:w="72"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Total positive balances</w:t>
            </w:r>
          </w:p>
        </w:tc>
      </w:tr>
      <w:tr w:rsidR="00347D6E" w:rsidRPr="00347D6E" w:rsidTr="00347D6E">
        <w:tblPrEx>
          <w:tblBorders>
            <w:bottom w:val="single" w:sz="4" w:space="0" w:color="32333E"/>
          </w:tblBorders>
        </w:tblPrEx>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Total amount</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V41838379</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5,245</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highlight w:val="yellow"/>
                <w:lang w:val="en-US"/>
              </w:rPr>
            </w:pPr>
            <w:r w:rsidRPr="00347D6E">
              <w:rPr>
                <w:rFonts w:ascii="Courier New" w:eastAsia="Times New Roman" w:hAnsi="Courier New" w:cs="Courier New"/>
                <w:color w:val="32333E"/>
                <w:highlight w:val="yellow"/>
                <w:lang w:val="en-US"/>
              </w:rPr>
              <w:t>209,674</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highlight w:val="yellow"/>
                <w:lang w:val="en-US"/>
              </w:rPr>
            </w:pPr>
            <w:r w:rsidRPr="00347D6E">
              <w:rPr>
                <w:rFonts w:ascii="Courier New" w:eastAsia="Times New Roman" w:hAnsi="Courier New" w:cs="Courier New"/>
                <w:color w:val="32333E"/>
                <w:highlight w:val="yellow"/>
                <w:lang w:val="en-US"/>
              </w:rPr>
              <w:t>3,410,502</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highlight w:val="yellow"/>
                <w:lang w:val="en-US"/>
              </w:rPr>
            </w:pPr>
            <w:r w:rsidRPr="00347D6E">
              <w:rPr>
                <w:rFonts w:ascii="Courier New" w:eastAsia="Times New Roman" w:hAnsi="Courier New" w:cs="Courier New"/>
                <w:color w:val="32333E"/>
                <w:highlight w:val="yellow"/>
                <w:lang w:val="en-US"/>
              </w:rPr>
              <w:t>4,112,329</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highlight w:val="yellow"/>
                <w:lang w:val="en-US"/>
              </w:rPr>
            </w:pPr>
            <w:r w:rsidRPr="00347D6E">
              <w:rPr>
                <w:rFonts w:ascii="Courier New" w:eastAsia="Times New Roman" w:hAnsi="Courier New" w:cs="Courier New"/>
                <w:color w:val="32333E"/>
                <w:highlight w:val="yellow"/>
                <w:lang w:val="en-US"/>
              </w:rPr>
              <w:t>5,613,701</w:t>
            </w:r>
          </w:p>
        </w:tc>
      </w:tr>
      <w:tr w:rsidR="00347D6E" w:rsidRPr="00347D6E" w:rsidTr="00347D6E">
        <w:tblPrEx>
          <w:tblBorders>
            <w:bottom w:val="single" w:sz="4" w:space="0" w:color="32333E"/>
          </w:tblBorders>
        </w:tblPrEx>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Days transacted</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V41838380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22</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21</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22</w:t>
            </w:r>
          </w:p>
        </w:tc>
      </w:tr>
      <w:tr w:rsidR="00347D6E" w:rsidRPr="00347D6E" w:rsidTr="00347D6E">
        <w:tblPrEx>
          <w:tblBorders>
            <w:bottom w:val="single" w:sz="4" w:space="0" w:color="32333E"/>
          </w:tblBorders>
        </w:tblPrEx>
        <w:tc>
          <w:tcPr>
            <w:tcW w:w="0" w:type="auto"/>
            <w:gridSpan w:val="11"/>
            <w:shd w:val="clear" w:color="auto" w:fill="auto"/>
            <w:tcMar>
              <w:top w:w="36" w:type="dxa"/>
              <w:left w:w="72"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Special deposit accounts</w:t>
            </w:r>
          </w:p>
        </w:tc>
      </w:tr>
      <w:tr w:rsidR="00347D6E" w:rsidRPr="00347D6E" w:rsidTr="00347D6E">
        <w:tblPrEx>
          <w:tblBorders>
            <w:bottom w:val="single" w:sz="4" w:space="0" w:color="32333E"/>
          </w:tblBorders>
        </w:tblPrEx>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Total amount</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V41838381</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r>
      <w:tr w:rsidR="00347D6E" w:rsidRPr="00347D6E" w:rsidTr="00347D6E">
        <w:tblPrEx>
          <w:tblBorders>
            <w:bottom w:val="single" w:sz="4" w:space="0" w:color="32333E"/>
          </w:tblBorders>
        </w:tblPrEx>
        <w:tc>
          <w:tcPr>
            <w:tcW w:w="0" w:type="auto"/>
            <w:shd w:val="clear" w:color="auto" w:fill="auto"/>
            <w:tcMar>
              <w:top w:w="36" w:type="dxa"/>
              <w:left w:w="360" w:type="dxa"/>
              <w:bottom w:w="36" w:type="dxa"/>
              <w:right w:w="72" w:type="dxa"/>
            </w:tcMar>
            <w:hideMark/>
          </w:tcPr>
          <w:p w:rsidR="00347D6E" w:rsidRPr="00347D6E" w:rsidRDefault="00347D6E" w:rsidP="00347D6E">
            <w:pPr>
              <w:spacing w:after="0" w:line="240" w:lineRule="auto"/>
              <w:rPr>
                <w:rFonts w:ascii="Helvetica" w:eastAsia="Times New Roman" w:hAnsi="Helvetica" w:cs="Helvetica"/>
                <w:color w:val="32333E"/>
                <w:lang w:val="en-US"/>
              </w:rPr>
            </w:pPr>
            <w:r w:rsidRPr="00347D6E">
              <w:rPr>
                <w:rFonts w:ascii="Helvetica" w:eastAsia="Times New Roman" w:hAnsi="Helvetica" w:cs="Helvetica"/>
                <w:color w:val="32333E"/>
                <w:lang w:val="en-US"/>
              </w:rPr>
              <w:t>Days transacted</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V41838382</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c>
          <w:tcPr>
            <w:tcW w:w="0" w:type="auto"/>
            <w:gridSpan w:val="2"/>
            <w:shd w:val="clear" w:color="auto" w:fill="auto"/>
            <w:tcMar>
              <w:top w:w="36" w:type="dxa"/>
              <w:left w:w="72" w:type="dxa"/>
              <w:bottom w:w="36" w:type="dxa"/>
              <w:right w:w="72" w:type="dxa"/>
            </w:tcMar>
            <w:vAlign w:val="center"/>
            <w:hideMark/>
          </w:tcPr>
          <w:p w:rsidR="00347D6E" w:rsidRPr="00347D6E" w:rsidRDefault="00347D6E" w:rsidP="00347D6E">
            <w:pPr>
              <w:spacing w:after="0" w:line="240" w:lineRule="auto"/>
              <w:jc w:val="right"/>
              <w:rPr>
                <w:rFonts w:ascii="Courier New" w:eastAsia="Times New Roman" w:hAnsi="Courier New" w:cs="Courier New"/>
                <w:color w:val="32333E"/>
                <w:lang w:val="en-US"/>
              </w:rPr>
            </w:pPr>
            <w:r w:rsidRPr="00347D6E">
              <w:rPr>
                <w:rFonts w:ascii="Courier New" w:eastAsia="Times New Roman" w:hAnsi="Courier New" w:cs="Courier New"/>
                <w:color w:val="32333E"/>
                <w:lang w:val="en-US"/>
              </w:rPr>
              <w:t>0</w:t>
            </w:r>
          </w:p>
        </w:tc>
      </w:tr>
    </w:tbl>
    <w:p w:rsidR="00013686" w:rsidRDefault="00013686"/>
    <w:sectPr w:rsidR="00013686" w:rsidSect="00347D6E">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347D6E"/>
    <w:rsid w:val="00013686"/>
    <w:rsid w:val="000425E7"/>
    <w:rsid w:val="00347D6E"/>
    <w:rsid w:val="00784AE8"/>
    <w:rsid w:val="00943AE5"/>
    <w:rsid w:val="00CB1DA9"/>
    <w:rsid w:val="00FD6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AE8"/>
    <w:rPr>
      <w:lang w:val="en-CA"/>
    </w:rPr>
  </w:style>
  <w:style w:type="paragraph" w:styleId="Heading1">
    <w:name w:val="heading 1"/>
    <w:basedOn w:val="Normal"/>
    <w:next w:val="Normal"/>
    <w:link w:val="Heading1Char"/>
    <w:uiPriority w:val="9"/>
    <w:qFormat/>
    <w:rsid w:val="00784A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4A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4AE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84A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84AE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84AE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84AE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84AE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84A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A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4A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4AE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84AE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84AE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84AE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84AE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84AE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84AE8"/>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784AE8"/>
    <w:pPr>
      <w:spacing w:after="0" w:line="240" w:lineRule="auto"/>
    </w:pPr>
  </w:style>
  <w:style w:type="paragraph" w:styleId="ListParagraph">
    <w:name w:val="List Paragraph"/>
    <w:basedOn w:val="Normal"/>
    <w:uiPriority w:val="34"/>
    <w:qFormat/>
    <w:rsid w:val="00784AE8"/>
    <w:pPr>
      <w:ind w:left="720"/>
      <w:contextualSpacing/>
    </w:pPr>
  </w:style>
  <w:style w:type="character" w:styleId="Hyperlink">
    <w:name w:val="Hyperlink"/>
    <w:basedOn w:val="DefaultParagraphFont"/>
    <w:uiPriority w:val="99"/>
    <w:semiHidden/>
    <w:unhideWhenUsed/>
    <w:rsid w:val="00347D6E"/>
    <w:rPr>
      <w:color w:val="0000FF"/>
      <w:u w:val="single"/>
    </w:rPr>
  </w:style>
</w:styles>
</file>

<file path=word/webSettings.xml><?xml version="1.0" encoding="utf-8"?>
<w:webSettings xmlns:r="http://schemas.openxmlformats.org/officeDocument/2006/relationships" xmlns:w="http://schemas.openxmlformats.org/wordprocessingml/2006/main">
  <w:divs>
    <w:div w:id="399907016">
      <w:bodyDiv w:val="1"/>
      <w:marLeft w:val="0"/>
      <w:marRight w:val="0"/>
      <w:marTop w:val="0"/>
      <w:marBottom w:val="0"/>
      <w:divBdr>
        <w:top w:val="none" w:sz="0" w:space="0" w:color="auto"/>
        <w:left w:val="none" w:sz="0" w:space="0" w:color="auto"/>
        <w:bottom w:val="none" w:sz="0" w:space="0" w:color="auto"/>
        <w:right w:val="none" w:sz="0" w:space="0" w:color="auto"/>
      </w:divBdr>
    </w:div>
    <w:div w:id="467091621">
      <w:bodyDiv w:val="1"/>
      <w:marLeft w:val="0"/>
      <w:marRight w:val="0"/>
      <w:marTop w:val="0"/>
      <w:marBottom w:val="0"/>
      <w:divBdr>
        <w:top w:val="none" w:sz="0" w:space="0" w:color="auto"/>
        <w:left w:val="none" w:sz="0" w:space="0" w:color="auto"/>
        <w:bottom w:val="none" w:sz="0" w:space="0" w:color="auto"/>
        <w:right w:val="none" w:sz="0" w:space="0" w:color="auto"/>
      </w:divBdr>
      <w:divsChild>
        <w:div w:id="872840370">
          <w:marLeft w:val="0"/>
          <w:marRight w:val="0"/>
          <w:marTop w:val="0"/>
          <w:marBottom w:val="0"/>
          <w:divBdr>
            <w:top w:val="none" w:sz="0" w:space="0" w:color="auto"/>
            <w:left w:val="none" w:sz="0" w:space="0" w:color="auto"/>
            <w:bottom w:val="none" w:sz="0" w:space="0" w:color="auto"/>
            <w:right w:val="none" w:sz="0" w:space="0" w:color="auto"/>
          </w:divBdr>
          <w:divsChild>
            <w:div w:id="1087650561">
              <w:marLeft w:val="0"/>
              <w:marRight w:val="0"/>
              <w:marTop w:val="0"/>
              <w:marBottom w:val="0"/>
              <w:divBdr>
                <w:top w:val="none" w:sz="0" w:space="0" w:color="auto"/>
                <w:left w:val="none" w:sz="0" w:space="0" w:color="auto"/>
                <w:bottom w:val="none" w:sz="0" w:space="0" w:color="auto"/>
                <w:right w:val="none" w:sz="0" w:space="0" w:color="auto"/>
              </w:divBdr>
            </w:div>
          </w:divsChild>
        </w:div>
        <w:div w:id="402030057">
          <w:marLeft w:val="0"/>
          <w:marRight w:val="0"/>
          <w:marTop w:val="0"/>
          <w:marBottom w:val="0"/>
          <w:divBdr>
            <w:top w:val="none" w:sz="0" w:space="0" w:color="auto"/>
            <w:left w:val="none" w:sz="0" w:space="0" w:color="auto"/>
            <w:bottom w:val="none" w:sz="0" w:space="0" w:color="auto"/>
            <w:right w:val="none" w:sz="0" w:space="0" w:color="auto"/>
          </w:divBdr>
          <w:divsChild>
            <w:div w:id="2115905733">
              <w:marLeft w:val="0"/>
              <w:marRight w:val="0"/>
              <w:marTop w:val="0"/>
              <w:marBottom w:val="0"/>
              <w:divBdr>
                <w:top w:val="none" w:sz="0" w:space="0" w:color="auto"/>
                <w:left w:val="none" w:sz="0" w:space="0" w:color="auto"/>
                <w:bottom w:val="none" w:sz="0" w:space="0" w:color="auto"/>
                <w:right w:val="none" w:sz="0" w:space="0" w:color="auto"/>
              </w:divBdr>
              <w:divsChild>
                <w:div w:id="1718161182">
                  <w:marLeft w:val="0"/>
                  <w:marRight w:val="0"/>
                  <w:marTop w:val="0"/>
                  <w:marBottom w:val="252"/>
                  <w:divBdr>
                    <w:top w:val="none" w:sz="0" w:space="0" w:color="auto"/>
                    <w:left w:val="none" w:sz="0" w:space="0" w:color="auto"/>
                    <w:bottom w:val="none" w:sz="0" w:space="0" w:color="auto"/>
                    <w:right w:val="none" w:sz="0" w:space="0" w:color="auto"/>
                  </w:divBdr>
                </w:div>
              </w:divsChild>
            </w:div>
          </w:divsChild>
        </w:div>
        <w:div w:id="111293668">
          <w:marLeft w:val="0"/>
          <w:marRight w:val="0"/>
          <w:marTop w:val="0"/>
          <w:marBottom w:val="0"/>
          <w:divBdr>
            <w:top w:val="none" w:sz="0" w:space="0" w:color="auto"/>
            <w:left w:val="none" w:sz="0" w:space="0" w:color="auto"/>
            <w:bottom w:val="none" w:sz="0" w:space="0" w:color="auto"/>
            <w:right w:val="none" w:sz="0" w:space="0" w:color="auto"/>
          </w:divBdr>
          <w:divsChild>
            <w:div w:id="1612936917">
              <w:marLeft w:val="0"/>
              <w:marRight w:val="0"/>
              <w:marTop w:val="0"/>
              <w:marBottom w:val="0"/>
              <w:divBdr>
                <w:top w:val="none" w:sz="0" w:space="0" w:color="auto"/>
                <w:left w:val="none" w:sz="0" w:space="0" w:color="auto"/>
                <w:bottom w:val="none" w:sz="0" w:space="0" w:color="auto"/>
                <w:right w:val="none" w:sz="0" w:space="0" w:color="auto"/>
              </w:divBdr>
              <w:divsChild>
                <w:div w:id="1819415713">
                  <w:marLeft w:val="0"/>
                  <w:marRight w:val="0"/>
                  <w:marTop w:val="0"/>
                  <w:marBottom w:val="180"/>
                  <w:divBdr>
                    <w:top w:val="none" w:sz="0" w:space="0" w:color="auto"/>
                    <w:left w:val="none" w:sz="0" w:space="0" w:color="auto"/>
                    <w:bottom w:val="none" w:sz="0" w:space="0" w:color="auto"/>
                    <w:right w:val="none" w:sz="0" w:space="0" w:color="auto"/>
                  </w:divBdr>
                  <w:divsChild>
                    <w:div w:id="926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6756">
      <w:bodyDiv w:val="1"/>
      <w:marLeft w:val="0"/>
      <w:marRight w:val="0"/>
      <w:marTop w:val="0"/>
      <w:marBottom w:val="0"/>
      <w:divBdr>
        <w:top w:val="none" w:sz="0" w:space="0" w:color="auto"/>
        <w:left w:val="none" w:sz="0" w:space="0" w:color="auto"/>
        <w:bottom w:val="none" w:sz="0" w:space="0" w:color="auto"/>
        <w:right w:val="none" w:sz="0" w:space="0" w:color="auto"/>
      </w:divBdr>
    </w:div>
    <w:div w:id="826357338">
      <w:bodyDiv w:val="1"/>
      <w:marLeft w:val="0"/>
      <w:marRight w:val="0"/>
      <w:marTop w:val="0"/>
      <w:marBottom w:val="0"/>
      <w:divBdr>
        <w:top w:val="none" w:sz="0" w:space="0" w:color="auto"/>
        <w:left w:val="none" w:sz="0" w:space="0" w:color="auto"/>
        <w:bottom w:val="none" w:sz="0" w:space="0" w:color="auto"/>
        <w:right w:val="none" w:sz="0" w:space="0" w:color="auto"/>
      </w:divBdr>
    </w:div>
    <w:div w:id="1300648318">
      <w:bodyDiv w:val="1"/>
      <w:marLeft w:val="0"/>
      <w:marRight w:val="0"/>
      <w:marTop w:val="0"/>
      <w:marBottom w:val="0"/>
      <w:divBdr>
        <w:top w:val="none" w:sz="0" w:space="0" w:color="auto"/>
        <w:left w:val="none" w:sz="0" w:space="0" w:color="auto"/>
        <w:bottom w:val="none" w:sz="0" w:space="0" w:color="auto"/>
        <w:right w:val="none" w:sz="0" w:space="0" w:color="auto"/>
      </w:divBdr>
    </w:div>
    <w:div w:id="1559822664">
      <w:bodyDiv w:val="1"/>
      <w:marLeft w:val="0"/>
      <w:marRight w:val="0"/>
      <w:marTop w:val="0"/>
      <w:marBottom w:val="0"/>
      <w:divBdr>
        <w:top w:val="none" w:sz="0" w:space="0" w:color="auto"/>
        <w:left w:val="none" w:sz="0" w:space="0" w:color="auto"/>
        <w:bottom w:val="none" w:sz="0" w:space="0" w:color="auto"/>
        <w:right w:val="none" w:sz="0" w:space="0" w:color="auto"/>
      </w:divBdr>
      <w:divsChild>
        <w:div w:id="1513227661">
          <w:marLeft w:val="0"/>
          <w:marRight w:val="0"/>
          <w:marTop w:val="0"/>
          <w:marBottom w:val="0"/>
          <w:divBdr>
            <w:top w:val="none" w:sz="0" w:space="0" w:color="auto"/>
            <w:left w:val="none" w:sz="0" w:space="0" w:color="auto"/>
            <w:bottom w:val="none" w:sz="0" w:space="0" w:color="auto"/>
            <w:right w:val="none" w:sz="0" w:space="0" w:color="auto"/>
          </w:divBdr>
          <w:divsChild>
            <w:div w:id="392899429">
              <w:marLeft w:val="0"/>
              <w:marRight w:val="0"/>
              <w:marTop w:val="0"/>
              <w:marBottom w:val="0"/>
              <w:divBdr>
                <w:top w:val="none" w:sz="0" w:space="0" w:color="auto"/>
                <w:left w:val="none" w:sz="0" w:space="0" w:color="auto"/>
                <w:bottom w:val="none" w:sz="0" w:space="0" w:color="auto"/>
                <w:right w:val="none" w:sz="0" w:space="0" w:color="auto"/>
              </w:divBdr>
            </w:div>
          </w:divsChild>
        </w:div>
        <w:div w:id="1059397432">
          <w:marLeft w:val="0"/>
          <w:marRight w:val="0"/>
          <w:marTop w:val="0"/>
          <w:marBottom w:val="0"/>
          <w:divBdr>
            <w:top w:val="none" w:sz="0" w:space="0" w:color="auto"/>
            <w:left w:val="none" w:sz="0" w:space="0" w:color="auto"/>
            <w:bottom w:val="none" w:sz="0" w:space="0" w:color="auto"/>
            <w:right w:val="none" w:sz="0" w:space="0" w:color="auto"/>
          </w:divBdr>
          <w:divsChild>
            <w:div w:id="757336066">
              <w:marLeft w:val="0"/>
              <w:marRight w:val="0"/>
              <w:marTop w:val="0"/>
              <w:marBottom w:val="0"/>
              <w:divBdr>
                <w:top w:val="none" w:sz="0" w:space="0" w:color="auto"/>
                <w:left w:val="none" w:sz="0" w:space="0" w:color="auto"/>
                <w:bottom w:val="none" w:sz="0" w:space="0" w:color="auto"/>
                <w:right w:val="none" w:sz="0" w:space="0" w:color="auto"/>
              </w:divBdr>
              <w:divsChild>
                <w:div w:id="1863199718">
                  <w:marLeft w:val="0"/>
                  <w:marRight w:val="0"/>
                  <w:marTop w:val="0"/>
                  <w:marBottom w:val="252"/>
                  <w:divBdr>
                    <w:top w:val="none" w:sz="0" w:space="0" w:color="auto"/>
                    <w:left w:val="none" w:sz="0" w:space="0" w:color="auto"/>
                    <w:bottom w:val="none" w:sz="0" w:space="0" w:color="auto"/>
                    <w:right w:val="none" w:sz="0" w:space="0" w:color="auto"/>
                  </w:divBdr>
                </w:div>
              </w:divsChild>
            </w:div>
          </w:divsChild>
        </w:div>
        <w:div w:id="1753118332">
          <w:marLeft w:val="0"/>
          <w:marRight w:val="0"/>
          <w:marTop w:val="0"/>
          <w:marBottom w:val="0"/>
          <w:divBdr>
            <w:top w:val="none" w:sz="0" w:space="0" w:color="auto"/>
            <w:left w:val="none" w:sz="0" w:space="0" w:color="auto"/>
            <w:bottom w:val="none" w:sz="0" w:space="0" w:color="auto"/>
            <w:right w:val="none" w:sz="0" w:space="0" w:color="auto"/>
          </w:divBdr>
          <w:divsChild>
            <w:div w:id="630137227">
              <w:marLeft w:val="0"/>
              <w:marRight w:val="0"/>
              <w:marTop w:val="0"/>
              <w:marBottom w:val="0"/>
              <w:divBdr>
                <w:top w:val="none" w:sz="0" w:space="0" w:color="auto"/>
                <w:left w:val="none" w:sz="0" w:space="0" w:color="auto"/>
                <w:bottom w:val="none" w:sz="0" w:space="0" w:color="auto"/>
                <w:right w:val="none" w:sz="0" w:space="0" w:color="auto"/>
              </w:divBdr>
              <w:divsChild>
                <w:div w:id="1165126965">
                  <w:marLeft w:val="0"/>
                  <w:marRight w:val="0"/>
                  <w:marTop w:val="0"/>
                  <w:marBottom w:val="180"/>
                  <w:divBdr>
                    <w:top w:val="none" w:sz="0" w:space="0" w:color="auto"/>
                    <w:left w:val="none" w:sz="0" w:space="0" w:color="auto"/>
                    <w:bottom w:val="none" w:sz="0" w:space="0" w:color="auto"/>
                    <w:right w:val="none" w:sz="0" w:space="0" w:color="auto"/>
                  </w:divBdr>
                  <w:divsChild>
                    <w:div w:id="10645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77">
          <w:marLeft w:val="0"/>
          <w:marRight w:val="0"/>
          <w:marTop w:val="0"/>
          <w:marBottom w:val="0"/>
          <w:divBdr>
            <w:top w:val="none" w:sz="0" w:space="0" w:color="auto"/>
            <w:left w:val="none" w:sz="0" w:space="0" w:color="auto"/>
            <w:bottom w:val="none" w:sz="0" w:space="0" w:color="auto"/>
            <w:right w:val="none" w:sz="0" w:space="0" w:color="auto"/>
          </w:divBdr>
          <w:divsChild>
            <w:div w:id="453181878">
              <w:marLeft w:val="0"/>
              <w:marRight w:val="0"/>
              <w:marTop w:val="0"/>
              <w:marBottom w:val="0"/>
              <w:divBdr>
                <w:top w:val="none" w:sz="0" w:space="0" w:color="auto"/>
                <w:left w:val="none" w:sz="0" w:space="0" w:color="auto"/>
                <w:bottom w:val="none" w:sz="0" w:space="0" w:color="auto"/>
                <w:right w:val="none" w:sz="0" w:space="0" w:color="auto"/>
              </w:divBdr>
            </w:div>
          </w:divsChild>
        </w:div>
        <w:div w:id="204341303">
          <w:marLeft w:val="0"/>
          <w:marRight w:val="0"/>
          <w:marTop w:val="0"/>
          <w:marBottom w:val="0"/>
          <w:divBdr>
            <w:top w:val="none" w:sz="0" w:space="0" w:color="auto"/>
            <w:left w:val="none" w:sz="0" w:space="0" w:color="auto"/>
            <w:bottom w:val="none" w:sz="0" w:space="0" w:color="auto"/>
            <w:right w:val="none" w:sz="0" w:space="0" w:color="auto"/>
          </w:divBdr>
          <w:divsChild>
            <w:div w:id="629750418">
              <w:marLeft w:val="0"/>
              <w:marRight w:val="0"/>
              <w:marTop w:val="0"/>
              <w:marBottom w:val="0"/>
              <w:divBdr>
                <w:top w:val="none" w:sz="0" w:space="0" w:color="auto"/>
                <w:left w:val="none" w:sz="0" w:space="0" w:color="auto"/>
                <w:bottom w:val="none" w:sz="0" w:space="0" w:color="auto"/>
                <w:right w:val="none" w:sz="0" w:space="0" w:color="auto"/>
              </w:divBdr>
              <w:divsChild>
                <w:div w:id="2102605195">
                  <w:marLeft w:val="0"/>
                  <w:marRight w:val="0"/>
                  <w:marTop w:val="0"/>
                  <w:marBottom w:val="252"/>
                  <w:divBdr>
                    <w:top w:val="none" w:sz="0" w:space="0" w:color="auto"/>
                    <w:left w:val="none" w:sz="0" w:space="0" w:color="auto"/>
                    <w:bottom w:val="none" w:sz="0" w:space="0" w:color="auto"/>
                    <w:right w:val="none" w:sz="0" w:space="0" w:color="auto"/>
                  </w:divBdr>
                </w:div>
              </w:divsChild>
            </w:div>
          </w:divsChild>
        </w:div>
        <w:div w:id="839274727">
          <w:marLeft w:val="0"/>
          <w:marRight w:val="0"/>
          <w:marTop w:val="0"/>
          <w:marBottom w:val="0"/>
          <w:divBdr>
            <w:top w:val="none" w:sz="0" w:space="0" w:color="auto"/>
            <w:left w:val="none" w:sz="0" w:space="0" w:color="auto"/>
            <w:bottom w:val="none" w:sz="0" w:space="0" w:color="auto"/>
            <w:right w:val="none" w:sz="0" w:space="0" w:color="auto"/>
          </w:divBdr>
          <w:divsChild>
            <w:div w:id="1569416390">
              <w:marLeft w:val="0"/>
              <w:marRight w:val="0"/>
              <w:marTop w:val="0"/>
              <w:marBottom w:val="0"/>
              <w:divBdr>
                <w:top w:val="none" w:sz="0" w:space="0" w:color="auto"/>
                <w:left w:val="none" w:sz="0" w:space="0" w:color="auto"/>
                <w:bottom w:val="none" w:sz="0" w:space="0" w:color="auto"/>
                <w:right w:val="none" w:sz="0" w:space="0" w:color="auto"/>
              </w:divBdr>
              <w:divsChild>
                <w:div w:id="329985994">
                  <w:marLeft w:val="0"/>
                  <w:marRight w:val="0"/>
                  <w:marTop w:val="0"/>
                  <w:marBottom w:val="180"/>
                  <w:divBdr>
                    <w:top w:val="none" w:sz="0" w:space="0" w:color="auto"/>
                    <w:left w:val="none" w:sz="0" w:space="0" w:color="auto"/>
                    <w:bottom w:val="none" w:sz="0" w:space="0" w:color="auto"/>
                    <w:right w:val="none" w:sz="0" w:space="0" w:color="auto"/>
                  </w:divBdr>
                  <w:divsChild>
                    <w:div w:id="1001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49228">
      <w:bodyDiv w:val="1"/>
      <w:marLeft w:val="0"/>
      <w:marRight w:val="0"/>
      <w:marTop w:val="0"/>
      <w:marBottom w:val="0"/>
      <w:divBdr>
        <w:top w:val="none" w:sz="0" w:space="0" w:color="auto"/>
        <w:left w:val="none" w:sz="0" w:space="0" w:color="auto"/>
        <w:bottom w:val="none" w:sz="0" w:space="0" w:color="auto"/>
        <w:right w:val="none" w:sz="0" w:space="0" w:color="auto"/>
      </w:divBdr>
    </w:div>
    <w:div w:id="1994720476">
      <w:bodyDiv w:val="1"/>
      <w:marLeft w:val="0"/>
      <w:marRight w:val="0"/>
      <w:marTop w:val="0"/>
      <w:marBottom w:val="0"/>
      <w:divBdr>
        <w:top w:val="none" w:sz="0" w:space="0" w:color="auto"/>
        <w:left w:val="none" w:sz="0" w:space="0" w:color="auto"/>
        <w:bottom w:val="none" w:sz="0" w:space="0" w:color="auto"/>
        <w:right w:val="none" w:sz="0" w:space="0" w:color="auto"/>
      </w:divBdr>
      <w:divsChild>
        <w:div w:id="1181239372">
          <w:marLeft w:val="0"/>
          <w:marRight w:val="0"/>
          <w:marTop w:val="0"/>
          <w:marBottom w:val="0"/>
          <w:divBdr>
            <w:top w:val="none" w:sz="0" w:space="0" w:color="auto"/>
            <w:left w:val="none" w:sz="0" w:space="0" w:color="auto"/>
            <w:bottom w:val="none" w:sz="0" w:space="0" w:color="auto"/>
            <w:right w:val="none" w:sz="0" w:space="0" w:color="auto"/>
          </w:divBdr>
          <w:divsChild>
            <w:div w:id="1655454209">
              <w:marLeft w:val="0"/>
              <w:marRight w:val="0"/>
              <w:marTop w:val="0"/>
              <w:marBottom w:val="0"/>
              <w:divBdr>
                <w:top w:val="none" w:sz="0" w:space="0" w:color="auto"/>
                <w:left w:val="none" w:sz="0" w:space="0" w:color="auto"/>
                <w:bottom w:val="none" w:sz="0" w:space="0" w:color="auto"/>
                <w:right w:val="none" w:sz="0" w:space="0" w:color="auto"/>
              </w:divBdr>
            </w:div>
          </w:divsChild>
        </w:div>
        <w:div w:id="802701093">
          <w:marLeft w:val="0"/>
          <w:marRight w:val="0"/>
          <w:marTop w:val="0"/>
          <w:marBottom w:val="0"/>
          <w:divBdr>
            <w:top w:val="none" w:sz="0" w:space="0" w:color="auto"/>
            <w:left w:val="none" w:sz="0" w:space="0" w:color="auto"/>
            <w:bottom w:val="none" w:sz="0" w:space="0" w:color="auto"/>
            <w:right w:val="none" w:sz="0" w:space="0" w:color="auto"/>
          </w:divBdr>
          <w:divsChild>
            <w:div w:id="1419981362">
              <w:marLeft w:val="0"/>
              <w:marRight w:val="0"/>
              <w:marTop w:val="0"/>
              <w:marBottom w:val="0"/>
              <w:divBdr>
                <w:top w:val="none" w:sz="0" w:space="0" w:color="auto"/>
                <w:left w:val="none" w:sz="0" w:space="0" w:color="auto"/>
                <w:bottom w:val="none" w:sz="0" w:space="0" w:color="auto"/>
                <w:right w:val="none" w:sz="0" w:space="0" w:color="auto"/>
              </w:divBdr>
              <w:divsChild>
                <w:div w:id="607858193">
                  <w:marLeft w:val="0"/>
                  <w:marRight w:val="0"/>
                  <w:marTop w:val="0"/>
                  <w:marBottom w:val="252"/>
                  <w:divBdr>
                    <w:top w:val="none" w:sz="0" w:space="0" w:color="auto"/>
                    <w:left w:val="none" w:sz="0" w:space="0" w:color="auto"/>
                    <w:bottom w:val="none" w:sz="0" w:space="0" w:color="auto"/>
                    <w:right w:val="none" w:sz="0" w:space="0" w:color="auto"/>
                  </w:divBdr>
                </w:div>
              </w:divsChild>
            </w:div>
          </w:divsChild>
        </w:div>
        <w:div w:id="1166170872">
          <w:marLeft w:val="0"/>
          <w:marRight w:val="0"/>
          <w:marTop w:val="0"/>
          <w:marBottom w:val="0"/>
          <w:divBdr>
            <w:top w:val="none" w:sz="0" w:space="0" w:color="auto"/>
            <w:left w:val="none" w:sz="0" w:space="0" w:color="auto"/>
            <w:bottom w:val="none" w:sz="0" w:space="0" w:color="auto"/>
            <w:right w:val="none" w:sz="0" w:space="0" w:color="auto"/>
          </w:divBdr>
          <w:divsChild>
            <w:div w:id="813958299">
              <w:marLeft w:val="0"/>
              <w:marRight w:val="0"/>
              <w:marTop w:val="0"/>
              <w:marBottom w:val="0"/>
              <w:divBdr>
                <w:top w:val="none" w:sz="0" w:space="0" w:color="auto"/>
                <w:left w:val="none" w:sz="0" w:space="0" w:color="auto"/>
                <w:bottom w:val="none" w:sz="0" w:space="0" w:color="auto"/>
                <w:right w:val="none" w:sz="0" w:space="0" w:color="auto"/>
              </w:divBdr>
              <w:divsChild>
                <w:div w:id="171649645">
                  <w:marLeft w:val="0"/>
                  <w:marRight w:val="0"/>
                  <w:marTop w:val="0"/>
                  <w:marBottom w:val="180"/>
                  <w:divBdr>
                    <w:top w:val="none" w:sz="0" w:space="0" w:color="auto"/>
                    <w:left w:val="none" w:sz="0" w:space="0" w:color="auto"/>
                    <w:bottom w:val="none" w:sz="0" w:space="0" w:color="auto"/>
                    <w:right w:val="none" w:sz="0" w:space="0" w:color="auto"/>
                  </w:divBdr>
                  <w:divsChild>
                    <w:div w:id="4301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nkofcanada.ca/valet/observations/group/b1_monthly/xml?start_date=1935-01-01" TargetMode="External"/><Relationship Id="rId13" Type="http://schemas.openxmlformats.org/officeDocument/2006/relationships/hyperlink" Target="https://www.bankofcanada.ca/valet/observations/group/b2_weekly/csv?start_date=1980-12-01" TargetMode="External"/><Relationship Id="rId18" Type="http://schemas.openxmlformats.org/officeDocument/2006/relationships/hyperlink" Target="https://www.bankofcanada.ca/rates/banking-and-financial-statistics/bank-of-canada-assets-and-liabilities-weekly-formerly-b2/" TargetMode="External"/><Relationship Id="rId26" Type="http://schemas.openxmlformats.org/officeDocument/2006/relationships/hyperlink" Target="https://www.bankofcanada.ca/valet/observations/group/b3_monthly/csv?start_date=2007-06-01" TargetMode="External"/><Relationship Id="rId3" Type="http://schemas.openxmlformats.org/officeDocument/2006/relationships/webSettings" Target="webSettings.xml"/><Relationship Id="rId21" Type="http://schemas.openxmlformats.org/officeDocument/2006/relationships/hyperlink" Target="https://www.bankofcanada.ca/valet/observations/group/b3_weekly/csv?start_date=2007-06-01" TargetMode="External"/><Relationship Id="rId7" Type="http://schemas.openxmlformats.org/officeDocument/2006/relationships/hyperlink" Target="https://www.bankofcanada.ca/valet/observations/group/b1_monthly/json?start_date=1935-01-01" TargetMode="External"/><Relationship Id="rId12" Type="http://schemas.openxmlformats.org/officeDocument/2006/relationships/hyperlink" Target="https://www.bankofcanada.ca/rates/banking-and-financial-statistics/bank-of-canada-assets-and-liabilities-weekly-formerly-b2/" TargetMode="External"/><Relationship Id="rId17" Type="http://schemas.openxmlformats.org/officeDocument/2006/relationships/hyperlink" Target="https://www.bankofcanada.ca/rates/banking-and-financial-statistics/bank-of-canada-assets-and-liabilities-weekly-formerly-b2/" TargetMode="External"/><Relationship Id="rId25" Type="http://schemas.openxmlformats.org/officeDocument/2006/relationships/hyperlink" Target="https://www.bankofcanada.ca/rates/banking-and-financial-statistics/positions-of-members-of-payments-canada-with-the-bank-of-canada-formerly-b3/" TargetMode="External"/><Relationship Id="rId2" Type="http://schemas.openxmlformats.org/officeDocument/2006/relationships/settings" Target="settings.xml"/><Relationship Id="rId16" Type="http://schemas.openxmlformats.org/officeDocument/2006/relationships/hyperlink" Target="https://www.bankofcanada.ca/rates/banking-and-financial-statistics/bank-of-canada-assets-and-liabilities-weekly-formerly-b2/" TargetMode="External"/><Relationship Id="rId20" Type="http://schemas.openxmlformats.org/officeDocument/2006/relationships/hyperlink" Target="https://www.bankofcanada.ca/rates/banking-and-financial-statistics/positions-of-members-of-payments-canada-with-the-bank-of-canada-formerly-b3/" TargetMode="External"/><Relationship Id="rId29" Type="http://schemas.openxmlformats.org/officeDocument/2006/relationships/hyperlink" Target="https://www.bankofcanada.ca/rates/banking-and-financial-statistics/positions-of-members-of-payments-canada-with-the-bank-of-canada-formerly-b3/" TargetMode="External"/><Relationship Id="rId1" Type="http://schemas.openxmlformats.org/officeDocument/2006/relationships/styles" Target="styles.xml"/><Relationship Id="rId6" Type="http://schemas.openxmlformats.org/officeDocument/2006/relationships/hyperlink" Target="https://www.bankofcanada.ca/valet/observations/group/b1_monthly/csv?start_date=1935-01-01" TargetMode="External"/><Relationship Id="rId11" Type="http://schemas.openxmlformats.org/officeDocument/2006/relationships/hyperlink" Target="https://www.bankofcanada.ca/rates/banking-and-financial-statistics/bank-of-canada-assets-and-liabilities-weekly-formerly-b2/" TargetMode="External"/><Relationship Id="rId24" Type="http://schemas.openxmlformats.org/officeDocument/2006/relationships/hyperlink" Target="https://www.bankofcanada.ca/rates/banking-and-financial-statistics/positions-of-members-of-payments-canada-with-the-bank-of-canada-formerly-b3/" TargetMode="External"/><Relationship Id="rId32" Type="http://schemas.openxmlformats.org/officeDocument/2006/relationships/theme" Target="theme/theme1.xml"/><Relationship Id="rId5" Type="http://schemas.openxmlformats.org/officeDocument/2006/relationships/hyperlink" Target="https://www.bankofcanada.ca/rates/banking-and-financial-statistics/bank-of-canada-assets-and-liabilities-month-end-formerly-b1/" TargetMode="External"/><Relationship Id="rId15" Type="http://schemas.openxmlformats.org/officeDocument/2006/relationships/hyperlink" Target="https://www.bankofcanada.ca/valet/observations/group/b2_weekly/xml?start_date=1980-12-01" TargetMode="External"/><Relationship Id="rId23" Type="http://schemas.openxmlformats.org/officeDocument/2006/relationships/hyperlink" Target="https://www.bankofcanada.ca/valet/observations/group/b3_weekly/xml?start_date=2007-06-01" TargetMode="External"/><Relationship Id="rId28" Type="http://schemas.openxmlformats.org/officeDocument/2006/relationships/hyperlink" Target="https://www.bankofcanada.ca/valet/observations/group/b3_monthly/xml?start_date=2007-06-01" TargetMode="External"/><Relationship Id="rId10" Type="http://schemas.openxmlformats.org/officeDocument/2006/relationships/hyperlink" Target="https://www.bankofcanada.ca/rates/banking-and-financial-statistics/bank-of-canada-assets-and-liabilities-month-end-formerly-b1/" TargetMode="External"/><Relationship Id="rId19" Type="http://schemas.openxmlformats.org/officeDocument/2006/relationships/hyperlink" Target="https://www.bankofcanada.ca/rates/banking-and-financial-statistics/bank-of-canada-assets-and-liabilities-weekly-formerly-b2/" TargetMode="External"/><Relationship Id="rId31" Type="http://schemas.openxmlformats.org/officeDocument/2006/relationships/fontTable" Target="fontTable.xml"/><Relationship Id="rId4" Type="http://schemas.openxmlformats.org/officeDocument/2006/relationships/hyperlink" Target="https://www.bankofcanada.ca/rates/banking-and-financial-statistics/bank-of-canada-assets-and-liabilities-month-end-formerly-b1/" TargetMode="External"/><Relationship Id="rId9" Type="http://schemas.openxmlformats.org/officeDocument/2006/relationships/hyperlink" Target="https://www.bankofcanada.ca/rates/banking-and-financial-statistics/bank-of-canada-assets-and-liabilities-month-end-formerly-b1/" TargetMode="External"/><Relationship Id="rId14" Type="http://schemas.openxmlformats.org/officeDocument/2006/relationships/hyperlink" Target="https://www.bankofcanada.ca/valet/observations/group/b2_weekly/json?start_date=1980-12-01" TargetMode="External"/><Relationship Id="rId22" Type="http://schemas.openxmlformats.org/officeDocument/2006/relationships/hyperlink" Target="https://www.bankofcanada.ca/valet/observations/group/b3_weekly/json?start_date=2007-06-01" TargetMode="External"/><Relationship Id="rId27" Type="http://schemas.openxmlformats.org/officeDocument/2006/relationships/hyperlink" Target="https://www.bankofcanada.ca/valet/observations/group/b3_monthly/json?start_date=2007-06-01" TargetMode="External"/><Relationship Id="rId30" Type="http://schemas.openxmlformats.org/officeDocument/2006/relationships/hyperlink" Target="https://www.bankofcanada.ca/rates/banking-and-financial-statistics/positions-of-members-of-payments-canada-with-the-bank-of-canada-formerly-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1</cp:revision>
  <dcterms:created xsi:type="dcterms:W3CDTF">2020-07-12T11:55:00Z</dcterms:created>
  <dcterms:modified xsi:type="dcterms:W3CDTF">2020-07-12T12:06:00Z</dcterms:modified>
</cp:coreProperties>
</file>